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345440</wp:posOffset>
            </wp:positionV>
            <wp:extent cx="6763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311150</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5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ind w:left="940"/>
        <w:spacing w:after="0" w:line="217" w:lineRule="auto"/>
        <w:rPr>
          <w:sz w:val="20"/>
          <w:szCs w:val="20"/>
          <w:color w:val="auto"/>
        </w:rPr>
      </w:pPr>
      <w:r>
        <w:rPr>
          <w:rFonts w:ascii="Times New Roman" w:cs="Times New Roman" w:eastAsia="Times New Roman" w:hAnsi="Times New Roman"/>
          <w:sz w:val="22"/>
          <w:szCs w:val="22"/>
          <w:b w:val="1"/>
          <w:bCs w:val="1"/>
          <w:color w:val="auto"/>
        </w:rPr>
        <w:t>ANNUAL REPORT PURSUANT TO SECTION 13 OR 15(d) OF THE SECURITIES EXCHANGE ACT</w:t>
      </w:r>
    </w:p>
    <w:p>
      <w:pPr>
        <w:ind w:left="940" w:hanging="624"/>
        <w:spacing w:after="0" w:line="184" w:lineRule="auto"/>
        <w:tabs>
          <w:tab w:leader="none" w:pos="940" w:val="left"/>
        </w:tabs>
        <w:numPr>
          <w:ilvl w:val="0"/>
          <w:numId w:val="1"/>
        </w:numPr>
        <w:rPr>
          <w:rFonts w:ascii="Wingdings" w:cs="Wingdings" w:eastAsia="Wingdings" w:hAnsi="Wingdings"/>
          <w:sz w:val="37"/>
          <w:szCs w:val="37"/>
          <w:b w:val="1"/>
          <w:bCs w:val="1"/>
          <w:color w:val="auto"/>
          <w:vertAlign w:val="superscript"/>
        </w:rPr>
      </w:pPr>
      <w:r>
        <w:rPr>
          <w:rFonts w:ascii="Times New Roman" w:cs="Times New Roman" w:eastAsia="Times New Roman" w:hAnsi="Times New Roman"/>
          <w:sz w:val="19"/>
          <w:szCs w:val="19"/>
          <w:b w:val="1"/>
          <w:bCs w:val="1"/>
          <w:color w:val="auto"/>
        </w:rPr>
        <w:t>OF 1934</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193" w:lineRule="exact"/>
        <w:rPr>
          <w:sz w:val="24"/>
          <w:szCs w:val="24"/>
          <w:color w:val="auto"/>
        </w:rPr>
      </w:pPr>
    </w:p>
    <w:p>
      <w:pPr>
        <w:ind w:left="1080" w:hanging="629"/>
        <w:spacing w:after="0"/>
        <w:tabs>
          <w:tab w:leader="none" w:pos="10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w:t>
      </w:r>
    </w:p>
    <w:tbl>
      <w:tblPr>
        <w:tblLayout w:type="fixed"/>
        <w:tblInd w:w="160" w:type="dxa"/>
        <w:tblCellMar>
          <w:top w:w="0" w:type="dxa"/>
          <w:left w:w="0" w:type="dxa"/>
          <w:bottom w:w="0" w:type="dxa"/>
          <w:right w:w="0" w:type="dxa"/>
        </w:tblCellMar>
      </w:tblPr>
      <w:tr>
        <w:trPr>
          <w:trHeight w:val="286"/>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OR</w:t>
            </w:r>
          </w:p>
        </w:tc>
        <w:tc>
          <w:tcPr>
            <w:tcW w:w="54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ACT OF 1934</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0" w:type="dxa"/>
            <w:vAlign w:val="bottom"/>
            <w:vMerge w:val="continue"/>
          </w:tcPr>
          <w:p>
            <w:pPr>
              <w:spacing w:after="0"/>
              <w:rPr>
                <w:sz w:val="5"/>
                <w:szCs w:val="5"/>
                <w:color w:val="auto"/>
              </w:rPr>
            </w:pPr>
          </w:p>
        </w:tc>
        <w:tc>
          <w:tcPr>
            <w:tcW w:w="5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8"/>
        </w:trPr>
        <w:tc>
          <w:tcPr>
            <w:tcW w:w="600" w:type="dxa"/>
            <w:vAlign w:val="bottom"/>
          </w:tcPr>
          <w:p>
            <w:pPr>
              <w:spacing w:after="0"/>
              <w:rPr>
                <w:sz w:val="24"/>
                <w:szCs w:val="24"/>
                <w:color w:val="auto"/>
              </w:rPr>
            </w:pPr>
          </w:p>
        </w:tc>
        <w:tc>
          <w:tcPr>
            <w:tcW w:w="548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w w:val="79"/>
              </w:rPr>
              <w:t>to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-25400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DUCOMMUN INCORPORATED</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 w:lineRule="exact"/>
        <w:rPr>
          <w:sz w:val="24"/>
          <w:szCs w:val="24"/>
          <w:color w:val="auto"/>
        </w:rPr>
      </w:pPr>
    </w:p>
    <w:tbl>
      <w:tblPr>
        <w:tblLayout w:type="fixed"/>
        <w:tblInd w:w="2000" w:type="dxa"/>
        <w:tblCellMar>
          <w:top w:w="0" w:type="dxa"/>
          <w:left w:w="0" w:type="dxa"/>
          <w:bottom w:w="0" w:type="dxa"/>
          <w:right w:w="0" w:type="dxa"/>
        </w:tblCellMar>
      </w:tblPr>
      <w:tr>
        <w:trPr>
          <w:trHeight w:val="210"/>
        </w:trPr>
        <w:tc>
          <w:tcPr>
            <w:tcW w:w="6980" w:type="dxa"/>
            <w:vAlign w:val="bottom"/>
            <w:gridSpan w:val="2"/>
          </w:tcPr>
          <w:p>
            <w:pPr>
              <w:jc w:val="right"/>
              <w:ind w:right="942"/>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r>
      <w:tr>
        <w:trPr>
          <w:trHeight w:val="251"/>
        </w:trPr>
        <w:tc>
          <w:tcPr>
            <w:tcW w:w="3860" w:type="dxa"/>
            <w:vAlign w:val="bottom"/>
          </w:tcPr>
          <w:p>
            <w:pPr>
              <w:jc w:val="center"/>
              <w:ind w:right="19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20" w:type="dxa"/>
            <w:vAlign w:val="bottom"/>
          </w:tcPr>
          <w:p>
            <w:pPr>
              <w:jc w:val="center"/>
              <w:ind w:left="1922"/>
              <w:spacing w:after="0"/>
              <w:rPr>
                <w:sz w:val="20"/>
                <w:szCs w:val="20"/>
                <w:color w:val="auto"/>
              </w:rPr>
            </w:pPr>
            <w:r>
              <w:rPr>
                <w:rFonts w:ascii="Times New Roman" w:cs="Times New Roman" w:eastAsia="Times New Roman" w:hAnsi="Times New Roman"/>
                <w:sz w:val="18"/>
                <w:szCs w:val="18"/>
                <w:b w:val="1"/>
                <w:bCs w:val="1"/>
                <w:color w:val="auto"/>
              </w:rPr>
              <w:t>95-0693330</w:t>
            </w:r>
          </w:p>
        </w:tc>
      </w:tr>
      <w:tr>
        <w:trPr>
          <w:trHeight w:val="146"/>
        </w:trPr>
        <w:tc>
          <w:tcPr>
            <w:tcW w:w="3860" w:type="dxa"/>
            <w:vAlign w:val="bottom"/>
          </w:tcPr>
          <w:p>
            <w:pPr>
              <w:jc w:val="center"/>
              <w:ind w:right="1921"/>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60" w:type="dxa"/>
            <w:vAlign w:val="bottom"/>
          </w:tcPr>
          <w:p>
            <w:pPr>
              <w:jc w:val="center"/>
              <w:ind w:right="19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7100" w:type="dxa"/>
            <w:vAlign w:val="bottom"/>
            <w:gridSpan w:val="2"/>
          </w:tcPr>
          <w:p>
            <w:pPr>
              <w:jc w:val="center"/>
              <w:ind w:right="1159"/>
              <w:spacing w:after="0"/>
              <w:rPr>
                <w:sz w:val="20"/>
                <w:szCs w:val="20"/>
                <w:color w:val="auto"/>
              </w:rPr>
            </w:pPr>
            <w:r>
              <w:rPr>
                <w:rFonts w:ascii="Times New Roman" w:cs="Times New Roman" w:eastAsia="Times New Roman" w:hAnsi="Times New Roman"/>
                <w:sz w:val="20"/>
                <w:szCs w:val="20"/>
                <w:b w:val="1"/>
                <w:bCs w:val="1"/>
                <w:color w:val="auto"/>
                <w:w w:val="98"/>
              </w:rPr>
              <w:t>200 Sandpointe Avenue, Suite 700</w:t>
            </w: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20"/>
                <w:szCs w:val="20"/>
                <w:b w:val="1"/>
                <w:bCs w:val="1"/>
                <w:color w:val="auto"/>
                <w:w w:val="98"/>
              </w:rPr>
              <w:t xml:space="preserve"> Santa Ana</w:t>
            </w: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20"/>
                <w:szCs w:val="20"/>
                <w:b w:val="1"/>
                <w:bCs w:val="1"/>
                <w:color w:val="auto"/>
                <w:w w:val="98"/>
              </w:rPr>
              <w:t xml:space="preserve"> California</w:t>
            </w:r>
          </w:p>
        </w:tc>
        <w:tc>
          <w:tcPr>
            <w:tcW w:w="332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92707-5759</w:t>
            </w:r>
          </w:p>
        </w:tc>
      </w:tr>
      <w:tr>
        <w:trPr>
          <w:trHeight w:val="190"/>
        </w:trPr>
        <w:tc>
          <w:tcPr>
            <w:tcW w:w="4860" w:type="dxa"/>
            <w:vAlign w:val="bottom"/>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3320" w:type="dxa"/>
            <w:vAlign w:val="bottom"/>
            <w:gridSpan w:val="2"/>
          </w:tcPr>
          <w:p>
            <w:pPr>
              <w:jc w:val="center"/>
              <w:ind w:right="59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83"/>
        </w:trPr>
        <w:tc>
          <w:tcPr>
            <w:tcW w:w="8620" w:type="dxa"/>
            <w:vAlign w:val="bottom"/>
            <w:gridSpan w:val="3"/>
          </w:tcPr>
          <w:p>
            <w:pPr>
              <w:jc w:val="center"/>
              <w:ind w:left="2534"/>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(657) 335-3665</w:t>
            </w:r>
          </w:p>
        </w:tc>
        <w:tc>
          <w:tcPr>
            <w:tcW w:w="1800" w:type="dxa"/>
            <w:vAlign w:val="bottom"/>
          </w:tcPr>
          <w:p>
            <w:pPr>
              <w:spacing w:after="0"/>
              <w:rPr>
                <w:sz w:val="24"/>
                <w:szCs w:val="24"/>
                <w:color w:val="auto"/>
              </w:rPr>
            </w:pPr>
          </w:p>
        </w:tc>
      </w:tr>
      <w:tr>
        <w:trPr>
          <w:trHeight w:val="37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6"/>
        </w:trPr>
        <w:tc>
          <w:tcPr>
            <w:tcW w:w="4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20" w:type="dxa"/>
            <w:vAlign w:val="bottom"/>
            <w:gridSpan w:val="2"/>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3"/>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 par value per share</w:t>
            </w:r>
          </w:p>
        </w:tc>
        <w:tc>
          <w:tcPr>
            <w:tcW w:w="224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DCO</w:t>
            </w:r>
          </w:p>
        </w:tc>
        <w:tc>
          <w:tcPr>
            <w:tcW w:w="3320" w:type="dxa"/>
            <w:vAlign w:val="bottom"/>
            <w:gridSpan w:val="2"/>
          </w:tcPr>
          <w:p>
            <w:pPr>
              <w:jc w:val="center"/>
              <w:ind w:left="599"/>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304"/>
        </w:trPr>
        <w:tc>
          <w:tcPr>
            <w:tcW w:w="862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c>
          <w:tcPr>
            <w:tcW w:w="1800" w:type="dxa"/>
            <w:vAlign w:val="bottom"/>
          </w:tcPr>
          <w:p>
            <w:pPr>
              <w:spacing w:after="0"/>
              <w:rPr>
                <w:sz w:val="24"/>
                <w:szCs w:val="24"/>
                <w:color w:val="auto"/>
              </w:rPr>
            </w:pPr>
          </w:p>
        </w:tc>
      </w:tr>
      <w:tr>
        <w:trPr>
          <w:trHeight w:val="468"/>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1800" w:type="dxa"/>
            <w:vAlign w:val="bottom"/>
          </w:tcPr>
          <w:p>
            <w:pPr>
              <w:spacing w:after="0" w:line="242"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21"/>
                <w:szCs w:val="21"/>
                <w:b w:val="1"/>
                <w:bCs w:val="1"/>
                <w:color w:val="auto"/>
              </w:rPr>
              <w:t>x</w:t>
            </w:r>
          </w:p>
        </w:tc>
      </w:tr>
      <w:tr>
        <w:trPr>
          <w:trHeight w:val="419"/>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1800" w:type="dxa"/>
            <w:vAlign w:val="bottom"/>
          </w:tcPr>
          <w:p>
            <w:pPr>
              <w:ind w:left="180"/>
              <w:spacing w:after="0" w:line="242"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21"/>
                <w:szCs w:val="21"/>
                <w:b w:val="1"/>
                <w:bCs w:val="1"/>
                <w:color w:val="auto"/>
              </w:rPr>
              <w:t>x</w:t>
            </w:r>
          </w:p>
        </w:tc>
      </w:tr>
    </w:tbl>
    <w:p>
      <w:pPr>
        <w:spacing w:after="0" w:line="100" w:lineRule="exact"/>
        <w:rPr>
          <w:sz w:val="24"/>
          <w:szCs w:val="24"/>
          <w:color w:val="auto"/>
        </w:rPr>
      </w:pPr>
    </w:p>
    <w:p>
      <w:pPr>
        <w:ind w:right="26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02" w:lineRule="exact"/>
        <w:rPr>
          <w:sz w:val="24"/>
          <w:szCs w:val="24"/>
          <w:color w:val="auto"/>
        </w:rPr>
      </w:pPr>
    </w:p>
    <w:p>
      <w:pPr>
        <w:ind w:right="32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00" w:lineRule="exact"/>
        <w:rPr>
          <w:sz w:val="24"/>
          <w:szCs w:val="24"/>
          <w:color w:val="auto"/>
        </w:rPr>
      </w:pPr>
    </w:p>
    <w:p>
      <w:pPr>
        <w:spacing w:after="0" w:line="321"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00"/>
              <w:spacing w:after="0"/>
              <w:rPr>
                <w:sz w:val="20"/>
                <w:szCs w:val="20"/>
                <w:color w:val="auto"/>
              </w:rPr>
            </w:pPr>
            <w:r>
              <w:rPr>
                <w:rFonts w:ascii="Wingdings" w:cs="Wingdings" w:eastAsia="Wingdings" w:hAnsi="Wingdings"/>
                <w:sz w:val="18"/>
                <w:szCs w:val="18"/>
                <w:b w:val="1"/>
                <w:bCs w:val="1"/>
                <w:color w:val="auto"/>
                <w:w w:val="83"/>
              </w:rPr>
              <w:t>x</w:t>
            </w:r>
          </w:p>
        </w:tc>
      </w:tr>
      <w:tr>
        <w:trPr>
          <w:trHeight w:val="28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10" w:lineRule="exact"/>
        <w:rPr>
          <w:sz w:val="24"/>
          <w:szCs w:val="24"/>
          <w:color w:val="auto"/>
        </w:rPr>
      </w:pPr>
    </w:p>
    <w:p>
      <w:pPr>
        <w:ind w:right="1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00"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issued its audit report. </w:t>
      </w:r>
      <w:r>
        <w:rPr>
          <w:rFonts w:ascii="Wingdings" w:cs="Wingdings" w:eastAsia="Wingdings" w:hAnsi="Wingdings"/>
          <w:sz w:val="21"/>
          <w:szCs w:val="21"/>
          <w:b w:val="1"/>
          <w:bCs w:val="1"/>
          <w:color w:val="auto"/>
        </w:rPr>
        <w:t>x</w:t>
      </w:r>
    </w:p>
    <w:p>
      <w:pPr>
        <w:sectPr>
          <w:pgSz w:w="11900" w:h="16838" w:orient="portrait"/>
          <w:cols w:equalWidth="0" w:num="1">
            <w:col w:w="11200"/>
          </w:cols>
          <w:pgMar w:left="320" w:top="225" w:right="379" w:bottom="184" w:gutter="0" w:footer="0" w:header="0"/>
        </w:sectPr>
      </w:pPr>
    </w:p>
    <w:bookmarkStart w:id="1" w:name="page2"/>
    <w:bookmarkEnd w:id="1"/>
    <w:p>
      <w:pPr>
        <w:ind w:right="200"/>
        <w:spacing w:after="0" w:line="26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100" w:lineRule="exact"/>
        <w:rPr>
          <w:sz w:val="20"/>
          <w:szCs w:val="20"/>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1"/>
          <w:szCs w:val="21"/>
          <w:color w:val="auto"/>
        </w:rPr>
        <w:t>☐</w:t>
      </w:r>
    </w:p>
    <w:p>
      <w:pPr>
        <w:spacing w:after="0" w:line="56" w:lineRule="exact"/>
        <w:rPr>
          <w:sz w:val="20"/>
          <w:szCs w:val="20"/>
          <w:color w:val="auto"/>
        </w:rPr>
      </w:pPr>
    </w:p>
    <w:p>
      <w:pPr>
        <w:spacing w:after="0" w:line="242" w:lineRule="exact"/>
        <w:tabs>
          <w:tab w:leader="none" w:pos="8340" w:val="left"/>
          <w:tab w:leader="none" w:pos="90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21"/>
          <w:szCs w:val="21"/>
          <w:b w:val="1"/>
          <w:bCs w:val="1"/>
          <w:color w:val="auto"/>
        </w:rPr>
        <w:t>x</w:t>
      </w:r>
    </w:p>
    <w:p>
      <w:pPr>
        <w:spacing w:after="0" w:line="2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of which the common equity was last sold, or the average bid and asked price of such common equity, as of the last business day of the registrant’s most recently completed second fiscal quarter ended July 1, 2023 was $635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on February 15, 2024 was 14,641,154.</w:t>
      </w:r>
    </w:p>
    <w:p>
      <w:pPr>
        <w:spacing w:after="0" w:line="16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incorporated by reference:</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Proxy Statement for the 2024 Annual Meeting of Shareholders (the “2024 Proxy Statement”), incorporated partially in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57150</wp:posOffset>
            </wp:positionV>
            <wp:extent cx="6326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22860</wp:posOffset>
            </wp:positionV>
            <wp:extent cx="6326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160" w:type="dxa"/>
            <w:vAlign w:val="bottom"/>
            <w:gridSpan w:val="14"/>
            <w:vMerge w:val="restart"/>
          </w:tcPr>
          <w:p>
            <w:pPr>
              <w:jc w:val="center"/>
              <w:ind w:right="450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160" w:type="dxa"/>
            <w:vAlign w:val="bottom"/>
            <w:gridSpan w:val="14"/>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1420" w:type="dxa"/>
            <w:vAlign w:val="bottom"/>
          </w:tcPr>
          <w:p>
            <w:pPr>
              <w:spacing w:after="0"/>
              <w:rPr>
                <w:sz w:val="24"/>
                <w:szCs w:val="24"/>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Forward-Looking Statements and Risk Factors</w:t>
            </w:r>
          </w:p>
        </w:tc>
        <w:tc>
          <w:tcPr>
            <w:tcW w:w="580" w:type="dxa"/>
            <w:vAlign w:val="bottom"/>
            <w:tcBorders>
              <w:top w:val="single" w:sz="8" w:color="0000FF"/>
            </w:tcBorders>
            <w:gridSpan w:val="3"/>
          </w:tcPr>
          <w:p>
            <w:pPr>
              <w:spacing w:after="0"/>
              <w:rPr>
                <w:sz w:val="24"/>
                <w:szCs w:val="24"/>
                <w:color w:val="auto"/>
              </w:rPr>
            </w:pPr>
          </w:p>
        </w:tc>
        <w:tc>
          <w:tcPr>
            <w:tcW w:w="4540" w:type="dxa"/>
            <w:vAlign w:val="bottom"/>
            <w:gridSpan w:val="10"/>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680" w:type="dxa"/>
            <w:vAlign w:val="bottom"/>
            <w:gridSpan w:val="11"/>
          </w:tcPr>
          <w:p>
            <w:pPr>
              <w:spacing w:after="0"/>
              <w:rPr>
                <w:sz w:val="22"/>
                <w:szCs w:val="22"/>
                <w:color w:val="auto"/>
              </w:rPr>
            </w:pPr>
          </w:p>
        </w:tc>
        <w:tc>
          <w:tcPr>
            <w:tcW w:w="5680" w:type="dxa"/>
            <w:vAlign w:val="bottom"/>
            <w:gridSpan w:val="17"/>
          </w:tcPr>
          <w:p>
            <w:pPr>
              <w:spacing w:after="0"/>
              <w:rPr>
                <w:sz w:val="22"/>
                <w:szCs w:val="22"/>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0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60" w:type="dxa"/>
            <w:vAlign w:val="bottom"/>
            <w:gridSpan w:val="20"/>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000" w:type="dxa"/>
            <w:vAlign w:val="bottom"/>
            <w:gridSpan w:val="25"/>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680" w:type="dxa"/>
            <w:vAlign w:val="bottom"/>
            <w:gridSpan w:val="24"/>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80" w:type="dxa"/>
            <w:vAlign w:val="bottom"/>
            <w:gridSpan w:val="15"/>
          </w:tcPr>
          <w:p>
            <w:pPr>
              <w:jc w:val="center"/>
              <w:ind w:right="448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56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3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Market for the Registrant’s Common Equity, Related Stockholder Matters and Issuer Purchases of Equity Securities</w:t>
            </w: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3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40" w:type="dxa"/>
            <w:vAlign w:val="bottom"/>
            <w:gridSpan w:val="4"/>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7"/>
          </w:tcPr>
          <w:p>
            <w:pPr>
              <w:spacing w:after="0"/>
              <w:rPr>
                <w:sz w:val="22"/>
                <w:szCs w:val="22"/>
                <w:color w:val="auto"/>
              </w:rPr>
            </w:pPr>
          </w:p>
        </w:tc>
        <w:tc>
          <w:tcPr>
            <w:tcW w:w="2540" w:type="dxa"/>
            <w:vAlign w:val="bottom"/>
            <w:gridSpan w:val="4"/>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640" w:type="dxa"/>
            <w:vAlign w:val="bottom"/>
            <w:gridSpan w:val="11"/>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5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Disclosures</w:t>
            </w:r>
          </w:p>
        </w:tc>
        <w:tc>
          <w:tcPr>
            <w:tcW w:w="2420" w:type="dxa"/>
            <w:vAlign w:val="bottom"/>
            <w:gridSpan w:val="3"/>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5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420" w:type="dxa"/>
            <w:vAlign w:val="bottom"/>
            <w:gridSpan w:val="3"/>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2"/>
                <w:szCs w:val="22"/>
                <w:color w:val="auto"/>
              </w:rPr>
            </w:pPr>
          </w:p>
        </w:tc>
        <w:tc>
          <w:tcPr>
            <w:tcW w:w="7240" w:type="dxa"/>
            <w:vAlign w:val="bottom"/>
            <w:gridSpan w:val="22"/>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40" w:type="dxa"/>
            <w:vAlign w:val="bottom"/>
            <w:gridSpan w:val="6"/>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740" w:type="dxa"/>
            <w:vAlign w:val="bottom"/>
            <w:tcBorders>
              <w:top w:val="single" w:sz="8" w:color="0000FF"/>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20" w:type="dxa"/>
            <w:vAlign w:val="bottom"/>
            <w:tcBorders>
              <w:top w:val="single" w:sz="8" w:color="0000FF"/>
            </w:tcBorders>
          </w:tcPr>
          <w:p>
            <w:pPr>
              <w:spacing w:after="0"/>
              <w:rPr>
                <w:sz w:val="22"/>
                <w:szCs w:val="22"/>
                <w:color w:val="auto"/>
              </w:rPr>
            </w:pPr>
          </w:p>
        </w:tc>
        <w:tc>
          <w:tcPr>
            <w:tcW w:w="4040" w:type="dxa"/>
            <w:vAlign w:val="bottom"/>
            <w:gridSpan w:val="6"/>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900" w:type="dxa"/>
            <w:vAlign w:val="bottom"/>
            <w:gridSpan w:val="12"/>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900" w:type="dxa"/>
            <w:vAlign w:val="bottom"/>
            <w:gridSpan w:val="12"/>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0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20" w:type="dxa"/>
            <w:vAlign w:val="bottom"/>
            <w:gridSpan w:val="2"/>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560" w:type="dxa"/>
            <w:vAlign w:val="bottom"/>
            <w:gridSpan w:val="5"/>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0" w:type="dxa"/>
            <w:vAlign w:val="bottom"/>
            <w:gridSpan w:val="16"/>
          </w:tcPr>
          <w:p>
            <w:pPr>
              <w:jc w:val="center"/>
              <w:ind w:right="448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6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60" w:type="dxa"/>
            <w:vAlign w:val="bottom"/>
            <w:gridSpan w:val="3"/>
          </w:tcPr>
          <w:p>
            <w:pPr>
              <w:spacing w:after="0"/>
              <w:rPr>
                <w:sz w:val="22"/>
                <w:szCs w:val="22"/>
                <w:color w:val="auto"/>
              </w:rPr>
            </w:pPr>
          </w:p>
        </w:tc>
        <w:tc>
          <w:tcPr>
            <w:tcW w:w="700" w:type="dxa"/>
            <w:vAlign w:val="bottom"/>
            <w:tcBorders>
              <w:top w:val="single" w:sz="8" w:color="0000FF"/>
            </w:tcBorders>
            <w:gridSpan w:val="7"/>
          </w:tcPr>
          <w:p>
            <w:pPr>
              <w:spacing w:after="0"/>
              <w:rPr>
                <w:sz w:val="22"/>
                <w:szCs w:val="22"/>
                <w:color w:val="auto"/>
              </w:rPr>
            </w:pPr>
          </w:p>
        </w:tc>
        <w:tc>
          <w:tcPr>
            <w:tcW w:w="4480" w:type="dxa"/>
            <w:vAlign w:val="bottom"/>
            <w:gridSpan w:val="8"/>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840" w:type="dxa"/>
            <w:vAlign w:val="bottom"/>
            <w:gridSpan w:val="1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840" w:type="dxa"/>
            <w:vAlign w:val="bottom"/>
            <w:gridSpan w:val="18"/>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86</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746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Signatures</w:t>
            </w:r>
          </w:p>
        </w:tc>
        <w:tc>
          <w:tcPr>
            <w:tcW w:w="820" w:type="dxa"/>
            <w:vAlign w:val="bottom"/>
            <w:gridSpan w:val="4"/>
          </w:tcPr>
          <w:p>
            <w:pPr>
              <w:spacing w:after="0"/>
              <w:rPr>
                <w:sz w:val="22"/>
                <w:szCs w:val="22"/>
                <w:color w:val="auto"/>
              </w:rPr>
            </w:pPr>
          </w:p>
        </w:tc>
        <w:tc>
          <w:tcPr>
            <w:tcW w:w="7460" w:type="dxa"/>
            <w:vAlign w:val="bottom"/>
            <w:gridSpan w:val="23"/>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86</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(“Form 10-K”) contains forward-looking statements within the meaning of the Private Securities Litigation Reform Act of 1995. Forward-looking statements may be preceded by, followed by or include words such as “could,” “may,” “believe,” “expect,” “anticipate,” “plan,” “estimate,” “expect,” “would,” or similar expressions. These statements are based on the beliefs and assumptions of our management at the time such statements are made. Generally, forward-looking statements include information concerning our possible or assumed future actions, events or results of operations. Forward-looking statements specifically include, without limitation, the information in this Form 10-K regarding: future sales, earnings, cash flow, revenue recognition, uses of cash and other measures of financial performance, projections or expectations for future operations, including costs to complete contracts, goodwill impairment evaluations, useful life of intangible assets, unrecognized tax benefits and effective tax rate, environmental remediation costs, insurance recoveries, industry trends and expectations, including ramp up times for build rates, our plans with respect to restructuring activities, capital expenditures, completed acquisitions, future acquisitions and dispositions, and expected business opportunities that may be available to us.</w:t>
      </w:r>
    </w:p>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10-K that are attributable to us or persons acting on our behalf are expressly qualified in their entirety by “Risk Factors” contained within Part I, Item 1A of this Form 10-K and other cautionary statements included herein.</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this Form 10-K and the following:</w:t>
      </w:r>
    </w:p>
    <w:p>
      <w:pPr>
        <w:spacing w:after="0" w:line="72"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otherwise comply with our covenants with respect to our outstanding indebtedness;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w:t>
      </w:r>
    </w:p>
    <w:p>
      <w:pPr>
        <w:spacing w:after="0" w:line="117" w:lineRule="exact"/>
        <w:rPr>
          <w:rFonts w:ascii="Times New Roman" w:cs="Times New Roman" w:eastAsia="Times New Roman" w:hAnsi="Times New Roman"/>
          <w:sz w:val="18"/>
          <w:szCs w:val="18"/>
          <w:color w:val="auto"/>
        </w:rPr>
      </w:pPr>
    </w:p>
    <w:p>
      <w:pPr>
        <w:ind w:left="980" w:right="28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business combinations, joint ventures, divestitures, or restructuring activities may entail certain operational and financial risks;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cyclicality of our end-use markets and the level of new commercial and military aircraft orders;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customer concentration;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rates for various commercial and military aircraft programs;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U.S. Government defense spending;</w:t>
      </w:r>
    </w:p>
    <w:p>
      <w:pPr>
        <w:spacing w:after="0" w:line="117" w:lineRule="exact"/>
        <w:rPr>
          <w:rFonts w:ascii="Times New Roman" w:cs="Times New Roman" w:eastAsia="Times New Roman" w:hAnsi="Times New Roman"/>
          <w:sz w:val="18"/>
          <w:szCs w:val="18"/>
          <w:color w:val="auto"/>
        </w:rPr>
      </w:pPr>
    </w:p>
    <w:p>
      <w:pPr>
        <w:ind w:left="980" w:right="200" w:hanging="648"/>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regulatory requirements and changes in regulatory requirements, including regulatory requirements such as the Cybersecurity Maturity Model Certification (“CMMC”), applicable to government contracts and sub-contracts, and the Securities and Exchange Commission’s (“SEC”) “Cybersecurity Risk Management, Strategy, Governance, and Incident Disclosure” rule;</w:t>
      </w:r>
    </w:p>
    <w:p>
      <w:pPr>
        <w:spacing w:after="0" w:line="6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of customers and suppliers in our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delivery;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start-up costs, manufacturing inefficiencies and possible overruns on contracts;</w:t>
      </w:r>
    </w:p>
    <w:p>
      <w:pPr>
        <w:spacing w:after="0" w:line="117" w:lineRule="exact"/>
        <w:rPr>
          <w:rFonts w:ascii="Times New Roman" w:cs="Times New Roman" w:eastAsia="Times New Roman" w:hAnsi="Times New Roman"/>
          <w:sz w:val="18"/>
          <w:szCs w:val="18"/>
          <w:color w:val="auto"/>
        </w:rPr>
      </w:pPr>
    </w:p>
    <w:p>
      <w:pPr>
        <w:ind w:left="980" w:right="10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design, product development, manufacturing, supply chain and other risks and uncertainties associated with our growth strategy to become a supplier of higher-level assemblies;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associated with international operations and sales;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geopolitical developments and conditions, including supply chain issues and rising or higher interest rates;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(“ESG”) developments and their related impact;</w:t>
      </w:r>
    </w:p>
    <w:p>
      <w:pPr>
        <w:spacing w:after="0" w:line="117" w:lineRule="exact"/>
        <w:rPr>
          <w:rFonts w:ascii="Times New Roman" w:cs="Times New Roman" w:eastAsia="Times New Roman" w:hAnsi="Times New Roman"/>
          <w:sz w:val="18"/>
          <w:szCs w:val="18"/>
          <w:color w:val="auto"/>
        </w:rPr>
      </w:pPr>
    </w:p>
    <w:p>
      <w:pPr>
        <w:ind w:left="980" w:right="14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such as the COVID-19 pandemic, significantly impacting the global economy and most significantly, the commercial aerospace end-use market;</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disasters, natural or otherwise, damaging or disrupting our operations;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developments in the global credit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within highly competitive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changes and evolving industry and regulatory standards;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goodwill and other asset impairments;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environmental liabilities;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cybersecurity attacks, along with a potential significant ransom demand, or our inability to detect such attacks;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with respect to us.</w:t>
      </w:r>
    </w:p>
    <w:p>
      <w:pPr>
        <w:spacing w:after="0" w:line="1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caution the reader that undue reliance should not be placed on any forward-looking statements, which speak only as of the date of this Form 10-K. We do not undertake any duty or responsibility to update any of these forward-looking statements to reflect events or circumstances after the date of this Form 10-K except as required by law.</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Ducommun differentiates itself as a full-service solution-based provider, offering innovative, value-added proprietary products and manufacturing solutions to our customers in our primary businesses of electronics, structures, and integrated solutions. We operate through two primary business segments: Electronic Systems and Structural Systems. We are the successor to a business that was founded in California in 1849 and reincorporated in Delaware in 1970.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Acquisitions have been an important element of our growth strategy. We have supplemented our organic growth by identifying, acquiring and integrating acquisition opportunities that result in broader, more sophisticated product and service offerings while diversifying and expanding our customer base and markets.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example, on April 25, 2023, we acquired 100% of the outstanding equity interests of BLR Aerospace L.L.C. (“BLR”), a privately-held leading provider of aerodynamic systems that enhance the productivity, performance, and safety of rotary and fixed-wing aircraft on commercial and military platforms. The initial purchase price was $115.0 million, net of cash acquired. We paid a gross aggregate of $117.0 million in cash upon the closing of the transaction. We utilized the 2022 Revolving Credit Facility (as defined below) to complete the acquisition. The acquisition of BLR adds to our strategy to diversify and offer more customized, value-driven engineered products with aftermarket opportunities, and was included in our Structural Systems segment.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Information</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operate through two primary strategic businesses, Electronic Systems and Structural Systems, each of which is a reportable segment. The results of operations among our operating segments vary due to differences in competitors, customers, extent of proprietary deliverables and performance.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as discussed in more detail below. Structural Systems designs, engineers and manufactures various sizes of complex contoured aerostructure components and assemblies and supplies composite and metal bonded structures and assemblies. Structural Systems’ products are primarily used on commercial aircraft, military fixed-wing aircraft and military and commercial rotary-wing aircraft.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Systems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Electronic Systems has multiple major product offerings in electronics manufacturing for diverse, high-reliability applications: complex cable assemblies and interconnect systems, printed circuit board assemblies, higher-level electronic, electromechanical, and mechanical components and assemblies, and lightning diversion systems. Components, assemblies, 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lightning diversion products are provided principally for domestic and foreign commercial and military fixed-wing aircraft, military and commercial rotary-wing aircraft and space programs. Further, we provide select industrial high-reliability applications for the industrial, medical, and other end-use markets. We build custom, high-performance electronics and electromechanical systems. Our products include sophisticated radar enclosures, aircraft avionics racks and shipboard communications and control enclosures, printed circuit board assemblies, cable assemblies, wire harnesses, and interconnect systems, lightning diversion strips, surge suppressors, conformal shields and other high-level complex assemblies. Electronic Systems utilizes a highly-integrated production process, including manufacturing, engineering, fabrication, machining, assembly, electronic integration, and related processes. Engineering, technical and program management services are provided to a wide range of customers.</w:t>
      </w:r>
    </w:p>
    <w:p>
      <w:pPr>
        <w:spacing w:after="0" w:line="13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response to customer needs and utilizing our in-depth engineering expertise, Electronic Systems is also considered a leading supplier of engineered products including, illuminated pushbutton switches and panels for aviation and test systems, microwave and millimeter switches and filters for radio frequency systems and test instrumentation, motors and resolvers for motion control, and lightning diversion systems.</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Electronic Systems also provides engineering expertise for aerospace system design, development, integration, and testing. We leverage the knowledge base, capabilities, talent, and technologies of this focused capability into direct support of our customers.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Structural Systems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Structural Systems has three major product offerings to support a global customer base: commercial aircraft, military fixed-wing aircraft, and military and commercial rotary-wing aircraft. Our applications include structural components, structural assemblies, bonded (metal and composite) components, precision profile extrusions and extruded assemblies, ammunition handling systems, magnetic seals, and aerodynamic systems. In the structural components products, Structural Systems provides design services, engineers, and manufacturing of large complex contoured aluminum, titanium and Inconel aerostructure components for the aerospace industry. Structural assembly products include winglets, engine components, and fuselage structural panels for aircraft. Metal and composite bonded structures and assemblies products include aircraft wing spoilers, large fuselage skins, rotor blades on rotary-wing aircraft and components, flight control surfaces, engine components, ammunition handling systems, magnetic seals, and aerodynamic systems. To support these products, Structural Systems maintains advanced machine milling, stretch-forming, hot-forming, metal bonding, composite layup, and chemical milling capabilities and has an extensive engineering capability to support both design services and manufacturing.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AEROSPACE AND DEFENSE END-USE MARKETS OVERVIEW</w:t>
      </w:r>
    </w:p>
    <w:p>
      <w:pPr>
        <w:spacing w:after="0" w:line="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largest end-use markets are the aerospace and defense markets and our revenues from these markets represented 94% of our total net revenues in 2023. These markets are serviced by suppliers which are stratified, from the highest value provided to the lowest, into four tiers: original equipment manufacturers (“OEMs”), Tier One, Tier Two, and Tier Three. The OEMs provide the highest value and are also known as prime contractors (“Primes”). We derive a significant portion of our revenues from subcontracts with OEMs. As the Primes for various programs and platforms, the OEMs sell to their customers, who may include, depending upon the application, the U.S. Federal Government, foreign, state and local governments, global commercial airline carriers, regional jet carriers and various other customers. The OEMs also sell to global leasing companies that lease commercial aircraft. A significant portion of our revenues is earned from subcontracts with the Primes. Tier One suppliers manufacture aircraft sections and purchase assemblies. Tier Two suppliers provide more complex, value-added parts and may also assume more design risk, manufacturing risk, supply chain risk and project management risk than Tier Three suppliers. Tier Three suppliers principally provide components or detailed parts. We currently compete with Tier One, Tier Two, and Tier Three suppliers. Our business growth strategy is to differentiate ourselves from competitors by providing more complex assemblies to our customers as a higher value added supplier.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Aerospace End-Use Market</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commercial aerospace end-use market is highly cyclical and is impacted by the level of global air passenger traffic in general, which in turn is influenced by global economic conditions, fleet fuel and maintenance costs, geopolitical developments, pandemics, supply chain issues, and inflationary forces. Revenues from the commercial aerospace end-use market represented 41% of our total net revenues for 2023.</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residual effects of the COVID-19 pandemic and the resulting inflation, rising or high interest rates, supply chain issues, geopolitical developments, and other events have contributed and/or continues to contribute to a general slowdown in the global economy and most significantly, the adverse impact on demand for civil air travel. Further, one of our largest customers, The Boeing Company (“Boeing”), was notified by the Federal Aviation Administration (“FAA”) in early January 2024 it has initiated an investigation into Boeing’s quality control system. This was followed by the FAA announcing actions to increase its oversight of Boeing as well as not approving production rate increases or additional production lines for the 737 MAX until it is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satisfied that Boeing is in full compliance with required quality control procedures. While there continues to be uncertainty, Boeing is continuing to work with airlines and government officials on delivery timing and expect to deliver most of the aircraft in inventory by the end of 2024. The combination of these factors has, in turn, created a significant challenge for some of our customers and the entire commercial aerospace manufacturing and services sector. Airline financial performance, which also plays a role in the demand for new capacity, has been adversely impacted by the COVID-19 pandemic and aforementioned issues. According to the International Air Transport Association (“IATA”), it is estimating industry-wide profits of $23.3 billion for 2023, an increase from its forecast of $4.6 billion a year ago. For 2024, IATA is forecasting $25.7 billion in profits for the industry globally. Thus, the overall outlook continues to stabilize as we face uncertainties in the environment in the near-to medium-term as airlines are facing persistently high and volatile cost of fuel and tight labor conditions. The global economy is expecting an easing of inflation and interest rates, with regional economic and geopolitical difficulties adding uncertainty to the outlook and the financial viability of some airlines and regions.</w:t>
      </w:r>
    </w:p>
    <w:p>
      <w:pPr>
        <w:spacing w:after="0" w:line="1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Boeing Company’s (“Boeing”) 2023 Annual Report on Form 10-K filed with the Securities and Exchange Commission (the “SEC”), they indicated that in 2023, global air traffic largely recovered to 2019 levels with domestic travel continuing to be the most robust and the single-aisle market following closely. International travel has mostly recovered and the wide-body market continues to be paced by the international travel recovery. The transition in the international commercial market from recovery to normal market conditions is progressing slowly as China international travel remains below 2019 levels. Overall, Boeing is experiencing strong demand from its airline customers globally.</w:t>
      </w:r>
    </w:p>
    <w:p>
      <w:pPr>
        <w:spacing w:after="0" w:line="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long-term outlook for the industry remains positive due to the fundamental drivers of air travel demand: economic growth, increasing propensity to travel due to increased trade, globalization, and improved airline services driven by liberalization of air traffic rights between countries. Boeing’s commercial market outlook forecast projects a three and a half percent growth rate in the global fleet over a 20 year period. Based on long-term global economic growth projections of two and six tenths percent average annual gross domestic product (“GDP”) growth, Boeing projects demand for 42,595 new airplanes over the next 20 years. However, the industry remains vulnerable to various developments including fuel price spikes, credit market fluctuations, acts of terrorism, natural disasters, conflicts, epidemics, pandemics, and increased global environmental regulations. We believe we are well positioned given our product capabilities, investment in inventories and contract assets, and our initiatives to increase operating efficiencies to participate in the near term recovery and the long term projected growth rate for commercial air traffic and build rates for large commercial aircraft for the airframe manufacturing industry. If the recovery is slower than anticipated or any of those various developments occur, it could have a material adverse effect on our results of operations, financial position, and/or cash flows.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End-Use Market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defense end-use market includes products used in military and space, including technologies and structures applications. The defense end-use market is highly cyclical and is impacted by the level of government defense spending. Government defense spending is impacted by national defense policies and priorities, political climates, fiscal budgetary constraints, U.S. Federal budget deficits, projected economic growth and the level of global military or security threats, or other conflicts. Revenues from the military and space end-use market in 2023 represented 53% of our total net revenues during 2023.</w:t>
      </w:r>
    </w:p>
    <w:p>
      <w:pPr>
        <w:spacing w:after="0" w:line="5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U.S. government is currently operating under a continuing resolution (“CR”) to keep the government funded while the Congress works to enact full year fiscal year 2024 (“FY24”) appropriation bills. Under the Fiscal Responsibility Act of 2023, which imposes limits on discretionary spending for defense and non-defense programs in exchange for the lifting of the debt ceiling in June 2023, if Congress fails to enact all appropriation bills by April 30, 2024, then the budget caps will be reduced and corresponding automatic reductions to agency budget accounts will be enforced through sequestration. Future budget cuts or investment priority changes, including changes associated with the authorizations and appropriations process, could result in reductions, cancellations, and/or delays of existing contracts or programs. Any of these impacts could have a material effect on our results of operations, financial position, and/or cash flows. For additional information related to our revenues from customers whose principal sales are to the U.S. Government and our direct sales to the U.S. Government, see “Risk Factors” contained within Part I, Item 1A of this Annual Report on Form 10-K (“Form 10-K”).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END-USE MARKETS OVERVIEW</w:t>
      </w:r>
    </w:p>
    <w:p>
      <w:pPr>
        <w:spacing w:after="0" w:line="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industrial, medical and other (collectively, “Industrial”) end-use markets are diverse and are impacted by the customers’ needs for increasing electronic content and a desire to outsource. Factors expected to impact these markets include capital and industrial goods spending and general economic conditions. Our products are used in heavy industrial manufacturing systems and certain medical applications. Revenues from the Industrial end-use markets were 6% of our total net revenues during 2023.</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believe our business in these markets in the long-term, is stable and we are well positioned in these markets even though the residual effects of the COVID-19 pandemic and the resulting inflation, rising or high interest rates, and supply chain issues has had and will continue to have an impact on our business.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commercial revenues are substantially dependent on airframe manufacturers’ production rates of new aircraft. Deliveries of new aircraft by airframe manufacturers are dependent on the demand and financial capacity of its customers, primarily airlines and leasing companies, to purchase the aircraft. Thus, revenues from commercial aircraft could be affected as a result of changes in new aircraft orders, or the cancellation or deferral by airlines of purchases of ordered aircraft. Further, our revenues from commercial aircraft programs could be affected by changes in our customers’ inventory levels and changes in our customers’ aircraft production build rates as a result of changing demand by their end customer or in order to comply with regulatory requirements. Due to the effects from the lingering COVID-19 pandemic or regulatory compliance requirements, while both major large aircraft manufacturers, Boeing and Airbus SE (“Airbus”), have announced improved build rates, it will take longer to reach pre-COVID-19 pandemic levels. While the ramp up in production and demand will be slower in the near and medium future, we will continue to identify opportunities to expand our presence and offerings with both major large aircraft manufacturers and their supply chain.</w:t>
      </w:r>
    </w:p>
    <w:p>
      <w:pPr>
        <w:spacing w:after="0" w:line="13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Military components manufactured by us are employed in many of the country’s front-line fighters, bombers, rotary-wing aircraft and support aircraft, as well as land and sea-based applications. Our defense business is diversified among a number of military manufacturers and programs. In the space sector, we are expanding our presence with unmanned aerial vehicles and continue to support various satellite programs.</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sales into the Industrial end-use markets are customer focused in various markets and driven primarily by their capital spending and manufacturing outsourcing demands.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continue to broaden and diversify our customer base in the end-use markets we serve by providing innovative product and service solutions by drawing on our core competencies, experience and technical expertise. Net revenues related to military and space, commercial aerospace, and Industrial end-use markets in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5863590" cy="1757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3590"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Many of our contracts are firm fixed price contracts subject to termination at the convenience of the customer (as well as for default). In the event of termination for convenience, the customer generally is required to pay the costs we have incurred and certain other fees through the date of termination, plus a reasonable profit. Larger, long-term government subcontracts may have provisions for milestone payments, progress payments or cash advances for purchase of inventory.</w:t>
      </w:r>
    </w:p>
    <w:p>
      <w:pPr>
        <w:spacing w:after="0" w:line="12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marketing efforts primarily consist of developing strong, long-term relationships with our customers, which provide the basis for future sales. These close relationships allow us to gain a better insight into each customer’s business needs, identify ways to provide greater value to the customer, and allow us to be designated early in the design process for various products and/or high volume products.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of our revenues is governed by the purchasing patterns of our customers, and, as a result, we may not generate revenues equally during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no material portion of our business is considered to be seasonal.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currently generate the majority of our revenues from the aerospace and defense industries. As a result, we have significant revenues from certain customers. Boeing and RTX Corporation (f/k/a Raytheon Technologies Corporation) (“RTX”) were our largest customers, with Boeing generating 8.2% and RTX generating 16.8% of our 2023 net revenues. Revenues from our top</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10 customers, including Boeing and RTX, were 59% of total net revenues during 2023. Net revenues by major customer for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5863590" cy="1808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revenues from our customers, except the U.S. Government, are diversified over a number of different military and space, commercial aerospace, industrial, medical and other products. For additional information on revenues from major customers, see Note 16 to our consolidated financial statements included in Part IV, Item 15(a) of this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perform concurrent engineering with our customers and product development activities under our self-funded programs, as well as under contracts with others. Concurrent engineering and product development activities are performed for commercial, military and space applications.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COMPONENTS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Raw materials and components used in the manufacturing of our products include aluminum, titanium, steel and carbon fibers, as well as a wide variety of electronic interconnect and circuit card assemblies and components. These raw materials are generally available from a number of suppliers and are generally in adequate supply. However, from time to time, and due to the lingering effects from the COVID-19 pandemic, we have experienced increases in lead times and limited availability of various items including aluminum, titanium and certain other raw materials and/or components. Moreover, certain components, supplies and raw materials for our operations are purchased from single source suppliers and occasionally, directed by our customers. In such instances, we strive to develop alternative sources and design modifications to minimize the potential for business interruptions.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markets we serve are highly competitive, and our products and services are affected by varying degrees of competition. We compete worldwide with domestic and international companies in most markets. These companies may have competitive advantages as a result of greater financial resources, economies of scale and bundled products and services that we do not offer. Additional information related to competition is discussed in Risk Factors contained within Part I, Item 1A of this Form 10-K. Our ability to compete depends principally upon the breadth of our technical capabilities, the quality of our goods and services, competitive pricing, product performance, design and engineering capabilities, new product innovation, the ability to solve specific customer needs, and customer relationships.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LICENSES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several patents, but we do not believe that our operations are dependent upon any single patent or group of patents. In general, we rely on technical superiority, continual product improvement, exclusive product features, superior lead time, on-time delivery performance, quality, and customer relationships to maintain our competitive advantage.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 AND BACKLOG</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define performance obligations as customer placed purchase orders (“POs”) with firm fixed price and firm delivery dates. The majority of the long-term agreements (“LTAs”) we enter into do not meet the definition of a contract under Accounting Standards Codification 606 (“ASC 606”) and thus, the backlog amount may or may not be greater than the remaining performance obligations amount as defined under ASC 606. Revenue based on remaining performance obligations is subject to delivery delays or program cancellations, which are beyond our control. Remaining performance obligations were $963.5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at December 31, 2023. We anticipate recognizing an estimated 70% or $674.0 million of our remaining performance obligations during 2024.</w:t>
      </w:r>
    </w:p>
    <w:p>
      <w:pPr>
        <w:spacing w:after="0" w:line="9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define backlog as potential revenue that is based on customer placed POs and LTAs with firm fixed price and expected delivery dates of 24 months or less. Backlog is subject to delivery delays or program cancellations, which are beyond our control. Backlog is affected by timing differences in the placement of customer orders, and tends to be concentrated in several programs to a greater extent, than our net revenues. As a result of these factors, trends in our overall level of backlog may not be indicative of trends in our future net revenues. Backlog was $993.6 million at December 31, 2023, compared to $960.8 million at December 31, 2022. The increase in backlog was primarily in the military and space end-use markets, partially offset by a decrease in the commercial aerospace end-use markets and the industrial end-use markets.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operations and facilities are subject to numerous stringent federal, state and local environmental laws and regulations issued by government agencies, including the Environmental Protection Agency (“EPA”). Among other matters, these regulatory authorities impose requirements that regulate the emission, discharge, generation, management, transport and disposal of hazardous and non-hazardous materials, pollutants and contaminants. These regulations govern public and private response actions to hazardous or regulated substances that could be or have been released into the environment, or endanger human health, and they require us to obtain and maintain licenses and permits in connection with our operations. We may also be required to investigate and remediate the effects of the release or disposal of materials at sites associated with past and present operations. Additionally, this extensive regulatory framework imposes significant compliance burdens and risks on us. For example, California recently passed two wide-reaching bills that will impose significant and mandatory climate-related reporting requirements for large public and private companies doing business in the state. The bills will ultimately require annual disclosure of audited Scope 1, 2, and 3 greenhouse gas (“GHG”) emissions and biennial disclosure related to certain climate risks beginning in January 2026. We anticipate that capital expenditures will continue to be required for the foreseeable future to upgrade and maintain our environmental compliance efforts, however, we currently do not expect such expenditures to be material in 2024 and the near term.</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its facilities located in Adelanto (a.k.a., El Mirage) and Monrovia, California. Based on currently available information, we have accrued $1.5 million at December 31, 2023 for our estimated liabilities related to these sites. For further information, see Note 15 in the accompanying notes to consolidated financial statements included in Part IV, Item 15(a) of this Form 10-K. In addition, see Risk Factors contained within Part I, Item 1A of this Form 10-K for certain risks related to environmental matters.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employees are critical to our success. We promote a culture of honesty, respect, trust, and teamwork through our Code of Business Conduct. Also, we have been engaged in a number of social matters and issues, both within the Company in our management of human capital, and externally with our community based initiatives.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Safety and Health</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safety of our workforce remains our highest priority as evidenced by our response to the COVID-19 pandemic over the last four years. To this end, we continue to focus on protecting the health and safety of our employees and maintaining a safe work environment, including during the COVID-19 pandemic where we followed the COVID-19 safety guidelines provided by state and local governments and the Centers for Disease Control and Prevention at all of our facilities.</w:t>
      </w:r>
    </w:p>
    <w:p>
      <w:pPr>
        <w:spacing w:after="0" w:line="4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implemented the use of employee health and safety key performance indicators (“KPIs”) that were regularly communicated to our employees by senior management to improve safety outcomes. In 2023, we continued to invest in infrastructure to improve internal safety protocols related to key processes and refined our health and safety software tools to track and engage our performance centers to further reduce our lost time and total recordable incident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and Inclusion</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Diversity and inclusion has been and will continue to be important to our success. As part of our continuing improvement in this area, we implemented diversity and inclusion initiatives in 2019 to help accelerate the process of developing diverse, and qualified talent and applicant pools. To that end, we are seeing an increase in the number of women and individuals from underrepresented communities being promoted on merit into leadership roles. In 2020, we partnered with the Fund II Foundation to utilize its innovative internX platform to provide access to highly qualified and diverse science, technology, engineering and math (“STEM”) students. We believe that broadening the diversity of our pool of potential qualified applicants at the intern level will support our efforts at a diverse workforce reflective of the population and help us continue to develop a more diverse leadership team as our interns continue in their careers.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 Acquisition, Retention, and Development</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attract, develop, and retain employee talent by offering competitive compensation packages and fostering a culture of care about their well-being. In addition, we endeavor to be a proactive corporate citizen by being responsive and supportive of the needs of our employees to attract qualified talent. We strive to provide equal opportunities for qualified members of underrepresented communities and women for advancement within our company and award merit-based scholarships to the children and grandchildren of our employees so that they may develop the skills that will support their entry into the workforce. In addition, in 2018, we implemented an Employee Stock Purchase Plan (“ESPP”) to provide employees the opportunity to share in the ownership of our company and benefit from our performance through the purchase of our company’s stock. The ESPP allows eligible employees to accumulate contributions through after-tax payroll deductions to purchase shares of our Company’s stock at a 15% discount and serves as one of the key retention mechanisms for our human capital.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Workforce Demographics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2023, we had a highly skilled workforce of 2,265 employees, of which 368 are subject to collective bargaining agreements expiring in April 2025 and June 2024. However, the Monrovia, California performance center that employs 97 of our collective bargaining employees that are covered by an agreement expiring in June 2024 will be ceasing production and the facility will close by the middle of 2024. See Note 3 to our consolidated financial statements included in Part IV, Item 15(a) of this Form 10-K for further discussion. Historically, we have been successful in negotiating renewals to expiring agreements without material disruption of operating activities, and believe our relations with our employees are good. See Risk Factors contained within Part I, Item 1A of this Form 10-K for additional information regarding certain risks related to our employees.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General information about us can be obtained from our website address at </w:t>
      </w:r>
      <w:r>
        <w:rPr>
          <w:rFonts w:ascii="Times New Roman" w:cs="Times New Roman" w:eastAsia="Times New Roman" w:hAnsi="Times New Roman"/>
          <w:sz w:val="18"/>
          <w:szCs w:val="18"/>
          <w:u w:val="single" w:color="auto"/>
          <w:color w:val="auto"/>
        </w:rPr>
        <w:t>www.ducommun.com</w:t>
      </w:r>
      <w:r>
        <w:rPr>
          <w:rFonts w:ascii="Times New Roman" w:cs="Times New Roman" w:eastAsia="Times New Roman" w:hAnsi="Times New Roman"/>
          <w:sz w:val="18"/>
          <w:szCs w:val="18"/>
          <w:color w:val="auto"/>
        </w:rPr>
        <w:t xml:space="preserve">. Our Form 10-K, Quarterly Reports on Form 10-Q, Current Reports on Form 8-K, and amendments to those reports, if any, are available free of charge on our website as soon as reasonably practicable after they are filed with or furnished to the SEC. Information included on our website is not incorporated by reference in this Form 10-K. The SEC also maintains a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statements and other information regarding SEC registrants, including our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cash flows may be affected by known and unknown risks, uncertainties and other factors. We have summarized below the significant, known material risks to our business. Additional risk factors not currently known to us or that we currently believe are immaterial may also impair our business, financial condition, results of operations and cash flows. Any of these risks, uncertainties and other factors could cause our future financial results to differ materially from recent financial results or from currently anticipated future financial results. The risk factors below should be considered together with the information included elsewhere in this Form 10-K as well as other required filings by us with the SEC.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indebtedness could limit our financing options, adversely affect our financial condition, and prevent us from fulfilling our debt obligations.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July 2022, we completed a refinancing of our then existing debt by entering into a new term loan (“2022 Term Loan”) and a new revolving credit facility (“2022 Revolving Credit Facility”). The 2022 Term Loan is a $250.0 million senior secured loan that matures in July 2027. The 2022 Revolving Credit Facility is a $200.0 million senior secured revolving credit facility that matures in July 2027. The 2022 Term Loan and 2022 Revolving Credit Facility, collectively are the new credit facilities (“2022 Credit Facilities”). The terms of the 2022 Term Loan require us to make installment payments of 0.625% of the initial outstanding principal balance on a quarterly basis during years one and two, 1.250% during years three and four, and 1.875% during year five, on the last business day of each calendar quarter. In addition, the undrawn portion of the commitment of the 2022 Revolving Credit Facility is subject to a commitment fee ranging from 0.175% to 0.275%, based upon the consolidated total net adjusted leverage ratio.</w:t>
      </w:r>
    </w:p>
    <w:p>
      <w:pPr>
        <w:spacing w:after="0" w:line="13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At December 31, 2023, we had a total of $266.0 million of outstanding long-term debt under the 2022 Credit Facilities. The total long-term debt was primarily the result of our acquisitions, including Lightning Diversion Systems, LLC (“LDS”) in September 2017, Certified Thermoplastics Co., LLC (“CTP”) in April 2018, Nobles Worldwide, Inc. (“Nobles”) in October 2019, and BLR Aerospace, L.L.C. (“BLR”) on April 25, 2023.</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ability to obtain additional financing or complete a debt refinancing in the future may be limited. Should we not have ready access to capital markets, we may have to undertake alternative financing plans, such as selling assets; reducing or delaying scheduled expansions, acquisitions and/or capital investments; or seeking various other forms of capital. Our ability to complete reasonable alternative financing plans may be affected by circumstances and economic events outside of our control. We cannot ensure that we would be able to refinance our debt or enter into alternative financing plans in adequate amounts on commercially reasonable terms, terms acceptable to us or at all, or that such plans guarantee that we would be able to meet our debt obligations.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level of debt could:</w:t>
      </w:r>
    </w:p>
    <w:p>
      <w:pPr>
        <w:spacing w:after="0" w:line="117" w:lineRule="exact"/>
        <w:rPr>
          <w:sz w:val="20"/>
          <w:szCs w:val="20"/>
          <w:color w:val="auto"/>
        </w:rPr>
      </w:pPr>
    </w:p>
    <w:p>
      <w:pPr>
        <w:ind w:left="980" w:right="960" w:hanging="648"/>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to fund capital expenditures, investments or acquisitions or other general corporate requirements;</w:t>
      </w:r>
    </w:p>
    <w:p>
      <w:pPr>
        <w:spacing w:after="0" w:line="53" w:lineRule="exact"/>
        <w:rPr>
          <w:rFonts w:ascii="Times New Roman" w:cs="Times New Roman" w:eastAsia="Times New Roman" w:hAnsi="Times New Roman"/>
          <w:sz w:val="18"/>
          <w:szCs w:val="18"/>
          <w:color w:val="auto"/>
        </w:rPr>
      </w:pPr>
    </w:p>
    <w:p>
      <w:pPr>
        <w:ind w:left="980" w:right="260" w:hanging="648"/>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portion of our cash flows to be dedicated to debt service payments instead of other purposes, thereby reducing the amount of cash flows available for working capital, capital expenditures, investments or acquisitions or other general corporate purposes;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other, less leveraged competitors;</w:t>
      </w:r>
    </w:p>
    <w:p>
      <w:pPr>
        <w:spacing w:after="0" w:line="117" w:lineRule="exact"/>
        <w:rPr>
          <w:rFonts w:ascii="Times New Roman" w:cs="Times New Roman" w:eastAsia="Times New Roman" w:hAnsi="Times New Roman"/>
          <w:sz w:val="18"/>
          <w:szCs w:val="18"/>
          <w:color w:val="auto"/>
        </w:rPr>
      </w:pPr>
    </w:p>
    <w:p>
      <w:pPr>
        <w:ind w:left="980" w:right="260" w:hanging="648"/>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borrowing costs and rising or high interest rates as a portion of our current borrowings under our 2022 Credit Facilities bear interest at variable rates (our interest rate swaps, with an aggregate total notional amount of $150.0 million and seven year tenor, became effective on January 1, 2024), which could further adversely impact our cash flows;</w:t>
      </w:r>
    </w:p>
    <w:p>
      <w:pPr>
        <w:spacing w:after="0" w:line="6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and react to changes in our business and the industry in which we compete;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making strategic acquisitions;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risk of unfavorable changes in the global credit markets;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the 2022 Credit Facilities and our other debt.</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occurrence of any one of these events could have an adverse effect on our business, financial condition, results of operations and ability to satisfy our obligations in respect of our outstanding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require a considerable amount of cash to run our business.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ability to make payments on our debt in the future and to fund planned capital expenditures and working capital needs, will depend upon our ability to generate significant cash in the future. Our ability to generate cash is subject to economic, financial, competitive, legislative, regulatory and other factors that may be beyond our control.</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terms of the 2022 Term Loan require us to make installment payments of 0.625% of the initial outstanding principal balance on a quarterly basis during years one and two, 1.250% during years three and four, and 1.875% during year five, on the last business day of each calendar quarter. In addition, the undrawn portion of the commitment of the 2022 Revolving Credit Facility is subject to a commitment fee ranging from 0.175% to 0.275%, based upon the consolidated total net adjusted leverage ratio.</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April 25, 2023, we acquired 100% of the outstanding equity interests of BLR for an initial purchase price of $115.0 million, net of cash acquired, all payable in cash. We paid a gross aggregate of $117.0 million in cash upon the closing of the transaction. We utilized the 2022 Revolving Credit Facility to complete the acquisition. See Note 2 to our consolidated financial statements included in Part IV, Item 15(a) of this Form 10-K for further discussion.</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all the forward interest rate swaps (“Amended Forward Interest Rate Swaps”) we entered into in November 2021 that were based on U.S. dollar-one month London Interbank Offered Rate (“LIBOR”) to be based on one month Term Secured Overnight Financing Rate (“SOFR”) as borrowings can only be based on SOFR. The Amended Forward Interest Rate Swaps, with an aggregate total notional amount of $150.0 million and all with a seven year tenor, became effective on January 1, 2024. The weighted average fixed rate of the Amended Forward Interest Rate Swaps was 1.7%. At December 31, 2023, the outstanding balance on the 2022 Credit Facilities was $266.0 million with an average interest rate of 7.53%. Should interest rates increase significantly, our debt service cost on the variable portion of our debt will increase. Any inability to generate sufficient cash flow could have a material adverse effect on our financial condition or results of operations. See Note 1 and Note 9 to our consolidated financial statements included in Part IV, Item 15(a) of this Form 10-K for further discussion.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While we expect to meet all of our financial obligations, we cannot ensure that our business will generate sufficient cash flow from operations in an amount sufficient to enable us to pay our debt or to fund our other liquidity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require a considerable amount of cash to fund our anticipated voluntary principal prepayments on our Credit Facilities.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ability to reduce the debt outstanding under our 2022 Credit Facilities through voluntary principal prepayments will be a contributing factor to our ability to keep our interest rate towards the lower end of the interest rate range as defined in the 2022 Credit Facilities. Our ability to make such prepayments will depend upon our ability to generate significant cash in the future. We cannot ensure that our business will generate sufficient cash flow from operations to fund any such prepayments.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covenants in our credit facilities impose restrictions that may limit our operating and financial flexibility.</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required to comply with a leverage covenant as defined in the 2022 Credit Facilities. The leverage covenant is defined as Consolidated Funded Indebtedness less unrestricted cash and cash equivalents in excess of $5.0 million, divided by consolidated earnings before interest, taxes and depreciation and amortization (“EBITDA”) and other adjustments.</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December 31, 2023, we were in compliance with the leverage covenant under the 2022 Credit Facilities. However, there is no assurance that we will continue to be in compliance with the leverage covenant in future periods.</w:t>
      </w:r>
    </w:p>
    <w:p>
      <w:pPr>
        <w:spacing w:after="0" w:line="10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2022 Credit Facilities’ agreements contains a number of significant restrictions and covenants that limit our ability, among other things, to incur additional indebtedness, to create liens, to make certain payments, to make certain investments, to engage in transactions with affiliates, to sell certain assets or enter into mergers.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covenants could materially and adversely affect our ability to finance our future operations or capital needs. Furthermore, they may restrict our ability to expand, pursue our business strategies and otherwise conduct our business. Our ability to comply with these covenants may be affected by circumstances and events beyond our control, such as prevailing economic conditions and changes in regulations, and we cannot ensure that we will be able to comply with such covenants. These restrictions also limit our ability to obtain future financings to withstand a future downturn in our business or the economy in general.</w:t>
      </w:r>
    </w:p>
    <w:p>
      <w:pPr>
        <w:spacing w:after="0" w:line="1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 breach of any covenant in the 2022 Credit Facilities could result in a default under the 2022 Credit Facilities. A default, if not waived, could result in acceleration of the debt outstanding under the agreement. A default could permit our lenders to foreclose on any of our assets securing such debt. Even if new financing were available at that time, it may not be on terms or amounts that are acceptable to us or terms as favorable as our current agreements. If our debt is in default for any reason, our business, results of operations and financial condition could be materially and adversely affected.</w:t>
      </w:r>
    </w:p>
    <w:p>
      <w:pPr>
        <w:spacing w:after="0" w:line="1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typical trading volume of our common stock may affect an investor’s ability to sell significant stock holdings in the future without negatively impacting stock price.</w:t>
      </w:r>
    </w:p>
    <w:p>
      <w:pPr>
        <w:spacing w:after="0" w:line="10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level of trading activity may vary daily and typically represents only a small percentage of outstanding shares. As a result, a stockholder who sells a significant amount of shares in a short period of time could negatively affect our share price.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amount of debt may require us to raise additional capital to fund acquisitions.</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may sell additional shares of common stock or other equity securities to raise capital in the future, which could dilute the value of an investor’s holdings.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end-use markets are cyclical.</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sell our products into aerospace, defense, and industrial end-use markets, which are cyclical and have experienced periodic declines. Our sales are, therefore, unpredictable and may tend to fluctuate based on a number of factors, including global economic conditions, U.S. defense budgetary spending, geopolitical developments and conditions, pandemics, supply chain shortages, rising or high interest rates and other developments affecting our end-use markets and the customers served. Consequently, results of operations in any period should not be considered indicative of the operating results that may be experienced in any future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upon a select base of industries and customers, which subjects us to unique risks which may adversely affect us.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currently generate the majority of our revenues from customers in the aerospace and defense industry. Our business depends, in part, on the level of new military and commercial aircraft orders. As a result, we have significant sales to certain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customers. Sales to The Boeing Company (“Boeing”), Spirit AeroSystems Holdings, Inc. (“Spirit”), and Viasat, Inc. (“Viasat”) comprise a significant portion of our commercial aerospace end-use market in 2023. A significant portion of our net sales in our military and space end-use markets are made under subcontracts with original equipment manufacturers (“OEMs”), under their prime contracts with the U. S. Government. We had significant sales to General Dynamics Corporation (“GD”), Northrop Grumman Corporation (“Northrop”), and RTX Corporation (f/k/a Raytheon Technologies Corporation) (“RTX”) in 2023 in our defense technologies end-use market.</w:t>
      </w:r>
    </w:p>
    <w:p>
      <w:pPr>
        <w:spacing w:after="0" w:line="1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Our customers may experience delays in the launch and certification of new products, labor strikes, diminished liquidity or credit unavailability, weak demand for their products, or other difficulties in their business. In addition, shifts in government spending priorities have caused and may continue to cause additional uncertainty in the placement of orders.</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revenues from our top ten customers, which represented 59% of our total 2023 net revenues, were diversified over a number of different aerospace and defense products. Any significant change in production rates by these customers would have a material effect on our results of operations and cash flows. There is no assurance that our current significant customers will continue to buy products from us at current levels, or that we will retain any or all of our existing customers, or that we will be able to form new relationships with customers upon the loss of one or more of our existing customers. This risk may be further complicated by pricing pressures, competition prevalent in our industry and other factors. A significant reduction in sales to any of our major customers, the loss of a major customer, or a default of a major customer on accounts receivable could have a material adverse impact on our financial results.</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Boeing was one of our largest customers in 2023, and the 737 MAX was one of our highest commercial end use market revenue platforms. While Boeing has received approval from all the major civil aviation regulators around the world for its 737 MAX to return to service, our production rates are still below pre-COVID-19 pandemic levels. Further, as noted earlier, in early January 2024, the FAA initiated an investigation into Boeing’s quality control system. This was followed by the FAA announcing actions to increase its oversight of Boeing as well as not approving production rate increases or additional production lines for the 737 MAX until it is satisfied that Boeing is in full compliance with required quality control procedures. Revenue growth with our other commercial customers, including Airbus SE (“Airbus”), and continued solid demand from defense OEMs (also known as prime contractors) have helped to mitigate a significant portion of this risk for the time being. However, the residual effects of the COVID-19 pandemic along with inflationary forces, supply chain issues, and rising or high interest rates continues to dampen civil air travel demand in various segments and markets, and if traveler demand does not return in the near future, it may make it difficult to continue to offset a significant portion of this risk.</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generally make sales under purchase orders and contracts that are subject to cancellation, modification or rescheduling. Changes in the economic environment and the financial condition of the industries we serve could result in customer cancellation of contractual orders or requests for rescheduling. Some of our contracts have specific provisions relating to schedule and performance, and failure to deliver in accordance with such provisions could result in cancellations, modifications, rescheduling and/or penalties, in some cases at the customers’ convenience and without prior notice. While we have normally recovered our direct and indirect costs plus profit, such cancellations, modifications, or rescheduling that cannot be replaced in a timely fashion, could have a material adverse effect on our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significant portion of our business depends upon U.S. Government defense spending.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derive a significant portion of our business from customers whose principal sales are to the U.S. Government. Accordingly, the success of our business depends upon government spending generally or for specific departments or agencies in particular. Such spending, among other factors, is subject to the uncertainties of governmental appropriations and national defense policies and priorities, constraints of the budgetary process, timing and potential changes in these policies and priorities, and the adoption of new laws or regulations or changes to existing laws or regulations.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These and other factors could cause the government and government agencies, or prime contractors that use us as a subcontractor, to reduce their purchases under existing contracts, to exercise their rights to terminate contracts for convenience or to abstain from exercising options to renew contracts, any of which could have a material adverse effect on our business, financial condition and results of operations.</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the levels of U.S. Department of Defense (“U.S. DoD”) spending in future periods are difficult to predict and are impacted by numerous factors such as the political environment, U.S. foreign policy, macroeconomic conditions and the ability of the U.S. Government to enact relevant legislation such as the authorization and appropriations bills. For instance, the U.S. government is currently operating under a continuing resolution (“CR”) to keep the government funded while the Congress works to enact full year fiscal year 2024 (“FY24”) appropriation bills. Under the Fiscal Responsibility Act of 2023, which imposes limits on discretionary spending for defense and non-defense programs in exchange for the lifting of the debt ceiling in June 2023, if Congress fails to enact all appropriation bills by April 30, 2024, then the budget caps will be reduced and corresponding automatic reductions to agency budget accounts will be enforced through sequestration which could have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material effect on our results of operations, financial position, and/or cash flows. Further, there continues to be uncertainty with respect to future program-level appropriations for the U.S. DoD and other government agencies for fiscal year 2025 and beyond. Accordingly, long-term uncertainty remains with respect to overall levels of defense spending and it is likely that U.S. Government discretionary spending levels will continue to be subject to pressure.</w:t>
      </w:r>
    </w:p>
    <w:p>
      <w:pPr>
        <w:spacing w:after="0" w:line="10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Exports of certain of our products and our production facility in Guaymas, Mexico are subject to various export control regulations and authorizations, and we may not be successful in obtaining the necessary U.S. Government approvals and related export licenses for proposed sales to certain foreign customers.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must comply with numerous laws and regulations relating to the export of some of our products before we are permitted to sell or manufacture those products outside the United States. Compliance often entails the submission and timely receipt of the necessary export approvals, licenses, or authorizations from the U.S. Government. Over the last several years, the U.S. export licensing environment for munitions has been adversely affected by a number of factors, including, but not limited to, the changing geopolitical environment and heightened tensions with other countries (which shift and evolve over time). Accordingly, we can give no assurance that we will be successful in obtaining, in a timely manner or at all, the approvals, licenses or authorizations we need to sell or manufacture our products outside the United States, which may result in the cancellation of orders and significant penalties to our customers if we do not make deliveries and fulfill our contractual commitments. Any significant delay in, or impairment of, our ability to sell products outside of the United States could have a material adverse effect on our business, financial condition and results of operations.</w:t>
      </w:r>
    </w:p>
    <w:p>
      <w:pPr>
        <w:spacing w:after="0" w:line="13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Contracts with some of our customers, including Federal government contracts, contain provisions which give our customers a variety of rights that are unfavorable to us and the OEMs to whom we provide products and services, including the ability to terminate a contract at any time for convenience.</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Contracts with some of our customers, including Federal government contracts, contain provisions and are subject to laws and regulations that provide rights and remedies not typically found in commercial contracts. These provisions may allow our customers to:</w:t>
      </w:r>
    </w:p>
    <w:p>
      <w:pPr>
        <w:spacing w:after="0" w:line="54" w:lineRule="exact"/>
        <w:rPr>
          <w:sz w:val="20"/>
          <w:szCs w:val="20"/>
          <w:color w:val="auto"/>
        </w:rPr>
      </w:pPr>
    </w:p>
    <w:p>
      <w:pPr>
        <w:ind w:left="980" w:right="800" w:hanging="648"/>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existing contracts, in whole or in part, for convenience, as well as for default, or if funds for contract performance for any subsequent year become unavailable;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existing contracts if we are suspended or debarred from doing business with the federal government or with a governmental agency;</w:t>
      </w:r>
    </w:p>
    <w:p>
      <w:pPr>
        <w:spacing w:after="0" w:line="117" w:lineRule="exact"/>
        <w:rPr>
          <w:rFonts w:ascii="Times New Roman" w:cs="Times New Roman" w:eastAsia="Times New Roman" w:hAnsi="Times New Roman"/>
          <w:sz w:val="18"/>
          <w:szCs w:val="18"/>
          <w:color w:val="auto"/>
        </w:rPr>
      </w:pPr>
    </w:p>
    <w:p>
      <w:pPr>
        <w:ind w:left="980" w:right="180" w:hanging="648"/>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future procurement awards with a particular agency as a result of a finding of an organizational conflict of interest based upon prior related work performed for the agency that would give a contractor an unfair advantage over competing contractors; and</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 products and systems produced by us.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the U.S. Government terminates a contract for convenience, the counterparty with whom we have contracted on a subcontract may terminate its contract with us. As a result of any such termination, whether on a direct government contract or subcontract, we may recover only our incurred or committed costs, settlement expenses and profit on work completed prior to the termination. If the U.S. Government terminates a direct contract with us for default, we may not even recover those amounts and instead may be liable for excess costs incurred by the U.S. Government in procuring undelivered items and services from another source.</w:t>
      </w:r>
    </w:p>
    <w:p>
      <w:pPr>
        <w:spacing w:after="0" w:line="1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addition, the U.S. Government is typically required to open all programs to competitive bidding and, therefore, may not automatically renew any of its prime contracts. If one or more of our customers’ government prime or subcontracts is terminated or canceled, our failure to replace sales generated from such contracts would result in lower sales and could have an adverse effect on our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consolidation in the aerospace industry could adversely affect our business and financial results.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aerospace and defense industry is experiencing significant consolidation, including our customers, competitors and suppliers. Consolidation among our customers may result in delays in the awarding of new contracts and losses of existing business. Consolidation among our competitors may result in larger competitors with greater resources and market share, which could adversely affect our ability to compete successfully. Consolidation among our suppliers may result in fewer sources of supply and increased cost to us.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 includes evaluating selected acquisitions, which entails certain risks to our business and financial performance.</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historically achieved a portion of our growth through acquisitions and expect to evaluate selected future acquisitions as part of our strategy for growth. Any acquisition of another business entails risks and it is possible that we may not realize the expected benefits from an acquisition or that an acquisition could adversely affect our existing operations. Acquisitions entail certain risks, including:</w:t>
      </w:r>
    </w:p>
    <w:p>
      <w:pPr>
        <w:spacing w:after="0" w:line="68" w:lineRule="exact"/>
        <w:rPr>
          <w:sz w:val="20"/>
          <w:szCs w:val="20"/>
          <w:color w:val="auto"/>
        </w:rPr>
      </w:pPr>
    </w:p>
    <w:p>
      <w:pPr>
        <w:ind w:left="980" w:right="480" w:hanging="648"/>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integrating the operations and personnel of the acquired company within our existing operations or in maintaining uniform standards;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or customers of the acquired company;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achieve anticipated synergies;</w:t>
      </w:r>
    </w:p>
    <w:p>
      <w:pPr>
        <w:spacing w:after="0" w:line="117" w:lineRule="exact"/>
        <w:rPr>
          <w:rFonts w:ascii="Times New Roman" w:cs="Times New Roman" w:eastAsia="Times New Roman" w:hAnsi="Times New Roman"/>
          <w:sz w:val="18"/>
          <w:szCs w:val="18"/>
          <w:color w:val="auto"/>
        </w:rPr>
      </w:pPr>
    </w:p>
    <w:p>
      <w:pPr>
        <w:ind w:left="980" w:right="680" w:hanging="648"/>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unrecorded liabilities of acquired companies that we fail to discover during our due diligence investigations or that are not subject to indemnification or reimbursement by the seller; and</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other personnel having their time and resources diverted to evaluate, negotiate and integrate acquisitions.</w:t>
      </w:r>
    </w:p>
    <w:p>
      <w:pPr>
        <w:spacing w:after="0" w:line="16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successful in achieving expected operating efficiencies and sustaining or improving operating expense reductions, and may experience business disruptions associated with restructuring, performance center consolidations, realignment, cost reduction, and other strategic initiatives.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recent years, we have implemented a number of restructuring, realignment, and cost reduction initiatives, including performance center consolidations, organizational realignments, and reductions in our workforce. While we have realized some efficiencies from these actions, we may not realize the benefits of these initiatives to the extent we anticipated. Further, such benefits may be realized later than expected, and the ongoing difficulties in implementing these measures may be greater than anticipated, which could cause us to incur additional costs or result in business disruptions. In addition, if these measures are not successful or sustainable, we may have to undertake additional realignment and cost reduction efforts, which could result in significant additional charges. Moreover, if our restructuring and realignment efforts prove ineffective, our ability to achieve our other strategic and business plan goals may be adversely impacted.</w:t>
      </w:r>
    </w:p>
    <w:p>
      <w:pPr>
        <w:spacing w:after="0" w:line="13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As we move up the value chain to become a more value added supplier, enhanced design, product development, manufacturing, supply chain project management and other skills will be required.</w:t>
      </w:r>
    </w:p>
    <w:p>
      <w:pPr>
        <w:spacing w:after="0" w:line="10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may encounter difficulties as we execute our growth strategy to move up the value chain to become a more value added supplier of more complex assemblies. Difficulties we may encounter include, but are not limited to, the need for enhanced and expanded product design skills, enhanced ability to control and influence our suppliers, enhanced quality control systems and infrastructure, enhanced large-scale project management skills, and expanded industry certifications. Assuming incremental project design responsibilities would require us to assume additional risk in developing cost estimates and could expose us to increased risk of losses. There can be no assurance that we will be successful in obtaining the enhanced skills required to move up the value chain or that our customers will outsource such functions to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operating and conducting our business outside the United States could adversely impact us.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 manufacturing facility that we lease in Mexico and also derive a portion of our net revenues from direct foreign sales. Further, our customers may derive portions of their revenues from non-U.S. customers. As a result, we are subject to the risks of conducting and operating our business internationally, including:</w:t>
      </w:r>
    </w:p>
    <w:p>
      <w:pPr>
        <w:spacing w:after="0" w:line="68" w:lineRule="exact"/>
        <w:rPr>
          <w:sz w:val="20"/>
          <w:szCs w:val="20"/>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geopolitical developments and conditions;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disasters, natural or otherwise;</w:t>
      </w:r>
    </w:p>
    <w:p>
      <w:pPr>
        <w:spacing w:after="0" w:line="117" w:lineRule="exact"/>
        <w:rPr>
          <w:rFonts w:ascii="Times New Roman" w:cs="Times New Roman" w:eastAsia="Times New Roman" w:hAnsi="Times New Roman"/>
          <w:sz w:val="18"/>
          <w:szCs w:val="18"/>
          <w:color w:val="auto"/>
        </w:rPr>
      </w:pPr>
    </w:p>
    <w:p>
      <w:pPr>
        <w:ind w:left="980" w:right="200" w:hanging="648"/>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variety of international laws, as well as U.S. laws affecting the activities of U.S. companies conducting business abroad, including, but not limited to, the Foreign Corrupt Practices Act;</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taxes, export control approvals or licenses, tariffs, embargoes and other trade restrictions;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repatriating funds or restrictions on cash transfers;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new tariffs imposed on imports by the U.S. administration.</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While the impact of these factors is difficult to predict, we believe any one or more of these factors could have a material adverse effect on our financial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pricing pressures could reduce the demand and/or price for our products and services.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markets we serve are highly competitive and price sensitive. We compete worldwide with a number of domestic and international companies that have substantially greater manufacturing, purchasing, marketing and financial resources than we do. Many of our customers have the in-house capability to fulfill their manufacturing requirements. Our larger competitors may be able to compete more effectively for very large-scale contracts than we can by providing different or greater capabilities or benefits such as technical qualifications, past performance on large-scale contracts, geographic presence, price and availability of key professional personnel. If we are unable to successfully compete for new business, our net revenues growth and operating margins may decline.</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Some of our major customers have completed extensive cost containment efforts and we expect continued pricing pressures in 2024 and beyond. Competitive pricing pressures may have an adverse effect on our financial condition and operating results. Further, there can be no assurance that competition from existing or potential competitors in other segments of our business will not have a material adverse effect on our financial results. If we do not continue to compete effectively and win contracts, our future business, financial condition, results of operations and our ability to meet our financial obligations may be materially compromised.</w:t>
      </w:r>
    </w:p>
    <w:p>
      <w:pPr>
        <w:spacing w:after="0" w:line="12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and processes are subject to risk of obsolescence as a result of changes in technology and evolving industry and regulatory standards.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depends in large part upon our and our customers’ ability to maintain and enhance technological capabilities, develop and market manufacturing services that meet changing customer needs and successfully anticipate or respond to technological advances in manufacturing processes such as the incorporation of artificial intelligence and other disruptive technologies on a cost-effective and timely basis, while meeting evolving industry and regulatory standards. To address these risks, we invest in product design and development, and incur related capital expenditures. There can be no guarantee that our product design and development efforts will be successful, or that funds required to be invested in product design and development or incurred as capital expenditures will not increase materially in the future.</w:t>
      </w:r>
    </w:p>
    <w:p>
      <w:pPr>
        <w:spacing w:after="0" w:line="12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We may not have the ability to renew facilities leases on terms favorable to us and relocation of operations presents risks due to business interruption.</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Certain of our manufacturing facilities and offices are leased and have lease terms that expire between 2024 and 2032. The majority of these leases provide renewal options at the fair market rental rate at the time of renewal, which, if renewed, could be significantly higher than our current rental rates. We may be unable to offset these cost increases by charging more for our products and services. Furthermore, continued economic conditions may continue to negatively impact and create greater pressure in the commercial real estate market, causing higher incidences of landlord default and/or lender foreclosure of properties, including properties occupied by us. While we maintain certain non-disturbance rights in most cases, it is not certain that such rights will in all cases be upheld and our continued right of occupancy in such instances could be potentially jeopardized. An occurrence of any of these events could have a material adverse effect on our financial results.</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Additionally, if we choose to move any of our operations, those operations may be subject to additional relocation costs and associated risks of business interruption.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TAX, AND ACCOUNTING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extensive regulation and audit by the Defense Contract Audit Agency.</w:t>
      </w:r>
    </w:p>
    <w:p>
      <w:pPr>
        <w:spacing w:after="0" w:line="17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7"/>
          <w:szCs w:val="17"/>
          <w:color w:val="auto"/>
        </w:rPr>
        <w:t>he accuracy and appropriateness of certain costs and expenses used to substantiate our direct and indirect costs for the U.S. Government contracts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subject to extensive regulation and audit by the Defense Contract Audit Agency, an arm of the U.S. DoD. Such audits and reviews could result in adjustments to our contract costs and profitability. However, we cannot ensure the outcome of any future audits and adjustments may be required to reduce net sales or profits upon completion and final negotiation of audits. If any audit or review were to uncover inaccurate costs or improper activities, we could be subject to penalties and sanctions, including termination of contracts, forfeiture of profits, suspension of payments, fines and suspension or prohibition from conducting future business with the U.S. Government. Any such outcome could have a material adverse effect on our financial results.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a number of procurement laws and regulations. Our business and our reputation could be adversely affected if we fail to comply with these laws.</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impose certain risks and costs on our business. A violation of specific laws and regulations, by us, our employees, or others working on our behalf, such as a supplier or a venture partner, could harm our reputation and result in the imposition of fines and penalties, the termination of our contracts, suspension or debarment from bidding on or being awarded contracts, loss of our ability to export products or services and civil or criminal investigations or proceedings.</w:t>
      </w:r>
    </w:p>
    <w:p>
      <w:pPr>
        <w:spacing w:after="0" w:line="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some instances, these laws and regulations impose terms or rights that are different from those typically found in commercial transactions. For example, the U.S. Government may terminate any of our customers’ government contracts and subcontracts either at its convenience or for default based on our performance. Upon termination for convenience of a fixed-price type contract, we normally are entitled to receive the purchase price for delivered items, reimbursement for allowable costs for work-in-process and an allowance for profit on the contract or adjustment for loss if completion of performance would have resulted in a loss.</w:t>
      </w:r>
    </w:p>
    <w:p>
      <w:pPr>
        <w:spacing w:after="0" w:line="4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Our operations are subject to numerous extensive, complex, costly and evolving laws, regulations and restrictions, including cybersecurity requirements, and failure to comply with these laws, regulations and restrictions could subject us to penalties and sanctions that could harm our business.</w:t>
      </w:r>
    </w:p>
    <w:p>
      <w:pPr>
        <w:spacing w:after="0" w:line="121"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Prime contracts with our major customers that have contracts with various agencies of the U.S. Government are subject to numerous laws, regulations and certifications, which affect how we do business with our customers and may impose added costs to our business. As a result, our contracts and operations are subject to numerous extensive, complex, costly and evolving laws, regulations and restrictions, principally by the U.S. Government or their agencies.</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laws, regulations and restrictions govern items including, but not limited to, the formation, administration and performance of U.S. Government contracts, disclosure of cost and pricing data, civil penalties for violations of false claims to the U.S. Government for payment, defining reimbursable costs, establishing ethical standards for the procurement process, controlling the import and export of defense articles and services, and cybersecurity requirements, such as Cybersecurity Maturity Model Certification (“CMMC”).</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Noncompliance could expose us to liability for penalties, including termination of our contracts and subcontracts, disqualification from bidding on future U.S. Government contracts and subcontracts, suspension or debarment from U.S. Government contracting and various other fines and penalties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Noncompliance found by any one agency could result in fines, penalties, debarment or suspension from receiving additional contracts with all U.S. Government agencies. Given our dependence on U.S. Government business, suspension or debarment could have a material adverse effect on our financial results.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U.S. Government may revise its procurement practices or adopt new contract rules and regulations at any time, including increased usage of fixed-price contracts, procurement reform, and compliance with cybersecurity requirements. Such changes could impair our ability to obtain new contracts or subcontracts or renew contracts or subcontracts under which we currently perform when those contracts are put up for competitive bidding. Any new contracting methods could be costly or administratively difficult for us to implement and could adversely affect our future net revenues.</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our international operations subject us to numerous U.S. and foreign laws and regulations, including, without limitation, regulations relating to import-export control, technology transfer restrictions, repatriation of earnings, exchange controls, the Foreign Corrupt Practices Act, and the anti-boycott provisions of the U.S. Export Administration Act. Changes in regulations or political environments may affect our ability to conduct business in foreign markets including investment, procurement and repatriation of earnings. Failure by us or our sales representatives or consultants to comply with these laws and regulations could result in certain liabilities and could possibly result in suspension or debarment from government contracts or suspension of our export privileges, which could have a material adverse effect on our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liabilities could adversely affect our financial results.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local, and foreign environmental laws and regulations, including those relating to the use, storage, transport, discharge and disposal of hazardous and non-hazardous chemicals and materials used and emissions generated during our manufacturing process. We do not carry insurance for these potential environmental liabilities. Any failure by us to comply with present or future regulations could subject us to future liabilities or the suspension of production, which could have a material adverse effect on our financial results. Moreover, some environmental laws relating to contaminated sites can impose joint and several liability retroactively regardless of fault or the legality of the activities giving rise to the contamination. Compliance with existing or future environmental laws and regulations may require extensive capital expenditures, increase our cost or impact our production capabilities. Even if such expenditures are made, there can be no assurance that we will be able to comply. We have been directed to investigate and take corrective action for groundwater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contamination at certain sites and our ultimate liability for such matters will depend upon a number of factors. See Note 15 to our consolidated financial statements included in Part IV, Item 15(a) of this Form 10-K for further information.</w:t>
      </w:r>
    </w:p>
    <w:p>
      <w:pPr>
        <w:spacing w:after="0" w:line="10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We may be subject to litigation, other legal proceedings and indemnity claims, and, if any of these are resolved adversely against us in amounts that exceed the limits of our insurance coverage, it could have a material adverse effect on our business, financial condition, and results of operations.</w:t>
      </w:r>
    </w:p>
    <w:p>
      <w:pPr>
        <w:spacing w:after="0" w:line="12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From time to time, we and our subsidiaries are involved in various legal and other proceedings that are incidental to the conduct of our business. Any litigation, other legal proceedings or indemnity claims could result in an unfavorable judgment that may not be reversed upon appeal or in payments of substantial monetary damages or fines that may exceed our insurance coverage limits, or we may decide to settle on similarly unfavorable terms, any of which could adversely affect our business, financial condition, and results of operations. We could also suffer an adverse impact on our reputation and a diversion of management’s attention and resources, which could have a material adverse effect on our business, financial condition, and results of operations. See Note 13 and Note 15 to our consolidated financial statements included in Part IV, Item 15(a) of this Form 10-K for further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claims in excess of insurance could adversely affect our financial results and financial condition.</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face potential liability for property damage, personal injury, or death as a result of the failure of products designed or manufactured by us. Although we currently maintain product liability insurance (including aircraft product liability insurance), any material product liability not covered by insurance could have a material adverse effect on our financial condition, results of operations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use estimates when bidding on fixed-price contracts. Changes in our estimates could adversely affect our financial results.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enter into contracts providing for a firm, fixed-price for the sale of a majority of our products, regardless of the production costs incurred by us. In many cases, we make multi-year firm, fixed-price commitments to our customers, without assurance that our anticipated production costs will be achieved. Contract bidding and accounting require judgment relative to assessing risks, estimating contract net sales and costs, including estimating cost increases over time and efficiencies to be gained, and making assumptions for supplier sourcing and quality, manufacturing scheduling and technical issues over the life of the contract. Such assumptions can be particularly difficult to estimate for contracts with new customers. Inaccurate estimates of these costs could result in reduced profits or incurred losses. Due to the significance of the judgments and estimates involved, it is possible that materially different amounts could be obtained if different assumptions were used or if the underlying circumstances were to change. Therefore, any changes in our underlying assumptions, circumstances or estimates could have a material adverse effect on our financial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and/or other assets could be impaired in the future, which could result in substantial charges.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Goodwill is tested for impairment on an annual basis as of the first day of our fourth quarter or more frequently if events or circumstances occur which could indicate potential impairment. In assessing the recoverability of goodwill, management is required to make certain critical estimates and assumptions. These estimates and assumptions include projected sales levels, including the addition of new customers, programs or platforms and increased content on existing programs or platforms, improvements in manufacturing efficiency, and reductions in operating costs. Due to many variables inherent in the estimation of a business’s fair value and the relative size of our recorded goodwill, changes in estimates and assumptions may have a material effect on the results of our impairment analysis. If any of these or other estimates and assumptions are not realized in the future, or if market multiples decline, we may be required to record an impairment charge for goodwill.</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also test intangible assets with indefinite life periods for potential impairment annually and on an interim basis if there are indicators of potential impairment.</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we evaluate amortizable intangible assets, fixed assets, production cost of contracts, and lease right-of-use assets for impairment if there are indicators of a potential impairment.</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Further, impairment charges may be incurred against other intangible assets or long-term assets if asset utilization declines, customer demand declines or other circumstances indicate that the asset carrying value may not be recoverable.</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goodwill and other intangible assets as of December 31, 2023 were $410.9 million, or 37% of total assets. If our goodwill and/or other assets are impaired, it could have an adverse effect on our results of operations and financial condition. See “Goodwill and Other Intangible Assets” in Note 7 of our consolidated financial statements included in Part IV, Item 15(a) of this Form 10-K for further information.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expect to face increased costs and resources to comply with the new SEC cybersecurity rule.</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SEC recently adopted a rule, “Cybersecurity Risk Management, Strategy, Governance, and Incident Disclosure,” that enhances and standardizes disclosures regarding cybersecurity risk management and governance, as well as material cybersecurity incidents. Under this new rule, public companies are now required to make annual disclosures describing their processes for identifying and managing material cybersecurity risks, management’s role in assessing and managing such risks, and the Board of Directors’ oversight of cybersecurity risks. Companies also must disclose in a Form 8-K, the nature, scope, and timing of any material cybersecurity incidents identified and the material impact or reasonably likely material impact on the company within four business days of determining a cybersecurity incident is material. We expect to face increased costs to comply with this new SEC cybersecurity rule, including increased costs for cybersecurity training, staffing, and management. In addition, the requirement to report cybersecurity incidents within such a short timeframe could mean there may not be sufficient time to halt a breach before having to report it, potentially giving the hackers an advantage.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Unanticipated changes in our tax provision or exposure to additional income tax liabilities could affect our profitability.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our provision for income taxes. In the ordinary course of our business, there are transactions and calculations where the ultimate tax determination is uncertain. Furthermore, changes in income tax laws and regulations, or their interpretation, could result in higher or lower income tax rates assessed or changes in the taxability of certain sales or the deductibility of certain expenses, thereby affecting our income tax expense and profitability. In addition, we are regularly under audit by tax authorities. The final determination of tax audits and any related litigation could be materially different from our historical income tax provisions and accruals.</w:t>
      </w:r>
    </w:p>
    <w:p>
      <w:pPr>
        <w:spacing w:after="0" w:line="1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Management has identified a material weakness in our internal control over financial reporting which could, if not remediated, adversely impact the reliability of our financial reports, cause us to submit our financial reports in an untimely fashion, result in material misstatements in our financial statements and cause current and potential stockholders to lose confidence in our financial reporting, which in turn could adversely affect the trading price of our stock.</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concluded that there is a material weakness in our internal control over financial reporting as we did not design and maintain effective controls over the accuracy of contract terms and the reasonableness of gross margin assumptions used to recognize revenue. Specifically, we did not verify that amendments to purchase orders and gross margin percentage assumptions used in the Company’s revenue recognition analysis were properly reviewed at a sufficient level of precision. The material weakness resulted in immaterial adjustments to net revenues and contract assets as of and for the quarterly and annual periods ending December 31, 2023. Additionally, until remediated, this material weakness could result in future misstatements of net revenues and contract assets that would result in a material misstatement to the annual or interim consolidated financial statements that would not be prevented or detected. Thus, management has determined that our disclosure controls and procedures and internal control over financial reporting were not effective as of December 31, 2023.</w:t>
      </w:r>
    </w:p>
    <w:p>
      <w:pPr>
        <w:spacing w:after="0" w:line="13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Under standards established by the Public Company Accounting Oversight Board (“PCAOB”),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The existence of this issue could adversely affect us, our reputation or investor perceptions of us. We have and will continue to take additional measures to remediate the underlying causes of the material weakness noted above. As we continue to evaluate and work to remediate the material weakness, we may determine to take additional measures to address the control deficiencies. Also, see Item 9A in Part II of this Form 10-K.</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Although we plan to complete this remediation process as quickly as possible, our measures may not prove to be successful in remediating this material weakness. If our remedial measures are insufficient to address the material weakness, or if additional material weaknesses or significant deficiencies in our internal control over financial reporting are discovered or occur in the future, our consolidated financial statements may contain material misstatements and we could be required to restate our financial results. In addition, if we are unable to successfully remediate this material weakness and if we are unable to produce accurate and timely financial statements, our stock price may be adversely affected and we may be unable to maintain compliance with applicable stock exchange listing requirements and debt covenant requirements.</w:t>
      </w:r>
    </w:p>
    <w:p>
      <w:pPr>
        <w:spacing w:after="0" w:line="1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accurately report our financial results or prevent fraud may be adversely affected if our internal control over financial reporting is not effective.</w:t>
      </w:r>
    </w:p>
    <w:p>
      <w:pPr>
        <w:spacing w:after="0" w:line="1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as a result of changed conditions, and fraud. Due to these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our ability to accurately report our financial results or prevent fraud could be adversely affected.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AND SUPPLY CHAIN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upon our ability to attract and retain key personnel.</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success depends in part upon our ability to attract and retain key engineering, technical and managerial personnel, at both the executive and performance center level. We face competition for management, engineering and technical personnel from other companies and organizations. The loss of members of our senior management group, or key engineering and technical personnel, could negatively impact our ability to grow and remain competitive in the future and could have a material adverse effect on our financial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disruptions by our employees could adversely affect our business.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2023, we employed 2,265 people. Two of our performance centers are parties to collective bargaining agreements, covering 97 full time hourly employees in one of those performance centers and 271 full time hourly employees in the other performance center, which will expire in June 2024 and April 2025, respectively. However, the Monrovia, California performance center that employs 97 of our collective bargaining employees that are covered by an agreement that expires in June 2024 will be ceasing production and the facility is currently expected to close by the middle of 2024. See Note 3 to our consolidated financial statements included in Part IV, Item 15(a) of this Form 10-K for further information. Although we have not experienced any material labor-related work stoppage and consider our relations with our employees to be good, labor stoppages may occur in the future. If the unionized workers were to engage in a strike or other work stoppage, if we are unable to negotiate acceptable collective bargaining agreements with the unions or if other employees were to become unionized, we could experience a significant disruption of our operations, higher ongoing labor costs and possible loss of customer contracts, which could have an adverse effect on our business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our suppliers to meet the quality and delivery expectations of our customers.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ability to deliver our products and services on schedule and to satisfy specific quality levels is dependent upon a variety of factors, including execution of internal performance plans, availability of raw materials, internal and supplier produced parts and structures, conversion of raw materials into parts and assemblies, and performance of suppliers and others.</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rely on numerous third-party suppliers for raw materials and a large proportion of the components used in our production process. Certain of these raw materials and components are available only from single sources or a limited number of suppliers, or similarly, customers’ specifications may require us to obtain raw materials and/or components from a single source or certain suppliers. Many of our suppliers are small companies with limited financial resources and manufacturing capabilities. We do not currently have the ability to manufacture these components ourselves. These and other factors, including the impact from import tariffs, the loss of a critical supplier or raw materials and/or component shortages, could cause disruptions or cost inefficiencies in our operations. Additionally, our competitors that have greater direct purchasing power, may have product cost advantages which could have a material adverse effect on our financial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Pandemics and other disease outbreaks such as COVID-19 and similar health threats that may arise in the future may have a material adverse effect on our business, results of operations, and financial condition.</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While the commercial aerospace industry continues to recover from the effects of the COVID-19 pandemic, new variants of that disease, along with other similar public health threats may have or may continue to have an adverse impact on our employees, operations, businesses of our customers, suppliers and distribution partners, and volatility in the financial markets. Changes in our operations in response to the COVID-19 pandemic and other health threats or employee illnesses resulting from such diseases, has resulted in and may continue to result in inefficiencies or delays, including in sales and product development efforts and our manufacturing and supply chain, and additional costs related to business continuity initiatives, that cannot be fully mitigated through succession planning, employees working remotely, or teleconferencing technologies. The long-term impact to our business remains unknown due to the numerous uncertainties that have risen from such health threats, including the severity of the disease, the duration of the outbreak, the likelihood of resurgences of the outbreak, including the emergence and spread of variants, actions that may be taken by governmental authorities in response to the disease, the timing, distribution, efficacy and public acceptance of vaccines, long-term impact from diseases or vaccines, and related unintended or unanticipated consequences.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ability to continue to manufacture products is highly dependent on our ability to maintain the safety and health of our performance center employees. While we continue to follow guidelines and requirements of governmental authorities and taking preventive and protective measures to prioritize the safety and well-being of our employees, these measures are not always successful. Thus far, the ability of our employees to work has not been significantly impacted by individuals contracting or being exposed to COVID-19 or its variants. However, if an outbreak of COVID-19 or other viruses does occur at any of our performance centers, it may disrupt our ability to manufacture products and thus, have a material and adverse impact on our business, financial condition, and results of operations.</w:t>
      </w:r>
    </w:p>
    <w:p>
      <w:pPr>
        <w:spacing w:after="0" w:line="12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Increased scrutiny from investors, lenders, and other market participants regarding our environmental, social, and governance, or sustainability responsibilities could expose us to additional costs and adversely impact our liquidity, results of operations, reputation, employee retention, and stock price.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There is an increasing focus from certain investors, customers, and other key stakeholders concerning corporate responsibility, specifically related to environmental, social, and governance (“ESG”) factors. Some investors may use ESG criteria to guide their investment strategies and, in some cases, may choose not to invest in us if they believe our policies relating to corporate responsibilities are inadequate. Lenders may also use ESG criteria to guide their lending practices and, in some cases, may choose not to lend to us.</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ESG factors by which companies’ corporate responsibility practices are assessed may change. This could result in greater expectations of us and cause us to undertake costly initiatives to satisfy such new criteria. If we are unable to satisfy the new corporate responsibility criteria, investors may view our policies related to corporate responsibility as inadequate. We risk damage to our reputation in the event our corporate responsibility procedures or goals do not meet the standards or goals set by various constituencies. In addition, if our competitors’ corporate responsibility performance is perceived to be greater than ours, potential or current investors may elect to invest in our competitors instead. Further, in the event we communicate certain initiatives or goals related to ESG, we could fail, or be perceived to have failed, in our achievement of such initiatives or goals. If we fail to satisfy the expectations of investors and other key stakeholders, or our initiatives are not executed as planned, our reputation, employee retention, and willingness of our customers and suppliers to do business with us, financial results, and stock price could be materially and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attacks, internal system or service failures may adversely impact our business and operations.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system or service disruptions, including those caused by projects to improve our information technology systems, if not anticipated and appropriately mitigated, could disrupt our business and impair our ability to effectively provide products and related services to our customers and could have a material adverse effect on our business. We could also be subject to systems failures, including network, software or hardware failures, whether caused by us, third-party service providers, intruders or hackers, computer viruses, natural disasters, power shortages or terrorist attacks. Cybersecurity threats are evolving and include, but are not limited to, malicious software, unauthorized attempts to gain access to sensitive, confidential or otherwise protected information related to us or our products, our employees, customers or suppliers, or other acts that could lead to disruptions in our business, which risk may be heightened by the increased prevalence and use of artificial intelligence. Any such failures could cause loss of data and interruptions or delays in our business, cause us to incur remediation costs, subject us to claims and damage our reputation. In addition, such cybersecurity attacks may result in a significant ransom demand. Further, the failure or disruption of our communications or utilities could cause us to interrupt or suspend our operations or otherwise adversely affect our business. Our property and business interruption insurance may be inadequate to compensate us for all losses that may occur as a result of any system or operational failure or disruption which would adversely affect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adequately protect or enforce our intellectual property rights.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intellectual property rights may not be sufficiently broad or otherwise may not provide us a significant competitive advantage, and patents may not be issued for pending or future patent applications owned by or licensed to us. As patents expire, we could face increased competition, which could negatively impact our operating results. Infringement of our intellectual property and other proprietary rights by a third party, or copying of our technology in countries where we do not hold patents, could result in uncompensated lost market and revenue opportunities. We cannot be certain that the measures we have implemented will prevent our intellectual property from being improperly disclosed, challenged, invalidated, or circumvented, particularly in countries where intellectual property rights are not highly developed or protected. For example, competitors may avoid infringement liability by developing non-infringing competing technologies or by effectively concealing infringement. We may need to spend significant resources monitoring and enforcing our intellectual property rights and we may not be aware of or able to detect or prove infringement by third parties. Our ability to enforce our intellectual property rights is subject to litigation risks, as well as uncertainty as to the protection and enforceability of those rights in some countries. If we seek to enforce our intellectual property rights, we may be subject to claims that those rights are invalid or unenforceable, and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others may seek counterclaims against us, which could have a negative impact on our business. In addition, changes in intellectual property laws or their interpretation may impact our ability to protect and assert our intellectual property rights, increase costs and uncertainties in the prosecution of patent applications and enforcement or defense of issued patents, and diminish the value of our intellectual property. If we do not protect and enforce our intellectual property rights successfully, or if they are circumvented, invalidated, or rendered obsolete by the rapid pace of technological change, it could have an adverse impact on our competitive position and our operating results.</w:t>
      </w:r>
    </w:p>
    <w:p>
      <w:pPr>
        <w:spacing w:after="0" w:line="1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Assertions by third parties that we violated their intellectual property rights could have a material adverse effect on our business, financial condition, and results of operations.</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Third parties may claim that we, our customers, licensees, or parties indemnified by us are infringing upon or otherwise violating their intellectual property rights. Such claims may be made by competitors seeking to obtain a competitive advantage or by other parties. Additionally, in recent years, individuals and groups have begun purchasing intellectual property assets for the purpose of making claims of infringement and attempting to extract settlements from companies like ours.</w:t>
      </w:r>
    </w:p>
    <w:p>
      <w:pPr>
        <w:spacing w:after="0" w:line="112"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Any claims that we violated a third party’s intellectual property rights can be time consuming and costly to defend and distract management’s attention and resources, even if the claims are without merit. Such claims may also require us to redesign affected products and services, enter into costly settlement or license agreements or pay costly damage awards, or face a temporary or permanent injunction prohibiting us from marketing or providing the affected products and services. Even if we have an agreement to indemnify us against such costs, the indemnifying party may not have sufficient financial resources or otherwise be unable to uphold its contractual obligations. If we cannot or do not license the infringed technology on favorable terms or cannot or do not substitute similar technology from another source, our revenue and earnings could be adversely impacted.</w:t>
      </w:r>
    </w:p>
    <w:p>
      <w:pPr>
        <w:spacing w:after="0" w:line="14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Damage or destruction of our facilities caused by storms, earthquake, fires or other causes could adversely affect our financial results and financial condition.</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operations located in regions of the U.S. and Mexico that may be exposed to damaging storms, earthquakes, fires and other natural disasters. Although we maintain standard property casualty insurance covering our properties and may be able to recover costs associated with certain natural disasters through insurance, we do not carry any earthquake insurance because of the cost of such insurance. Many of our properties are located in Southern California, an area subject to earthquake activity. Our California performance centers generated $185.9 million in net revenues during 2023. Even if covered by insurance, any significant damage or destruction of our facilities due to storms, earthquakes, fires or other natural disasters could result in our inability to meet customer delivery schedules and may result in the loss of customers and significant additional costs to us. Thus, any significant damage or destruction of our properties could have a material adverse effect on our business, financial condition or results of operations. See discussion of a fire in June 2020 which severely damaged our Guaymas, Mexico performance center in Note 15 to our consolidated financial statements included in Part IV, Item 15(a) of this Form 10-K for further information.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an enterprise-wide approach to addressing cybersecurity risk, including input and participation from management and support from our Information Technology (“IT”) Steering Committee that is comprised of our Senior Vice President Electronic and Structural Systems, Chief Financial Officer, General Counsel, Chief Human Resources Officer, Vice President Supply Chain Management, and Chief Information Security Officer (Head of IT and Cybersecurity or “CISO”). Our cybersecurity risk management program leverages the National Institute of Standards and Technology (“NIST”) Framework which augmented with Cybersecurity Maturity Model Certification (“CMMC”) components to meet our particular needs. We regularly assess the threat landscape and take a holistic view of the cybersecurity risks, with a layered cybersecurity strategy based on protection, detection, and mitigation. Our IT security team, which is comprised of internal resources, reviews enterprise risk management-level cybersecurity risks at least annually.</w:t>
      </w:r>
    </w:p>
    <w:p>
      <w:pPr>
        <w:spacing w:after="0" w:line="6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CISO is responsible for developing, implementing, and maintaining our information security strategy and program, as well as reporting various cybersecurity risk matters to our IT Steering Committee, and the Board’s Innovation Committee. The Innovations Committee is a subset of the full Board of Directors which receive regular updates on our cybersecurity program.</w:t>
      </w:r>
    </w:p>
    <w:p>
      <w:pPr>
        <w:spacing w:after="0" w:line="4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CISO has over 17 years of experience leading cybersecurity oversight for several companies and is updated on cyber events related to the monitoring, prevention, detection, mitigation, and remediation efforts from our IT security team. The IT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security team have broad cybersecurity expertise or industry certifications and are knowledgeable in the use of cybersecurity tools and software. In addition, third-party cybersecurity services are used to augment our in-house capabilities, as needed.</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continue to expand investments in IT security, including additional end-user security awareness training, using layered defenses, identifying and protecting critical systems, strengthening monitoring and alerting, and engaging experts as needed. We also use an industry standard risk quantification model to identify, measure, and prioritize cybersecurity risks. This in turn, helps us develop and implement effective security controls and technology defenses. In addition, all employees are required to complete various cybersecurity trainings on a regular basis. Further, we perform periodic simulations and tabletop exercises with the IT security team and will continue to expand its participants as appropriate. Our assessment of risks associated with the use of third party providers on a limited basis is part of our current overall cybersecurity risk management approach. As the threats and attacks are becoming more sophisticated, we will modify and enhance our cybersecurity program as needed.</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defense contractor, we must also comply with extensive regulations, including requirements imposed by the Defense Federal Acquisition Regulation Supplement (“DFARS”) related to adequately safeguarding controlled unclassified information (“CUI”). The Department of Defense (“DoD”) will require defense contractors to comply with its CMMC program in the future. We are incorporating the requirements of the CMMC program into our overall cybersecurity program and anticipate we will be in position to meet such requirements when it becomes effective.</w:t>
      </w:r>
    </w:p>
    <w:p>
      <w:pPr>
        <w:spacing w:after="0" w:line="5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Cybersecurity threats, including as a result of any previous cybersecurity incidents have not materially affected or are not reasonably likely to materiality affect us, including our business strategy, results of operations or financial condition. See “Cybersecurity attacks, internal system or service failures may adversely impact our business and operations” in Risk Factors included in Part I, Item 1A of this Form 10-K. Such incidents, whether or not successful, could result in our incurring significant costs related to, for example, rebuilding our internal systems, implementing additional threat protection measures, defending against litigation, responding to regulatory inquiries or actions, paying damages, providing customers with incentives to maintain a business relationship with us, or taking other remedial steps with third-parties, as well as incurring significant reputational harm. In addition, these threats are constantly evolving, thereby increasing the difficulty of successfully defending against them or implementing adequate preventive measures. For more information regarding the risks we face from cybersecurity threats, please see Risk Factors included in Part I, Item 1A of this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Our headquarters are located in Santa Ana, California. As of December 31, 2023, we owned or leased facilities and land for corporate functions and manufacturing at locations throughout the United States and a manufacturing location outside the United States. We believe our existing facilities are suitable and adequate for our present purposes. Each of our reportable segments uses each of these facilities.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to our consolidated financial statements included in Part IV, Item 15(a) of this Form 10-K for a description of our legal proceedings.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740" w:right="140" w:hanging="728"/>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2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DCO. As of December 31, 2023, we had 134 holders of record of our common stock. We have not paid any dividends since the first quarter of 2011 and we do not expect to pay dividends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900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See “Part III, Item 12. SECURITY OWNERSHIP OF CERTAIN BENEFICIAL OWNERS AND MANAGEMENT AND RELATED STOCKHOLDER MATTERS” for information relating to shares to be issued under equity compensation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yearly percentage change in our cumulative total shareholder return with the cumulative total return of the Russell 2000 Index and the median of our 2024 Proxy Statement peers (“Median of Peers”) over a five year period, assuming the reinvestment of any dividends.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863590" cy="2957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340"/>
        <w:spacing w:after="0" w:line="448"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 on Our Business</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COVID-19 pandemic had a significant impact on our overall business during the prior year ended December 31, 2022. As a result of the COVID-19 pandemic, precautionary measures were instituted by governments and businesses to mitigate its spread, including the imposition of travel restrictions, quarantines, shelter in place directives, and shutting down of non-essential businesses.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residual effects of the COVID-19 pandemic and the resulting inflation, rising or high interest rates, supply chain issues, geopolitical developments, and other events have contributed and/or continue to contribute to a general slowdown in the global economy and most significantly, the commercial aerospace end-use market. Further, one of our largest customers, The Boeing Company (“Boeing”), was notified by the Federal Aviation Administration (“FAA”) in early January 2024 it has initiated an investigation into Boeing’s quality control system. This was followed by the FAA announcing actions to increase its oversight of Boeing as well as not approving production rate increases or additional production lines for the 737 MAX until it is satisfied that Boeing is in full compliance with required quality control procedures. For 2024, while both major large aircraft manufacturers, Boeing and Airbus SE, have announced either similar or increases in build rates compared to 2023, the ramp up is slower than expected and below pre-pandemic levels. In its 2023 Annual Report on Form 10-K, Boeing indicated that in 2023, global air traffic largely recovered to 2019 levels with domestic travel continuing to be the most robust and international travel has mostly recovered. While the full extent and impact of the COVID-19 pandemic cannot be reasonably estimated with certainty, in the prior year, the COVID-19 pandemic had a significant impact on our business, the businesses of our customers and suppliers, as well as our results of operations and financial condition, and such lingering effects along with compliance with regulatory compliance, could have a material adverse impact on our business, results of operations and financial condition for 2024 and beyond. See Risk Factors included in Part I, Item 1A of this Annual Report on Form 10-K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Recap for the year ended December 31, 2023:</w:t>
      </w:r>
    </w:p>
    <w:p>
      <w:pPr>
        <w:spacing w:after="0" w:line="121"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of $757.0 million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$15.9 million, or $1.14 per diluted share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$101.5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Adjusted earnings before interest, taxes, depreciation, amortization, stock-based compensation expense, restructuring charges, Guaymas fire related expenses, other fire related expenses, insurance recoveries related to loss on operating assets, insurance recoveries related to business interruption, inventory purchase accounting adjustments, loss on extinguishment of debt, other debt refinancing costs, gain on sale-leaseback, and success bonus related to the completion of sale-leaseback transaction (“Adjusted EBITDA”) was $101.5 million and $94.7 million for the years ended December 31, 2023 and December 31, 2022, respectively.</w:t>
      </w:r>
    </w:p>
    <w:p>
      <w:pPr>
        <w:spacing w:after="0" w:line="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Form 10-K,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a measurement of our liquidity. The presentation of these measures should not be interpreted to mean that our future results will be unaffected by unusual or nonrecurring items.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54" w:lineRule="exact"/>
        <w:rPr>
          <w:sz w:val="20"/>
          <w:szCs w:val="20"/>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our cash expenditures,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significant interest expense or the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980" w:hanging="648"/>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impact on earnings or charges resulting from matters unrelated to our ongoing operations;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from us, limiting its usefulness as a comparative measure.</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consolidated financial statements contained in this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with the limitations above, we believe that Adjusted EBITDA is useful to an investor in evaluating our results of operations as this measure:</w:t>
      </w:r>
    </w:p>
    <w:p>
      <w:pPr>
        <w:spacing w:after="0" w:line="117" w:lineRule="exact"/>
        <w:rPr>
          <w:sz w:val="20"/>
          <w:szCs w:val="20"/>
          <w:color w:val="auto"/>
        </w:rPr>
      </w:pPr>
    </w:p>
    <w:p>
      <w:pPr>
        <w:ind w:left="980" w:right="320" w:hanging="648"/>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67" w:lineRule="exact"/>
        <w:rPr>
          <w:rFonts w:ascii="Times New Roman" w:cs="Times New Roman" w:eastAsia="Times New Roman" w:hAnsi="Times New Roman"/>
          <w:sz w:val="18"/>
          <w:szCs w:val="18"/>
          <w:color w:val="auto"/>
        </w:rPr>
      </w:pPr>
    </w:p>
    <w:p>
      <w:pPr>
        <w:ind w:left="980" w:right="300" w:hanging="648"/>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investors to evaluate and compare the results of our operations from period to period by removing the effect of our capital structure from our operating performance; and</w:t>
      </w:r>
    </w:p>
    <w:p>
      <w:pPr>
        <w:spacing w:after="0" w:line="53" w:lineRule="exact"/>
        <w:rPr>
          <w:rFonts w:ascii="Times New Roman" w:cs="Times New Roman" w:eastAsia="Times New Roman" w:hAnsi="Times New Roman"/>
          <w:sz w:val="18"/>
          <w:szCs w:val="18"/>
          <w:color w:val="auto"/>
        </w:rPr>
      </w:pPr>
    </w:p>
    <w:p>
      <w:pPr>
        <w:ind w:left="980" w:right="240" w:hanging="648"/>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by our management team for various other purposes in presentations to our Board of Directors as a basis for strategic planning and forecasting.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may be useful to investors for determining current cash flow;</w:t>
      </w:r>
    </w:p>
    <w:p>
      <w:pPr>
        <w:spacing w:after="0" w:line="117" w:lineRule="exact"/>
        <w:rPr>
          <w:rFonts w:ascii="Times New Roman" w:cs="Times New Roman" w:eastAsia="Times New Roman" w:hAnsi="Times New Roman"/>
          <w:sz w:val="18"/>
          <w:szCs w:val="18"/>
          <w:color w:val="auto"/>
        </w:rPr>
      </w:pPr>
    </w:p>
    <w:p>
      <w:pPr>
        <w:ind w:left="980" w:hanging="648"/>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53" w:lineRule="exact"/>
        <w:rPr>
          <w:rFonts w:ascii="Times New Roman" w:cs="Times New Roman" w:eastAsia="Times New Roman" w:hAnsi="Times New Roman"/>
          <w:sz w:val="18"/>
          <w:szCs w:val="18"/>
          <w:color w:val="auto"/>
        </w:rPr>
      </w:pPr>
    </w:p>
    <w:p>
      <w:pPr>
        <w:ind w:left="980" w:right="700" w:hanging="648"/>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may be useful to investors because it generally represents the wear and tear on our property and equipment used in our operations;</w:t>
      </w:r>
    </w:p>
    <w:p>
      <w:pPr>
        <w:spacing w:after="0" w:line="53" w:lineRule="exact"/>
        <w:rPr>
          <w:rFonts w:ascii="Times New Roman" w:cs="Times New Roman" w:eastAsia="Times New Roman" w:hAnsi="Times New Roman"/>
          <w:sz w:val="18"/>
          <w:szCs w:val="18"/>
          <w:color w:val="auto"/>
        </w:rPr>
      </w:pPr>
    </w:p>
    <w:p>
      <w:pPr>
        <w:ind w:left="980" w:right="760" w:hanging="648"/>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may be useful to investors because it represents the estimated attrition of our acquired customer base and the diminishing value of product rights;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may be useful to our investors for determining current cash flow;</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Guaymas fire related expenses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fire related expenses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980" w:right="40" w:hanging="648"/>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loss on operating assets (property and equipment, inventories, and other assets) may be useful to our investors in evaluating our core operating performance;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business interruption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accounting inventory step-ups may be useful to our investors as they do not necessarily reflect the current or on-going cash charges related to our core operating performance;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may be useful to our investors for determining current cash flow;</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debt refinancing costs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sale-leaseback may be useful to our investors in evaluating our core operating performance; and</w:t>
      </w:r>
    </w:p>
    <w:p>
      <w:pPr>
        <w:spacing w:after="0" w:line="117" w:lineRule="exact"/>
        <w:rPr>
          <w:rFonts w:ascii="Times New Roman" w:cs="Times New Roman" w:eastAsia="Times New Roman" w:hAnsi="Times New Roman"/>
          <w:sz w:val="18"/>
          <w:szCs w:val="18"/>
          <w:color w:val="auto"/>
        </w:rPr>
      </w:pPr>
    </w:p>
    <w:p>
      <w:pPr>
        <w:ind w:left="980" w:right="940" w:hanging="648"/>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bonus related to completion of sale-leaseback transaction may be useful to our investors in evaluating our core operating performance.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and the presentation of Adjusted EBITDA as a percentage of net revenues were as follows:</w:t>
      </w:r>
    </w:p>
    <w:p>
      <w:pPr>
        <w:spacing w:after="0" w:line="45"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3"/>
        </w:trPr>
        <w:tc>
          <w:tcPr>
            <w:tcW w:w="5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28,789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135,536</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20,773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11,571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11,187</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34,948</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15,473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14,535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14,051</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17,098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14,338</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11,212</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Guaymas fire related expenses</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fire related expenses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loss on operating assets</w:t>
            </w:r>
          </w:p>
        </w:tc>
        <w:tc>
          <w:tcPr>
            <w:tcW w:w="400" w:type="dxa"/>
            <w:vAlign w:val="bottom"/>
          </w:tcPr>
          <w:p>
            <w:pPr>
              <w:spacing w:after="0"/>
              <w:rPr>
                <w:sz w:val="19"/>
                <w:szCs w:val="19"/>
                <w:color w:val="auto"/>
              </w:rPr>
            </w:pPr>
          </w:p>
        </w:tc>
        <w:tc>
          <w:tcPr>
            <w:tcW w:w="1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(5,724)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business interruption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(5,400)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Inventory purchase accounting adjustments </w:t>
            </w:r>
            <w:r>
              <w:rPr>
                <w:rFonts w:ascii="Times New Roman" w:cs="Times New Roman" w:eastAsia="Times New Roman" w:hAnsi="Times New Roman"/>
                <w:sz w:val="23"/>
                <w:szCs w:val="23"/>
                <w:color w:val="auto"/>
                <w:vertAlign w:val="superscript"/>
              </w:rPr>
              <w:t>(3)(4)</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refinancing costs</w:t>
            </w:r>
          </w:p>
        </w:tc>
        <w:tc>
          <w:tcPr>
            <w:tcW w:w="4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sale-leaseback</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(132,522)</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Success bonus related to completion of sale-leaseback transaction </w:t>
            </w:r>
            <w:r>
              <w:rPr>
                <w:rFonts w:ascii="Times New Roman" w:cs="Times New Roman" w:eastAsia="Times New Roman" w:hAnsi="Times New Roman"/>
                <w:sz w:val="23"/>
                <w:szCs w:val="23"/>
                <w:color w:val="auto"/>
                <w:vertAlign w:val="superscript"/>
              </w:rPr>
              <w:t>(5)</w:t>
            </w:r>
          </w:p>
        </w:tc>
        <w:tc>
          <w:tcPr>
            <w:tcW w:w="4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21"/>
        </w:trPr>
        <w:tc>
          <w:tcPr>
            <w:tcW w:w="59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101,514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94,710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92,793</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 of net revenues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580" w:right="200" w:hanging="329"/>
        <w:spacing w:after="0" w:line="261" w:lineRule="auto"/>
        <w:tabs>
          <w:tab w:leader="none" w:pos="5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and 2022 included $2.7 million and $1.2 million, respectively, of stock-based compensation expense for awards with both performance and market conditions that will be settled in cash.</w:t>
      </w:r>
    </w:p>
    <w:p>
      <w:pPr>
        <w:ind w:left="560" w:hanging="30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and 2022 included $0.3 million and $0.5 million, respectively, of restructuring charges that were recorded as cost of sales.</w:t>
      </w:r>
    </w:p>
    <w:p>
      <w:pPr>
        <w:spacing w:after="0" w:line="9" w:lineRule="exact"/>
        <w:rPr>
          <w:rFonts w:ascii="Times New Roman" w:cs="Times New Roman" w:eastAsia="Times New Roman" w:hAnsi="Times New Roman"/>
          <w:sz w:val="18"/>
          <w:szCs w:val="18"/>
          <w:color w:val="auto"/>
        </w:rPr>
      </w:pPr>
    </w:p>
    <w:p>
      <w:pPr>
        <w:ind w:left="580" w:right="540" w:hanging="329"/>
        <w:spacing w:after="0" w:line="250" w:lineRule="auto"/>
        <w:tabs>
          <w:tab w:leader="none" w:pos="5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included inventory purchase accounting adjustments of inventory that was stepped up as part of our purchase price allocation from our acquisition of BLR Aerospace, LLC (“BLR”) on April 25, 2023 and is a part of our Structural Systems operating segment.</w:t>
      </w:r>
    </w:p>
    <w:p>
      <w:pPr>
        <w:ind w:left="580" w:right="120" w:hanging="329"/>
        <w:spacing w:after="0" w:line="250" w:lineRule="auto"/>
        <w:tabs>
          <w:tab w:leader="none" w:pos="5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and 2021 included inventory purchase accounting adjustments of inventory that was stepped up as part of our purchase price allocation from our acquisition of Magnetic Seal LLC (f/k/a Magnetic Seal Corporation, “MagSeal”) in December 2021 and is a part of our Structural Systems operating segment.</w:t>
      </w:r>
    </w:p>
    <w:p>
      <w:pPr>
        <w:spacing w:after="0" w:line="1"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included $1.3 million of success bonus related to the completion of the sale-leaseback transaction that was recorded as part of cost of sales.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Compared to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net revenues, selected financial data, the effective tax rate and diluted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color w:val="auto"/>
              </w:rPr>
              <w:t>Years Ended December 31,</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color w:val="auto"/>
              </w:rPr>
              <w:t>2023</w:t>
            </w:r>
          </w:p>
        </w:tc>
        <w:tc>
          <w:tcPr>
            <w:tcW w:w="1680" w:type="dxa"/>
            <w:vAlign w:val="bottom"/>
            <w:gridSpan w:val="2"/>
          </w:tcPr>
          <w:p>
            <w:pPr>
              <w:jc w:val="right"/>
              <w:ind w:right="655"/>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color w:val="auto"/>
              </w:rPr>
              <w:t>2022</w:t>
            </w:r>
          </w:p>
        </w:tc>
        <w:tc>
          <w:tcPr>
            <w:tcW w:w="1700" w:type="dxa"/>
            <w:vAlign w:val="bottom"/>
            <w:gridSpan w:val="2"/>
          </w:tcPr>
          <w:p>
            <w:pPr>
              <w:jc w:val="right"/>
              <w:ind w:right="6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of Net Revenues</w:t>
            </w: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of Net Revenues</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756,992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712,537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593,805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568,240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163,187</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144,297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119,728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98,351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14,542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6,158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28,917</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39,788</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(20,773)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(11,571)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8,235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5,400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16,379</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33,322</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15,928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28,789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End-Use Market and Operating Segment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end-use market and operating segment during 2023 and 2022, respectively,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color w:val="auto"/>
              </w:rPr>
              <w:t>(Dollars in thousands)</w:t>
            </w:r>
          </w:p>
        </w:tc>
        <w:tc>
          <w:tcPr>
            <w:tcW w:w="204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color w:val="auto"/>
              </w:rPr>
              <w:t>% of Net Revenues</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color w:val="auto"/>
              </w:rPr>
              <w:t>Years Ended December 31,</w:t>
            </w:r>
          </w:p>
        </w:tc>
        <w:tc>
          <w:tcPr>
            <w:tcW w:w="204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40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403,819</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420,701</w:t>
            </w:r>
          </w:p>
        </w:tc>
        <w:tc>
          <w:tcPr>
            <w:tcW w:w="1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247,509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712,537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2740" w:type="dxa"/>
            <w:vAlign w:val="bottom"/>
            <w:tcBorders>
              <w:bottom w:val="single" w:sz="8" w:color="CCEEFF"/>
            </w:tcBorders>
            <w:gridSpan w:val="3"/>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293,485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440,638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272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165,379</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271,899</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for 2023 were $757.0 million compared to $712.5 million for 2022. The year-over-year increase was primarily due to the following:</w:t>
      </w:r>
    </w:p>
    <w:p>
      <w:pPr>
        <w:spacing w:after="0" w:line="117" w:lineRule="exact"/>
        <w:rPr>
          <w:sz w:val="20"/>
          <w:szCs w:val="20"/>
          <w:color w:val="auto"/>
        </w:rPr>
      </w:pPr>
    </w:p>
    <w:p>
      <w:pPr>
        <w:ind w:left="980" w:right="280" w:hanging="648"/>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 million higher revenues in our commercial aerospace end-use markets due to higher build rates on large aircraft platforms and other commercial aerospace platforms; partially offset by</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line="266"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 million lower revenues in our military and space end-use markets due to lower build rates on various missile platforms and military fixed-wing aircraft platforms, partially offset by higher build rates on military rotary-wing aircraft platforms, a portion of which was related to BLR, and other military and space platforms.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Major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net revenues are from our top ten customers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Years Ended December 31,</w:t>
            </w:r>
          </w:p>
        </w:tc>
        <w:tc>
          <w:tcPr>
            <w:tcW w:w="1020" w:type="dxa"/>
            <w:vAlign w:val="bottom"/>
          </w:tcPr>
          <w:p>
            <w:pPr>
              <w:spacing w:after="0"/>
              <w:rPr>
                <w:sz w:val="16"/>
                <w:szCs w:val="16"/>
                <w:color w:val="auto"/>
              </w:rPr>
            </w:pPr>
          </w:p>
        </w:tc>
      </w:tr>
      <w:tr>
        <w:trPr>
          <w:trHeight w:val="203"/>
        </w:trPr>
        <w:tc>
          <w:tcPr>
            <w:tcW w:w="8600" w:type="dxa"/>
            <w:vAlign w:val="bottom"/>
            <w:gridSpan w:val="2"/>
          </w:tcPr>
          <w:p>
            <w:pPr>
              <w:ind w:left="8320"/>
              <w:spacing w:after="0"/>
              <w:rPr>
                <w:sz w:val="20"/>
                <w:szCs w:val="20"/>
                <w:color w:val="auto"/>
              </w:rPr>
            </w:pPr>
            <w:r>
              <w:rPr>
                <w:rFonts w:ascii="Times New Roman" w:cs="Times New Roman" w:eastAsia="Times New Roman" w:hAnsi="Times New Roman"/>
                <w:sz w:val="14"/>
                <w:szCs w:val="14"/>
                <w:color w:val="auto"/>
                <w:w w:val="92"/>
              </w:rPr>
              <w:t>2023</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w w:val="92"/>
              </w:rPr>
              <w:t>2022</w:t>
            </w:r>
          </w:p>
        </w:tc>
      </w:tr>
      <w:tr>
        <w:trPr>
          <w:trHeight w:val="23"/>
        </w:trPr>
        <w:tc>
          <w:tcPr>
            <w:tcW w:w="7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 Company</w:t>
            </w: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Dynamics Corporation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RTX Corporation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 AeroSystems Holdings, Inc.</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Viasat, Inc.</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86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Top ten customers</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r>
    </w:tbl>
    <w:p>
      <w:pPr>
        <w:spacing w:after="0" w:line="171" w:lineRule="exact"/>
        <w:rPr>
          <w:sz w:val="20"/>
          <w:szCs w:val="20"/>
          <w:color w:val="auto"/>
        </w:rPr>
      </w:pPr>
    </w:p>
    <w:p>
      <w:pPr>
        <w:ind w:right="160" w:firstLine="8"/>
        <w:spacing w:after="0" w:line="282"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Boeing Company (“Boeing”), General Dynamics Corporation (“GD”), Northrop Grumman Corporation (“Northrop”), RTX Corporation (f/k/a Raytheon Technologies Corporation) (“RTX”), Spirit AeroSystems Holdings, Inc. (“Spirit”), and Viasat, Inc. (“Viasat”).</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revenues from Boeing, GD, Northrop, RTX, Spirit, and Viasat are diversified over a number of commercial, military and space programs and some of which were generated by both operating segments.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margin increased to 21.6% in 2023 compared to 20.3% in 2022 primarily due to favorable manufacturing volume, partially offset by unfavorable product mix and higher other manufacturing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SG&amp;A expenses increased $21.4 million in 2023 compared to 2022 primarily due to BLR SG&amp;A expenses of $10.7 million which did not exist in the prior year period, higher compensation and benefits costs of $4.2 million, higher stock-based compensation expense of $3.9 million, and higher professional services fees of $1.6 million, a portion of which was related to the BLR acquisition.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Restructuring charges increased $8.2 million (the portion recorded in cost of sales decreased $0.2 million) in 2023 compared to 2022 primarily due to the restructuring plan that was approved and commenced in April 2022 that is expected to better position us for stronger performance. See Note 3 to our consolidated financial statements included in Part IV, Item 15(a) of this Form 10-K for further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expense increased in 2023 compared to 2022 primarily due to higher interest rates and a higher outstanding debt balance, mainly due to the acquisition of BLR on April 25, 2023. Se</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Note 2 and Note 9 to our consolidated financial statements included in Part IV, Item 15(a) of this Form 10-K for further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recorded an income tax expense of $0.5 million (an effective tax rate of 2.8%) in 2023, compared to $4.5 million (an effective tax rate of 13.6%) in 2022. The decrease in the effective tax rate for 2023 compared to 2022 was primarily due to lower pre-tax income for 2023 compared to 2022, which caused the research and development tax credits to have a higher income tax benefit impact on the effective tax rate. The higher income tax benefit on the effective tax rate was partially offset by higher income tax expense related to non-deductible book compensation expenses.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unrecognized tax benefits were $4.5 million and $4.9 million in 2023 and 2022, respectively. We record interest and penalty charges, if any, related to uncertain tax positions as a component of tax expense and unrecognized tax benefits. The amounts accrued for interest and penalty charges as of December 31, 2023 and 2022 were not significant. If recognized, $2.6 million would affect the effective income tax rate. As a result of statute of limitations set to expire in 2024, we expect decreases to our unrecognized tax benefits of $0.8 million in the next twelve months.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2019 and by state taxing authorities for tax years after 2018. While we are no longer subject to examination prior to those periods, carryforwards generated prior to those periods may still be adjusted upon examination by the IRS or state taxing authority if they either have been or will be used in a subsequent period. We believe we have adequately accrued for tax deficiencies or reductions in tax benefits, if any, that could result from the examination and all open audit years.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Tax Cuts and Jobs Act of 2017 (“TCJA”), which was signed into U.S. law in December 2017, eliminated the option to immediately deduct research and development expenditures in the year incurred under Section 174 effective January 1, 2022. The amended provision under Section 174 requires us to capitalize and amortize these expenditures over five years (for U.S.-based research). For the year ended December 31, 2023, we recorded an increase to income taxes payable of $9.7 million and a decrease to net deferred tax liabilities of a similar amount. We are monitoring legislation for any further changes to Section 174 and the potential impact to our financial statements in 2024.</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August 2022, the U.S. enacted the Inflation Reduction Act of 2022 (“IRA”) which aims to curb inflation by reducing the deficit, lowering prescription drug prices, and investing in domestic energy production while promoting clean energy. We considered the provisions in the IRA and determined they have no or minimal impact to our overall income taxes.</w:t>
      </w:r>
    </w:p>
    <w:p>
      <w:pPr>
        <w:spacing w:after="0" w:line="12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August 2022, the U.S. enacted the Creating Helpful Incentives to Produce Semiconductors Act of 2022 (“CHIPS Act”) which provides new funding to boost domestic research and manufacturing of semiconductors in the United States. We considered the provisions in the CHIPS Act and determined they have no or minimal impact to our overall 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Diluted Share</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income and earnings per diluted share for 2023 were $15.9 million, or $1.14 per diluted share, compared to net income and earnings per diluted share for 2022 of $28.8 million, or $2.33 per diluted share. The decrease in net income in 2023 compared to 2022 was primarily due to higher SG&amp;A expenses of $21.4 million, higher interest expense of $9.2 million, higher restructuring charges of $8.2 million (the portion recorded in cost of sales decreased $0.2 million), partially offset by higher gross profit of $18.9 million, lower income tax expense of $4.1 million, and higher other income, net of $2.8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Performance</w:t>
      </w:r>
    </w:p>
    <w:p>
      <w:pPr>
        <w:spacing w:after="0" w:line="108" w:lineRule="exact"/>
        <w:rPr>
          <w:sz w:val="20"/>
          <w:szCs w:val="20"/>
          <w:color w:val="auto"/>
        </w:rPr>
      </w:pPr>
    </w:p>
    <w:p>
      <w:pPr>
        <w:ind w:right="640"/>
        <w:spacing w:after="0" w:line="264" w:lineRule="auto"/>
        <w:rPr>
          <w:sz w:val="20"/>
          <w:szCs w:val="20"/>
          <w:color w:val="auto"/>
        </w:rPr>
      </w:pPr>
      <w:r>
        <w:rPr>
          <w:rFonts w:ascii="Times New Roman" w:cs="Times New Roman" w:eastAsia="Times New Roman" w:hAnsi="Times New Roman"/>
          <w:sz w:val="18"/>
          <w:szCs w:val="18"/>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2023 and 2022:</w:t>
      </w:r>
    </w:p>
    <w:tbl>
      <w:tblPr>
        <w:tblLayout w:type="fixed"/>
        <w:tblInd w:w="40" w:type="dxa"/>
        <w:tblCellMar>
          <w:top w:w="0" w:type="dxa"/>
          <w:left w:w="0" w:type="dxa"/>
          <w:bottom w:w="0" w:type="dxa"/>
          <w:right w:w="0" w:type="dxa"/>
        </w:tblCellMar>
      </w:tblPr>
      <w:tr>
        <w:trPr>
          <w:trHeight w:val="145"/>
        </w:trPr>
        <w:tc>
          <w:tcPr>
            <w:tcW w:w="5040" w:type="dxa"/>
            <w:vAlign w:val="bottom"/>
          </w:tcPr>
          <w:p>
            <w:pPr>
              <w:spacing w:after="0"/>
              <w:rPr>
                <w:sz w:val="12"/>
                <w:szCs w:val="12"/>
                <w:color w:val="auto"/>
              </w:rPr>
            </w:pPr>
          </w:p>
        </w:tc>
        <w:tc>
          <w:tcPr>
            <w:tcW w:w="112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4"/>
          </w:tcPr>
          <w:p>
            <w:pPr>
              <w:jc w:val="right"/>
              <w:ind w:right="431"/>
              <w:spacing w:after="0" w:line="145" w:lineRule="exact"/>
              <w:rPr>
                <w:sz w:val="20"/>
                <w:szCs w:val="20"/>
                <w:color w:val="auto"/>
              </w:rPr>
            </w:pPr>
            <w:r>
              <w:rPr>
                <w:rFonts w:ascii="Times New Roman" w:cs="Times New Roman" w:eastAsia="Times New Roman" w:hAnsi="Times New Roman"/>
                <w:sz w:val="14"/>
                <w:szCs w:val="14"/>
                <w:color w:val="auto"/>
              </w:rPr>
              <w:t>(Dollars in thousands)</w:t>
            </w:r>
          </w:p>
        </w:tc>
        <w:tc>
          <w:tcPr>
            <w:tcW w:w="1280" w:type="dxa"/>
            <w:vAlign w:val="bottom"/>
            <w:gridSpan w:val="2"/>
          </w:tcPr>
          <w:p>
            <w:pPr>
              <w:jc w:val="right"/>
              <w:ind w:right="439"/>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tcPr>
          <w:p>
            <w:pPr>
              <w:jc w:val="right"/>
              <w:ind w:right="434"/>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0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color w:val="auto"/>
              </w:rPr>
              <w:t>Years Ended December 31,</w:t>
            </w:r>
          </w:p>
        </w:tc>
        <w:tc>
          <w:tcPr>
            <w:tcW w:w="1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of Net Revenues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of Net Revenues</w:t>
            </w:r>
          </w:p>
        </w:tc>
        <w:tc>
          <w:tcPr>
            <w:tcW w:w="0" w:type="dxa"/>
            <w:vAlign w:val="bottom"/>
          </w:tcPr>
          <w:p>
            <w:pPr>
              <w:spacing w:after="0"/>
              <w:rPr>
                <w:sz w:val="1"/>
                <w:szCs w:val="1"/>
                <w:color w:val="auto"/>
              </w:rPr>
            </w:pPr>
          </w:p>
        </w:tc>
      </w:tr>
      <w:tr>
        <w:trPr>
          <w:trHeight w:val="193"/>
        </w:trPr>
        <w:tc>
          <w:tcPr>
            <w:tcW w:w="5040" w:type="dxa"/>
            <w:vAlign w:val="bottom"/>
          </w:tcPr>
          <w:p>
            <w:pPr>
              <w:spacing w:after="0"/>
              <w:rPr>
                <w:sz w:val="16"/>
                <w:szCs w:val="16"/>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Change</w:t>
            </w:r>
          </w:p>
        </w:tc>
        <w:tc>
          <w:tcPr>
            <w:tcW w:w="24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2022</w:t>
            </w:r>
          </w:p>
        </w:tc>
        <w:tc>
          <w:tcPr>
            <w:tcW w:w="128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430,136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440,638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0" w:type="dxa"/>
            <w:vAlign w:val="bottom"/>
          </w:tcPr>
          <w:p>
            <w:pPr>
              <w:spacing w:after="0"/>
              <w:rPr>
                <w:sz w:val="1"/>
                <w:szCs w:val="1"/>
                <w:color w:val="auto"/>
              </w:rPr>
            </w:pPr>
          </w:p>
        </w:tc>
      </w:tr>
      <w:tr>
        <w:trPr>
          <w:trHeight w:val="223"/>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756,992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712,537</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and Administrative Expenses </w:t>
            </w:r>
            <w:r>
              <w:rPr>
                <w:rFonts w:ascii="Times New Roman" w:cs="Times New Roman" w:eastAsia="Times New Roman" w:hAnsi="Times New Roman"/>
                <w:sz w:val="23"/>
                <w:szCs w:val="23"/>
                <w:color w:val="auto"/>
                <w:vertAlign w:val="superscript"/>
              </w:rPr>
              <w:t>(1)</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Restructuring Charges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67,822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Restructuring Charges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 Purchase Accounting Adjustments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Guaymas Fire Related Expenses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Fire Related Expenses</w:t>
            </w: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and Administrative Expenses </w:t>
            </w:r>
            <w:r>
              <w:rPr>
                <w:rFonts w:ascii="Times New Roman" w:cs="Times New Roman" w:eastAsia="Times New Roman" w:hAnsi="Times New Roman"/>
                <w:sz w:val="23"/>
                <w:szCs w:val="23"/>
                <w:color w:val="auto"/>
                <w:vertAlign w:val="superscript"/>
              </w:rPr>
              <w:t>(1)</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Loss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Restructuring Charges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Debt Refinancing Costs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tcBorders>
              <w:bottom w:val="single" w:sz="8" w:color="CCEEFF"/>
            </w:tcBorders>
            <w:shd w:val="clear" w:color="auto" w:fill="CCEEFF"/>
          </w:tcPr>
          <w:p>
            <w:pPr>
              <w:ind w:left="88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101,514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94,710</w:t>
            </w:r>
          </w:p>
        </w:tc>
        <w:tc>
          <w:tcPr>
            <w:tcW w:w="1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13.4 %</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540" w:right="3220" w:hanging="5289"/>
        <w:spacing w:after="0" w:line="923" w:lineRule="auto"/>
        <w:tabs>
          <w:tab w:leader="none" w:pos="5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Electronic Systems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Systems’ net revenues in 2023 compared to 2022 decreased $10.5 million primarily due to the following:</w:t>
      </w:r>
    </w:p>
    <w:p>
      <w:pPr>
        <w:spacing w:after="0" w:line="117" w:lineRule="exact"/>
        <w:rPr>
          <w:sz w:val="20"/>
          <w:szCs w:val="20"/>
          <w:color w:val="auto"/>
        </w:rPr>
      </w:pPr>
    </w:p>
    <w:p>
      <w:pPr>
        <w:ind w:left="980" w:right="80" w:hanging="648"/>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 million lower revenues in our military and space end-use markets due to lower build rates on military fixed-wing aircraft platforms and various missile platforms, partially offset by higher build rates on other military and space platforms; partially offset by</w:t>
      </w:r>
    </w:p>
    <w:p>
      <w:pPr>
        <w:spacing w:after="0" w:line="53" w:lineRule="exact"/>
        <w:rPr>
          <w:rFonts w:ascii="Times New Roman" w:cs="Times New Roman" w:eastAsia="Times New Roman" w:hAnsi="Times New Roman"/>
          <w:sz w:val="18"/>
          <w:szCs w:val="18"/>
          <w:color w:val="auto"/>
        </w:rPr>
      </w:pPr>
    </w:p>
    <w:p>
      <w:pPr>
        <w:ind w:left="980" w:right="680" w:hanging="648"/>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million higher revenues in our commercial aerospace end-use markets due to higher build rates on other commercial aerospace platforms, partially offset by lower build rates on regional and business aircraft platforms.</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2023 compared to 2022 decreased $7.8 million primarily due to unfavorable product mix and higher restructuring charges, partially offset by favorable manufacturing volume.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Structural Systems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Systems’ net revenues in 2023 compared to 2022 increased $55.0 million primarily due to the following:</w:t>
      </w:r>
    </w:p>
    <w:p>
      <w:pPr>
        <w:spacing w:after="0" w:line="117" w:lineRule="exact"/>
        <w:rPr>
          <w:sz w:val="20"/>
          <w:szCs w:val="20"/>
          <w:color w:val="auto"/>
        </w:rPr>
      </w:pPr>
    </w:p>
    <w:p>
      <w:pPr>
        <w:ind w:left="980" w:right="880" w:hanging="648"/>
        <w:spacing w:after="0" w:line="312" w:lineRule="auto"/>
        <w:tabs>
          <w:tab w:leader="none" w:pos="97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$51.1 million higher revenues in commercial aerospace end-use markets due to higher build rates on large aircraft platforms, other commercial aerospace platforms, regional and business aircraft platforms, and commercial rotary-wing aircraft platforms; and</w:t>
      </w:r>
    </w:p>
    <w:p>
      <w:pPr>
        <w:spacing w:after="0" w:line="31" w:lineRule="exact"/>
        <w:rPr>
          <w:rFonts w:ascii="Times New Roman" w:cs="Times New Roman" w:eastAsia="Times New Roman" w:hAnsi="Times New Roman"/>
          <w:sz w:val="17"/>
          <w:szCs w:val="17"/>
          <w:color w:val="auto"/>
        </w:rPr>
      </w:pPr>
    </w:p>
    <w:p>
      <w:pPr>
        <w:ind w:left="980" w:right="240" w:hanging="648"/>
        <w:spacing w:after="0" w:line="266"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higher revenues in military and space end-use markets due to higher build rates on military rotary-wing platforms, a portion of which was related to BLR, and other military and space platforms, partially offset by lower build rates on various missile platforms and military fixed-wing aircraft platforms.</w:t>
      </w:r>
    </w:p>
    <w:p>
      <w:pPr>
        <w:spacing w:after="0" w:line="54"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Structural Systems operating income in 2023 compared to 2022 increased $6.2 million primarily due to favorable manufacturing volume and favorable product mix, partially offset by higher restructuring charges, higher inventory purchase accounting adjustments, and unfavorable other manufacturing costs.</w:t>
      </w:r>
    </w:p>
    <w:p>
      <w:pPr>
        <w:spacing w:after="0" w:line="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We have insurance coverage and up to a capped amount, expect the damaged items will be covered, less our deductible. The full financial impact cannot be estimated at this time as we are currently working with our insurance carriers to determine the cause of the fire. The loss of production from the Guaymas performance center was being absorbed by our other existing performance centers, however, we have reestablished and are in the process of ramping up our manufacturing capabilities in a different leased facility in Guaymas.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 See Note 13 and Note 15 to our consolidated financial statements included in Part IV, Item 15(a) of this Form 10-K for additional information.</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29, 2023, a fire damaged a relatively small portion of one of our performance centers in our Structural Systems reporting segment.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did not result in significant disruption to customer delivery schedules. Production in this damaged portion has since resumed. The insurance claim for damages to our operating assets and business interruption was deemed final and closed by our insurance company during the fourth quarter of 2023 and since the remaining gain contingencies were deemed resolved, the remaining $0.3 million was recognized in the fourth quarter of 2023, for an aggregate total of $0.4 million recorded as other income during 2023. See Note 15 to our consolidated financial statements included in Part IV, Item 15(a) of this Form 10-K for additional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General and Administrative (“CG&amp;A”) Expenses</w:t>
      </w:r>
    </w:p>
    <w:p>
      <w:pPr>
        <w:spacing w:after="0" w:line="10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CG&amp;A expenses in 2023 compared to 2022 increased $9.3 million primarily due to higher stock-based compensation expense of $3.9 million, higher compensation and benefits costs of $3.4 million, and higher professional services fees of $1.5 million, mainly due to the BLR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consolidated financial statements included in Part IV, Item 15(a) of this Form 10-K. Backlog is subject to delivery delays or program cancellations, which are beyond our control. Backlog is affected by timing differences in the placement of customer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orders and tends to be concentrated in several programs to a greater extent than our net revenues. As a result of these factors, trends in our overall level of backlog may not be indicative of trends in our future net revenues.</w:t>
      </w:r>
    </w:p>
    <w:p>
      <w:pPr>
        <w:ind w:right="560"/>
        <w:spacing w:after="0" w:line="255" w:lineRule="auto"/>
        <w:rPr>
          <w:sz w:val="20"/>
          <w:szCs w:val="20"/>
          <w:color w:val="auto"/>
        </w:rPr>
      </w:pPr>
      <w:r>
        <w:rPr>
          <w:rFonts w:ascii="Times New Roman" w:cs="Times New Roman" w:eastAsia="Times New Roman" w:hAnsi="Times New Roman"/>
          <w:sz w:val="18"/>
          <w:szCs w:val="18"/>
          <w:color w:val="auto"/>
        </w:rPr>
        <w:t>The increase in backlog was primarily in the military and space end-use markets; partially offset by a decrease in the commercial aerospace end-use markets and industrial end-use markets. $656.0 million of total backlog is expected to be delivered over the next 12 months. The following table summarizes our backlog for 2023 and 2022:</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(Dollars in thousands)</w:t>
            </w:r>
          </w:p>
        </w:tc>
        <w:tc>
          <w:tcPr>
            <w:tcW w:w="102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color w:val="auto"/>
              </w:rPr>
              <w:t>December 31,</w:t>
            </w:r>
          </w:p>
        </w:tc>
        <w:tc>
          <w:tcPr>
            <w:tcW w:w="10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Change</w:t>
            </w:r>
          </w:p>
        </w:tc>
        <w:tc>
          <w:tcPr>
            <w:tcW w:w="38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60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4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tcPr>
          <w:p>
            <w:pPr>
              <w:jc w:val="center"/>
              <w:ind w:left="572"/>
              <w:spacing w:after="0"/>
              <w:rPr>
                <w:sz w:val="20"/>
                <w:szCs w:val="20"/>
                <w:color w:val="auto"/>
              </w:rPr>
            </w:pPr>
            <w:r>
              <w:rPr>
                <w:rFonts w:ascii="Times New Roman" w:cs="Times New Roman" w:eastAsia="Times New Roman" w:hAnsi="Times New Roman"/>
                <w:sz w:val="18"/>
                <w:szCs w:val="18"/>
                <w:color w:val="auto"/>
              </w:rPr>
              <w:t>69,789</w:t>
            </w:r>
          </w:p>
        </w:tc>
        <w:tc>
          <w:tcPr>
            <w:tcW w:w="1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527,143</w:t>
            </w: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457,354</w:t>
            </w: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rPr>
              <w:t>(20,598)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429,494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450,092</w:t>
            </w:r>
          </w:p>
        </w:tc>
      </w:tr>
      <w:tr>
        <w:trPr>
          <w:trHeight w:val="230"/>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color w:val="auto"/>
              </w:rPr>
              <w:t>(16,443)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rPr>
              <w:t>32,748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993,568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4540" w:type="dxa"/>
            <w:vAlign w:val="bottom"/>
            <w:tcBorders>
              <w:bottom w:val="single" w:sz="8" w:color="CCEEFF"/>
            </w:tcBorders>
            <w:gridSpan w:val="3"/>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36,099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397,681</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361,582</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rPr>
              <w:t>(37,596)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125,590</w:t>
            </w:r>
          </w:p>
        </w:tc>
      </w:tr>
      <w:tr>
        <w:trPr>
          <w:trHeight w:val="229"/>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color w:val="auto"/>
              </w:rPr>
              <w:t>(16,443)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rPr>
              <w:t>(17,940)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522,606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452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33,690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129,462</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95,772</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rPr>
              <w:t>16,998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341,500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324,502</w:t>
            </w:r>
          </w:p>
        </w:tc>
      </w:tr>
      <w:tr>
        <w:trPr>
          <w:trHeight w:val="223"/>
        </w:trPr>
        <w:tc>
          <w:tcPr>
            <w:tcW w:w="20" w:type="dxa"/>
            <w:vAlign w:val="bottom"/>
          </w:tcPr>
          <w:p>
            <w:pPr>
              <w:spacing w:after="0"/>
              <w:rPr>
                <w:sz w:val="19"/>
                <w:szCs w:val="19"/>
                <w:color w:val="auto"/>
              </w:rPr>
            </w:pPr>
          </w:p>
        </w:tc>
        <w:tc>
          <w:tcPr>
            <w:tcW w:w="60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center"/>
              <w:ind w:left="572"/>
              <w:spacing w:after="0"/>
              <w:rPr>
                <w:sz w:val="20"/>
                <w:szCs w:val="20"/>
                <w:color w:val="auto"/>
              </w:rPr>
            </w:pPr>
            <w:r>
              <w:rPr>
                <w:rFonts w:ascii="Times New Roman" w:cs="Times New Roman" w:eastAsia="Times New Roman" w:hAnsi="Times New Roman"/>
                <w:sz w:val="18"/>
                <w:szCs w:val="18"/>
                <w:color w:val="auto"/>
              </w:rPr>
              <w:t>50,688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470,962</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420,274</w:t>
            </w: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2022 Compared to 2021</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in our 2022 Form 10-K filed with the SEC on February 16,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the weighted-average interest rate, cash and cash equivalents and available credit facilities were as follows:</w:t>
      </w:r>
    </w:p>
    <w:p>
      <w:pPr>
        <w:spacing w:after="0" w:line="45"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4"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color w:val="auto"/>
        </w:rPr>
        <w:t>December 31,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73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including short-term portion</w:t>
            </w: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248.4</w:t>
            </w: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interest rate on debt</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4.36 %</w:t>
            </w:r>
          </w:p>
        </w:tc>
      </w:tr>
      <w:tr>
        <w:trPr>
          <w:trHeight w:val="22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 interest rate</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Revolving Credit Facility</w:t>
            </w: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199.8</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2022, we completed a refinancing of all our existing debt by entering into a new term loan (“2022 Term Loan”) and a new revolving credit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Revolving Credit Facility”). The 2022 Term Loan is a $250.0 million senior secured loan that matures on July 14, 2027. The 2022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is a $200.0 million senior secured revolving credit facility that matures on July 14, 2027. The 2022 Term Loan and 2022 Revolving Credit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are the new credit facilities (“2022 Credit Facilities”). In conjunction with the closing of the 2022 Credit Facilities, we utilized the entire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 million of proceeds from the 2022 Term Loan plus our existing cash on hand to pay off our entire debt balance outstanding of $254.2 million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prior credit facilities. At the same leverage ratio, the interest rate spread in the 2022 Credit Facilities is lower than the interest rate spread under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credit facilities. Interest payments are typically paid on a monthly or quarterly basis, depending on the interest rate selected, on the last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month or quarter. In addition, the 2022 Term Loan requires quarterly amortization payments of 0.625% during year one and year two, 1.250%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three and year four, and 1.875% during year five of the original outstanding principal balance of the 2022 Term Loan amount, on the last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quarter. Further, the undrawn portion of the commitment of the 2022 Revolving Credit Facility is subject to a commitment</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fee ranging from 0.175% to 0.275%, based upon the consolidated total net adjusted leverage ratio, typically paid on a quarterly basis, on the last business day each quarter. However, the 2022 Revolving Credit Facility does not require any principal installment payments. As of December 31, 2023, we were in compliance with all covenants required under the 2022 Credit Facilities. See Note 9 to our consolidated financial statements included in Part IV, Item 15(a) of this Form 10-K for further information.</w:t>
      </w:r>
    </w:p>
    <w:p>
      <w:pPr>
        <w:spacing w:after="0" w:line="5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made the mandatory quarterly amortization payments under our term loans of $6.3 million and $5.1 million during 2023 and 2022, respectively. In addition, we paid down an aggregate total of $30.0 million on the term loans during the first quarter of 2022.</w:t>
      </w:r>
    </w:p>
    <w:p>
      <w:pPr>
        <w:spacing w:after="0" w:line="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2023, we had $176.0 million of unused borrowing capacity under the 2022 Revolving Credit Facility, after deducting $0.2 million for standby letters of credit.</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position us for stronger performance. The restructuring plan mainly reduces headcount and consolidate facilities. As a result of this restructuring plan, we analyzed the need to write-down inventory and impair long-lived assets, including operating lease right-of-use assets. As of December 31, 2023, we estimate the remaining amount of charges related to this initiative to be $5.0 million to $7.0 million in total pre-tax restructuring charges through 2023. Of these charges, we estimate $4.5 million to $6.0 million to be cash payments for employee separation and other facility consolidation related expenses, and $0.5 million to $1.0 million to be non-cash charges for impairment of long-lived assets. On an annualized basis, we anticipate these restructuring actions will result in total cost savings of $11.0 million to $13.0 million. See Note 3 to our consolidated financial statements included in Part IV, Item 15(a) of this Form 10-K for further information.</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and Note 9 to our consolidated financial statements included in Part IV, Item 15(a) of this Form 10-K for further information.</w:t>
      </w:r>
    </w:p>
    <w:p>
      <w:pPr>
        <w:spacing w:after="0" w:line="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The Amended Forward Interest Rate Swaps weighted average fixed rate was 1.7% as a result of the difference between U.S. dollar-one month LIBOR and one month Term SOFR. See Note 1 and Note 9 to our consolidated financial statements included in Part IV, Item 15(a) of this Form 10-K for further information.</w:t>
      </w:r>
    </w:p>
    <w:p>
      <w:pPr>
        <w:spacing w:after="0" w:line="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April 25, 2023, we completed the acquisition of BLR. The initial purchase price for BLR was $115.0 million, net of cash acquired, all payable in cash. We paid a gross aggregate of $117.0 million in cash upon the closing of the transaction. We utilized the 2022 Revolving Credit Facility to complete the acquisition. See Note 2 to our consolidated financial statements included in Part IV, Item 15(a) of this Form 10-K for further information.</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May 18, 2023, we completed a public offering of our common stock resulting in net proceeds of $85.1 million. The public stock offering net proceeds along with cash on hand were used to pay down $85.2 million on the 2022 Revolving Credit Facility that was drawn on and utilized to complete the acquisition of BLR. See Note 2, Note 9, and Note 10 to our consolidated financial statements included in Part IV, Item 15(a) of this Form 10-K for further information.</w:t>
      </w:r>
    </w:p>
    <w:p>
      <w:pPr>
        <w:spacing w:after="0" w:line="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expect to spend a total of $23.0 million to $25.0 million for capital expenditures in 2024, financed by cash generated from operations, principally to support both growth in existing programs as well as new contract awards in Electronic Systems and Structural Systems. As part of our strategic plan to become a supplier of higher-level assemblies and win new contract awards, additional up-front investment in tooling will be required for newer programs which have higher engineering content and higher levels of complexity in assemblies.</w:t>
      </w:r>
    </w:p>
    <w:p>
      <w:pPr>
        <w:spacing w:after="0" w:line="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continue to depend on operating cash flow and the availability of our 2022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Compared to 2022</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during 2023 was $31.1 million, compared to $32.7 million during 2022. The lower net cash provided by operating activities during 2023 was primarily due to lower accounts payable mainly due to timing of payments, higher inventories mainly due to longer lead times and to support revenue growth, and lower net income, partially offset by lower contract assets and higher contract liabilities.</w:t>
      </w:r>
    </w:p>
    <w:p>
      <w:pPr>
        <w:spacing w:after="0" w:line="5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2023 was $133.5 million compared to $19.2 million during 2022. The higher net cash used in investing activities during 2023 was primarily due to payments for the acquisition of BLR.</w:t>
      </w:r>
    </w:p>
    <w:p>
      <w:pPr>
        <w:spacing w:after="0" w:line="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2023 was $99.0 million compared to net cash used of $43.5 million during 2022. The higher net cash provided by financing activities during 2023 was primarily due to $85.1 million net proceeds from the issuance of common stock in a public offering and $23.8 million net borrowings under the revolving credit facility for the acquisition of BLR, partially offset by the voluntary $30.0 million pay down on term loans in the prior year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2022 Compared to 2021</w:t>
      </w:r>
    </w:p>
    <w:p>
      <w:pPr>
        <w:spacing w:after="0" w:line="9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in our 2022 Form 10-K filed with the SEC on February 16,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Critical accounting policies and estimates are those accounting policies and estimates that can have a significant impact on the presentation of our financial condition and results of operations and that require the use of subjective estimates based upon past experience and management’s judgment. Because of the uncertainty inherent in such estimates, actual results may differ from these estimates. Below are those policies applied in preparing our financial statements that management believes are the most dependent on the application of estimates and assumptions. See Note 1 to our consolidated financial statements included in Part IV, Item 15(a) of this Form 10-K for additional accounting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0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 from long-term agreements and programs that can span several years. We recognize revenue under Accounting Standards Codification 606, “Revenue from Contracts with Customers” (“ASC 606”), which utilizes a five-step model.</w:t>
      </w:r>
    </w:p>
    <w:p>
      <w:pPr>
        <w:spacing w:after="0" w:line="5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manufacture most products to customer specifications and the product cannot be easily modified to satisfy another customer’s order.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4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determine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4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Revenue and profit in future periods of contract performance is recognized using the adjusted estimate.</w:t>
      </w:r>
    </w:p>
    <w:p>
      <w:pPr>
        <w:spacing w:after="0" w:line="4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impact of adjustments in contract estimates on our operating earnings can be reflected in either operating costs and expenses or revenue. See Note 1 to our consolidated financial statements included in Part IV, Item 15(a) of this Form 10-K for the net impact of these adjustments to our consolidated financial statements for 2023 and 2022.</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and have met the shipping terms, a contract liability is created for the advance or progress payment. When a contract liability and a contract asset exist on the same contract, we report it on a net basis.</w:t>
      </w:r>
    </w:p>
    <w:p>
      <w:pPr>
        <w:spacing w:after="0" w:line="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consolidated balance sheets.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10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When a business is acquired, we allocate the purchase price by recording the assets acquired and liabilities assumed at their estimated fair values as of the acquisition date, with the excess cost recorded as goodwill. A preliminary fair value is determined once a business is acquired, with the final determination of fair value to be completed no later than one year from the date of acquisition.</w:t>
      </w:r>
    </w:p>
    <w:p>
      <w:pPr>
        <w:spacing w:after="0" w:line="54"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To determine the estimated fair value of assets acquired and liabilities assumed requires significant judgment and estimates, including the selection of valuation methodologies, estimates of future revenues, costs and cash flows, discount rates, and selection of comparable companies. We engage the assistance of valuation specialists in concluding on fair value measurements in determining the fair value of assets acquired and liabilities assumed in business combinations.</w:t>
      </w:r>
    </w:p>
    <w:p>
      <w:pPr>
        <w:spacing w:after="0" w:line="4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fair value of the intangible assets is estimated using several valuation methodologies, including the income based or market based approaches, which represent Level 3 fair value measurements. Inputs to fair value analyses and other aspects of the allocation of the purchase price require judgment. The values for technology and trade name are typically estimated using the relief from royalty methodology, while the value for customer relationships is typically estimated based on a multi-period excess earnings approach. The more significant inputs used in the technology intangible asset valuation included (i) future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revenues, (ii) the technology decay rate, (iii) the royalty rate, and (iv) the discount rate. The more significant inputs used in the customer relationships intangible asset valuation include (i) future revenues, (ii) the projected earnings before interest, taxes, and amortization (“EBITA”) margins, (iii) the customer attrition rates, and (iv) the discount rate. The useful lives are estimated based on the underlying agreements or the future economic benefit expected to be received from the assets.</w:t>
      </w:r>
    </w:p>
    <w:p>
      <w:pPr>
        <w:spacing w:after="0" w:line="4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Acquisition related costs are not included as components of consideration transferred but instead, expensed as incurred and are included in selling, general and administrative expenses in our consolidated statements of income. See Note 2 to our consolidated financial statements included in Part IV, Item 15(a) of this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0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Goodwill is evaluated for impairment on an annual basis on the first day of the fourth fiscal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goodwill impairment testing purposes, we have defined our reporting units as Electronic Systems and Structural Systems. We may use either a qualitative or quantitative approach when testing a reporting unit’s goodwill for impairment. The qualitative approach for potential impairment analysis is performed to determine whether it is more likely than not that the fair value of a reporting unit was less than its carrying amount.</w:t>
      </w:r>
    </w:p>
    <w:p>
      <w:pPr>
        <w:spacing w:after="0" w:line="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companies, business acquisitions and the transaction values observed and its related control premiums.</w:t>
      </w:r>
    </w:p>
    <w:p>
      <w:pPr>
        <w:spacing w:after="0" w:line="6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carrying amount of goodwill at the date of the most recent annual impairment evaluation for Electronic Systems and Structural Systems was $117.4 million and $127.2 million, respectively. For both reporting units, we performed a quantitative (step one) goodwill impairment analysis. The fair value of our Electronic Systems and Structural Systems segments exceeded their respective carrying values and thus, were not deemed impaired.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Intangible Assets</w:t>
      </w:r>
    </w:p>
    <w:p>
      <w:pPr>
        <w:spacing w:after="0" w:line="104"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amortize acquired other intangible assets with finite lives over the estimated economic lives of the assets, ranging from 2 years to 23 years, generally using the straight-line method. The value of other intangibles acquired through business combinations has been estimated using present value techniques which involve estimates of future cash flows. We evaluate other intangible assets for recoverability considering undiscounted cash flows when significant changes in conditions occur, and recognize impairment losses, if any, based upon the estimated fair value of the assets.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Stock-Based Compensation</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measure and recognize compensation expense for share-based payment transactions to our employees and non-employees at their estimated fair value. The expense is measured at the grant date, based on the calculated fair value of the share-based award, and is recognized over the requisite service period (generally the vesting period of the equity award). The fair value of stock options is determined using the Black-Scholes-Merton (“Black-Scholes”) valuation model, which requires assumptions and judgments regarding stock price volatility, risk-free interest rates, and expected options terms. Management’s estimates could differ from actual results. The fair value of unvested stock awards is determined based on the closing price of the underlying common stock on the date of grant except for market condition awards for which the fair value was based on a Monte Carlo simulation model.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0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using the point in time method, inventory is not reduced until it is shipped or transfer of control to the customer has occurred. Our ending inventory consists of raw materials, work-in-process, and finished goods.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Deferred tax assets and liabilities are recognized, using enacted tax rates, for the expected future tax consequences of temporary differences between the book and tax bases of recorded assets and liabilities, operating losses, and tax credit carryforwards. Deferred tax assets are evaluated quarterly and are reduced by a valuation allowance if it is more likely than not that some portion or all of the deferred tax assets will not be realized.</w:t>
      </w:r>
    </w:p>
    <w:p>
      <w:pPr>
        <w:spacing w:after="0" w:line="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Tax positions taken or expected to be taken in a tax return are recognized when it is more-likely-than-not, based on technical merits, to be sustained upon examination by taxing authorities. The amount recognized is measured as the largest amount of benefit that is greater than 50% likely of being realized upon ultimate settlement, including resolution of related appeals and/or litigation process, if 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See Note 1 to our consolidated financial statements included in Part IV, Item 15(a) of this Form 10-K for a description of recent accounting pronouncements.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main market risk exposure relates to changes in interest rates on our outstanding long-term debt. At December 31, 2023, we had borrowings of $266.0 million under our 2022 Credit Facilities.</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w:t>
      </w:r>
    </w:p>
    <w:p>
      <w:pPr>
        <w:spacing w:after="0" w:line="58"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 increase or decrease in the interest rate would have an immaterial impact on our financial condition and results of operations.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financial statements and supplementary data together with the report thereon of PricewaterhouseCoopers LLP included in Part IV, Item 15(a) 1 and 2 of this Annual Report on Form 10-K are included herein by reference.</w:t>
      </w:r>
    </w:p>
    <w:p>
      <w:pPr>
        <w:spacing w:after="0" w:line="266" w:lineRule="exact"/>
        <w:rPr>
          <w:sz w:val="20"/>
          <w:szCs w:val="20"/>
          <w:color w:val="auto"/>
        </w:rPr>
      </w:pPr>
    </w:p>
    <w:p>
      <w:pPr>
        <w:ind w:right="102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(“Exchange Act”)) are designed to provide reasonable assurance that information required to be disclosed in reports we file or submit under the Exchange Act is recorded, processed, summarized and reported within the time periods specified in the rules and forms of the SEC and that such information is accumulated and communicated to our management, including the Chief Executive Officer and Chief Financial Officer, as appropriate to allow timely decisions regarding required disclosures.</w:t>
      </w:r>
    </w:p>
    <w:p>
      <w:pPr>
        <w:spacing w:after="0" w:line="4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the Chief Financial Officer, we carried out an evaluation of the effectiveness of the design and operation of our disclosure controls and procedures as of the end of the period covered by this Annual Report on Form 10-K. Based on this evaluation, the Company’s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Chief Executive Officer and Chief Financial Officer concluded that our disclosure controls and procedures were not effective at the reasonable assurance level as of December 31, 2023, because of a material weakness in internal control over financial reporting as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Report on Internal Control Over Financial Reporting</w:t>
      </w:r>
    </w:p>
    <w:p>
      <w:pPr>
        <w:spacing w:after="0" w:line="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(“GAAP”).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our financial statements.</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Management of the Company has assessed the effectiveness of the Company’s internal control over financial reporting as of December 31, 2023. In making this assessment, management used the criteria set forth by the Committee of Sponsoring Organizations of the Treadway Commission (“COSO”)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w:t>
      </w:r>
      <w:r>
        <w:rPr>
          <w:rFonts w:ascii="Times New Roman" w:cs="Times New Roman" w:eastAsia="Times New Roman" w:hAnsi="Times New Roman"/>
          <w:sz w:val="18"/>
          <w:szCs w:val="18"/>
          <w:color w:val="auto"/>
        </w:rPr>
        <w:t>(2013).</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In connection with management’s assessment of our internal control over financial reporting, management has identified the following material weakness in our internal control over financial reporting as of December 31, 2023.</w:t>
      </w:r>
    </w:p>
    <w:p>
      <w:pPr>
        <w:spacing w:after="0" w:line="5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did not design and maintain effective controls over the accuracy of contract terms and the reasonableness of gross margin assumptions used to recognize revenue. Specifically, we did not verify that amendments to purchase orders and gross margin percentage assumptions used in the Company’s revenue recognition analysis were properly reviewed at a sufficient level of precision.</w:t>
      </w:r>
    </w:p>
    <w:p>
      <w:pPr>
        <w:spacing w:after="0" w:line="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This material weakness resulted in immaterial adjustments to net revenues and contract assets as of and for the quarterly and annual periods ending December 31, 2023. Additionally, until remediated, this material weakness could result in future misstatements of net revenues and contract assets that would result in a material misstatement to the annual or interim consolidated financial statements that would not be prevented or detected.</w:t>
      </w:r>
    </w:p>
    <w:p>
      <w:pPr>
        <w:spacing w:after="0" w:line="4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As a result of the material weakness, management concluded our internal control over financial reporting was not effective as of December 31, 2023 based on criteria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COSO.</w:t>
      </w:r>
    </w:p>
    <w:p>
      <w:pPr>
        <w:spacing w:after="0" w:line="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PricewaterhouseCoopers LLP, an independent registered public accounting firm, as stated in their report, which is included in Item 15 of this Annual Report on Form 10-K.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Remediation Activities</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committed to maintaining strong internal control over financial reporting. With regard to internal control over financial reporting related to revenue recognition, our Chief Financial Officer is responsible for implementing changes and improvements in internal control over financial reporting and for remediating the material weakness.</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management, with oversight from the Company’s Audit Committee, is in the process of developing and implementing remediation plans in response to the identified material weakness described above. Specifically, the Company is designing and implementing additional control activities over the accuracy of amendments to purchase orders and enhancing the level of precision utilized to review the reasonableness of gross margin percentage assumptions used in our revenue recognition analysis.</w:t>
      </w:r>
    </w:p>
    <w:p>
      <w:pPr>
        <w:spacing w:after="0" w:line="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material weakness will not be considered remediated until the applicable remedial controls operate for a sufficient period of time and management has concluded, through testing, that these controls are operating effectively. The Company believes the above measures will remediate the control deficiencies it has identified and strengthen its internal control over financial reporting. The Company is committed to continuing to improve its internal control processes and will continue to review, optimize and enhance its financial reporting controls and procedures.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04"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that have materially affected, or are reasonably likely to materially affect, our internal control over financial reporting during the quarter ended December 31,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97" w:lineRule="exact"/>
        <w:rPr>
          <w:sz w:val="20"/>
          <w:szCs w:val="20"/>
          <w:color w:val="auto"/>
        </w:rPr>
      </w:pPr>
    </w:p>
    <w:p>
      <w:pPr>
        <w:ind w:right="286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Directors of the Registrant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“Directors’ Backgrounds and Qualifications” in the 2024 Proxy Statement is incorporated herein by reference.</w:t>
      </w:r>
    </w:p>
    <w:p>
      <w:pPr>
        <w:spacing w:after="0" w:line="10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February 1, 2024, we appointed David B. Carter as a Class I Director, effective immediately, to serve for a term expiring at the annual meeting of stockholders in 2025 and until his successor is elected and qualified.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Officers of the Registrant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“Named Executive Officers” in the 2024 Proxy Statement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and Audit Committee Financial Expert</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under the caption “Committees of the Board of Directors” relating to the Audit Committee of the Board of Directors in the 2024 Proxy Statement is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Compliance with Section 16(a) of the Exchange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“Delinquent Section 16(a) Reports” in the 2024 Proxy Statement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Code of Business Conduct and Ethics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“Code of Business Conduct and Ethics” in the 2024 Proxy Statement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Insider Trading Policies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“Key Governance Documents” in the 2024 Proxy Statement is incorporated herein by reference.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under the captions “2023 Compensation Discussion and Analysis” and “Compensation of Directors” in the 2024 Proxy Statement is incorporated herein by reference.</w:t>
      </w:r>
    </w:p>
    <w:p>
      <w:pPr>
        <w:spacing w:after="0" w:line="239" w:lineRule="exact"/>
        <w:rPr>
          <w:sz w:val="20"/>
          <w:szCs w:val="20"/>
          <w:color w:val="auto"/>
        </w:rPr>
      </w:pPr>
    </w:p>
    <w:p>
      <w:pPr>
        <w:ind w:left="820" w:right="2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under the caption “Security Ownership of Certain Beneficial Owners and Management” in the 2024 Proxy Statement is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7"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compensation plans under which equity securities are authorized for issuance as of December 31, 2023:</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r>
        <w:rPr>
          <w:rFonts w:ascii="Times New Roman" w:cs="Times New Roman" w:eastAsia="Times New Roman" w:hAnsi="Times New Roman"/>
          <w:sz w:val="22"/>
          <w:szCs w:val="22"/>
          <w:color w:val="auto"/>
          <w:vertAlign w:val="superscript"/>
        </w:rPr>
        <w:t>(1)</w:t>
      </w:r>
    </w:p>
    <w:p>
      <w:pPr>
        <w:spacing w:after="0" w:line="13" w:lineRule="exact"/>
        <w:rPr>
          <w:sz w:val="20"/>
          <w:szCs w:val="20"/>
          <w:color w:val="auto"/>
        </w:rPr>
      </w:pPr>
    </w:p>
    <w:p>
      <w:pPr>
        <w:ind w:left="60" w:right="460"/>
        <w:spacing w:after="0" w:line="213" w:lineRule="auto"/>
        <w:rPr>
          <w:sz w:val="20"/>
          <w:szCs w:val="20"/>
          <w:color w:val="auto"/>
        </w:rPr>
      </w:pPr>
      <w:r>
        <w:rPr>
          <w:rFonts w:ascii="Times New Roman" w:cs="Times New Roman" w:eastAsia="Times New Roman" w:hAnsi="Times New Roman"/>
          <w:sz w:val="18"/>
          <w:szCs w:val="18"/>
          <w:color w:val="auto"/>
        </w:rPr>
        <w:t>Employee stock purchase plan approved by security holders</w:t>
      </w:r>
      <w:r>
        <w:rPr>
          <w:rFonts w:ascii="Times New Roman" w:cs="Times New Roman" w:eastAsia="Times New Roman" w:hAnsi="Times New Roman"/>
          <w:sz w:val="23"/>
          <w:szCs w:val="23"/>
          <w:color w:val="auto"/>
          <w:vertAlign w:val="superscript"/>
        </w:rPr>
        <w:t>(2)</w:t>
      </w:r>
    </w:p>
    <w:p>
      <w:pPr>
        <w:ind w:left="60" w:right="440"/>
        <w:spacing w:after="0" w:line="226"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3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Remaining</w:t>
            </w:r>
          </w:p>
        </w:tc>
        <w:tc>
          <w:tcPr>
            <w:tcW w:w="0" w:type="dxa"/>
            <w:vAlign w:val="bottom"/>
          </w:tcPr>
          <w:p>
            <w:pPr>
              <w:spacing w:after="0"/>
              <w:rPr>
                <w:sz w:val="1"/>
                <w:szCs w:val="1"/>
                <w:color w:val="auto"/>
              </w:rPr>
            </w:pPr>
          </w:p>
        </w:tc>
      </w:tr>
      <w:tr>
        <w:trPr>
          <w:trHeight w:val="148"/>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Number of Securities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Available for</w:t>
            </w:r>
          </w:p>
        </w:tc>
        <w:tc>
          <w:tcPr>
            <w:tcW w:w="0" w:type="dxa"/>
            <w:vAlign w:val="bottom"/>
          </w:tcPr>
          <w:p>
            <w:pPr>
              <w:spacing w:after="0"/>
              <w:rPr>
                <w:sz w:val="1"/>
                <w:szCs w:val="1"/>
                <w:color w:val="auto"/>
              </w:rPr>
            </w:pPr>
          </w:p>
        </w:tc>
      </w:tr>
      <w:tr>
        <w:trPr>
          <w:trHeight w:val="144"/>
        </w:trPr>
        <w:tc>
          <w:tcPr>
            <w:tcW w:w="2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Weighted-Average</w:t>
            </w:r>
          </w:p>
        </w:tc>
        <w:tc>
          <w:tcPr>
            <w:tcW w:w="21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Future Issuance</w:t>
            </w:r>
          </w:p>
        </w:tc>
        <w:tc>
          <w:tcPr>
            <w:tcW w:w="0" w:type="dxa"/>
            <w:vAlign w:val="bottom"/>
          </w:tcPr>
          <w:p>
            <w:pPr>
              <w:spacing w:after="0"/>
              <w:rPr>
                <w:sz w:val="1"/>
                <w:szCs w:val="1"/>
                <w:color w:val="auto"/>
              </w:rPr>
            </w:pPr>
          </w:p>
        </w:tc>
      </w:tr>
      <w:tr>
        <w:trPr>
          <w:trHeight w:val="148"/>
        </w:trPr>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be Issued Upon</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 Equity</w:t>
            </w:r>
          </w:p>
        </w:tc>
        <w:tc>
          <w:tcPr>
            <w:tcW w:w="0" w:type="dxa"/>
            <w:vAlign w:val="bottom"/>
          </w:tcPr>
          <w:p>
            <w:pPr>
              <w:spacing w:after="0"/>
              <w:rPr>
                <w:sz w:val="1"/>
                <w:szCs w:val="1"/>
                <w:color w:val="auto"/>
              </w:rPr>
            </w:pPr>
          </w:p>
        </w:tc>
      </w:tr>
      <w:tr>
        <w:trPr>
          <w:trHeight w:val="139"/>
        </w:trPr>
        <w:tc>
          <w:tcPr>
            <w:tcW w:w="21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Exercise of</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4"/>
                <w:szCs w:val="14"/>
                <w:color w:val="auto"/>
              </w:rPr>
              <w:t>Exercise Price of</w:t>
            </w:r>
          </w:p>
        </w:tc>
        <w:tc>
          <w:tcPr>
            <w:tcW w:w="2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Compensation Plans</w:t>
            </w:r>
          </w:p>
        </w:tc>
        <w:tc>
          <w:tcPr>
            <w:tcW w:w="0" w:type="dxa"/>
            <w:vAlign w:val="bottom"/>
          </w:tcPr>
          <w:p>
            <w:pPr>
              <w:spacing w:after="0"/>
              <w:rPr>
                <w:sz w:val="1"/>
                <w:szCs w:val="1"/>
                <w:color w:val="auto"/>
              </w:rPr>
            </w:pPr>
          </w:p>
        </w:tc>
      </w:tr>
      <w:tr>
        <w:trPr>
          <w:trHeight w:val="144"/>
        </w:trPr>
        <w:tc>
          <w:tcPr>
            <w:tcW w:w="2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color w:val="auto"/>
              </w:rPr>
              <w:t>Outstanding</w:t>
            </w:r>
          </w:p>
        </w:tc>
        <w:tc>
          <w:tcPr>
            <w:tcW w:w="21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(Excluding Securities</w:t>
            </w:r>
          </w:p>
        </w:tc>
        <w:tc>
          <w:tcPr>
            <w:tcW w:w="0" w:type="dxa"/>
            <w:vAlign w:val="bottom"/>
          </w:tcPr>
          <w:p>
            <w:pPr>
              <w:spacing w:after="0"/>
              <w:rPr>
                <w:sz w:val="1"/>
                <w:szCs w:val="1"/>
                <w:color w:val="auto"/>
              </w:rPr>
            </w:pPr>
          </w:p>
        </w:tc>
      </w:tr>
      <w:tr>
        <w:trPr>
          <w:trHeight w:val="148"/>
        </w:trPr>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Reflected</w:t>
            </w:r>
          </w:p>
        </w:tc>
        <w:tc>
          <w:tcPr>
            <w:tcW w:w="0" w:type="dxa"/>
            <w:vAlign w:val="bottom"/>
          </w:tcPr>
          <w:p>
            <w:pPr>
              <w:spacing w:after="0"/>
              <w:rPr>
                <w:sz w:val="1"/>
                <w:szCs w:val="1"/>
                <w:color w:val="auto"/>
              </w:rPr>
            </w:pPr>
          </w:p>
        </w:tc>
      </w:tr>
      <w:tr>
        <w:trPr>
          <w:trHeight w:val="139"/>
        </w:trPr>
        <w:tc>
          <w:tcPr>
            <w:tcW w:w="21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Warrants and Rights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4"/>
                <w:szCs w:val="14"/>
                <w:color w:val="auto"/>
              </w:rPr>
              <w:t>Warrants and Rights</w:t>
            </w:r>
          </w:p>
        </w:tc>
        <w:tc>
          <w:tcPr>
            <w:tcW w:w="2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in Column</w:t>
            </w:r>
          </w:p>
        </w:tc>
        <w:tc>
          <w:tcPr>
            <w:tcW w:w="0" w:type="dxa"/>
            <w:vAlign w:val="bottom"/>
          </w:tcPr>
          <w:p>
            <w:pPr>
              <w:spacing w:after="0"/>
              <w:rPr>
                <w:sz w:val="1"/>
                <w:szCs w:val="1"/>
                <w:color w:val="auto"/>
              </w:rPr>
            </w:pPr>
          </w:p>
        </w:tc>
      </w:tr>
      <w:tr>
        <w:trPr>
          <w:trHeight w:val="188"/>
        </w:trPr>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7"/>
              </w:rPr>
              <w:t>(b)</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(a))(c)(3)</w:t>
            </w:r>
          </w:p>
        </w:tc>
        <w:tc>
          <w:tcPr>
            <w:tcW w:w="0" w:type="dxa"/>
            <w:vAlign w:val="bottom"/>
          </w:tcPr>
          <w:p>
            <w:pPr>
              <w:spacing w:after="0"/>
              <w:rPr>
                <w:sz w:val="1"/>
                <w:szCs w:val="1"/>
                <w:color w:val="auto"/>
              </w:rPr>
            </w:pPr>
          </w:p>
        </w:tc>
      </w:tr>
      <w:tr>
        <w:trPr>
          <w:trHeight w:val="23"/>
        </w:trPr>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616,152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141,377</w:t>
            </w:r>
          </w:p>
        </w:tc>
        <w:tc>
          <w:tcPr>
            <w:tcW w:w="0" w:type="dxa"/>
            <w:vAlign w:val="bottom"/>
          </w:tcPr>
          <w:p>
            <w:pPr>
              <w:spacing w:after="0"/>
              <w:rPr>
                <w:sz w:val="1"/>
                <w:szCs w:val="1"/>
                <w:color w:val="auto"/>
              </w:rPr>
            </w:pPr>
          </w:p>
        </w:tc>
      </w:tr>
      <w:tr>
        <w:trPr>
          <w:trHeight w:val="414"/>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497,766</w:t>
            </w:r>
          </w:p>
        </w:tc>
        <w:tc>
          <w:tcPr>
            <w:tcW w:w="0" w:type="dxa"/>
            <w:vAlign w:val="bottom"/>
          </w:tcPr>
          <w:p>
            <w:pPr>
              <w:spacing w:after="0"/>
              <w:rPr>
                <w:sz w:val="1"/>
                <w:szCs w:val="1"/>
                <w:color w:val="auto"/>
              </w:rPr>
            </w:pPr>
          </w:p>
        </w:tc>
      </w:tr>
      <w:tr>
        <w:trPr>
          <w:trHeight w:val="418"/>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639,143</w:t>
            </w: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-2813050</wp:posOffset>
            </wp:positionH>
            <wp:positionV relativeFrom="paragraph">
              <wp:posOffset>-873760</wp:posOffset>
            </wp:positionV>
            <wp:extent cx="709803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-2813050</wp:posOffset>
            </wp:positionH>
            <wp:positionV relativeFrom="paragraph">
              <wp:posOffset>-454025</wp:posOffset>
            </wp:positionV>
            <wp:extent cx="7098030" cy="265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200"/>
            <w:col w:w="6740"/>
          </w:cols>
          <w:pgMar w:left="320" w:top="117" w:right="359" w:bottom="1440" w:gutter="0" w:footer="0" w:header="0"/>
          <w:type w:val="continuous"/>
        </w:sectPr>
      </w:pPr>
    </w:p>
    <w:p>
      <w:pPr>
        <w:spacing w:after="0" w:line="92" w:lineRule="exact"/>
        <w:rPr>
          <w:sz w:val="20"/>
          <w:szCs w:val="20"/>
          <w:color w:val="auto"/>
        </w:rPr>
      </w:pPr>
    </w:p>
    <w:p>
      <w:pPr>
        <w:ind w:left="580" w:right="180" w:hanging="329"/>
        <w:spacing w:after="0" w:line="257" w:lineRule="auto"/>
        <w:tabs>
          <w:tab w:leader="none" w:pos="5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Amended and Restated 2020 Stock Incentive Plan. The number of securities to be issued consists of 137,150 for stock options, 209,814 for restricted stock units and 269,188 for performance stock units at target. The weighted average exercise price applies only to the stock options.</w:t>
      </w:r>
    </w:p>
    <w:p>
      <w:pPr>
        <w:spacing w:after="0" w:line="1" w:lineRule="exact"/>
        <w:rPr>
          <w:rFonts w:ascii="Times New Roman" w:cs="Times New Roman" w:eastAsia="Times New Roman" w:hAnsi="Times New Roman"/>
          <w:sz w:val="18"/>
          <w:szCs w:val="18"/>
          <w:color w:val="auto"/>
        </w:rPr>
      </w:pPr>
    </w:p>
    <w:p>
      <w:pPr>
        <w:ind w:left="580" w:right="20" w:hanging="329"/>
        <w:spacing w:after="0" w:line="250" w:lineRule="auto"/>
        <w:tabs>
          <w:tab w:leader="none" w:pos="5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Employee Stock Purchase Plan enables employees to purchase our common stock at a 15% discount to the lower of the market value at the beginning or end of each six month offering period. As such, the number of shares that may be issued during a given six month period and the purchase price of such shares cannot be determined in advance. See Note 11 to our consolidated financial statements included in Part IV, Item 15(a) of this Annual Report on Form 10-K.</w:t>
      </w:r>
    </w:p>
    <w:p>
      <w:pPr>
        <w:spacing w:after="0" w:line="1" w:lineRule="exact"/>
        <w:rPr>
          <w:rFonts w:ascii="Times New Roman" w:cs="Times New Roman" w:eastAsia="Times New Roman" w:hAnsi="Times New Roman"/>
          <w:sz w:val="18"/>
          <w:szCs w:val="18"/>
          <w:color w:val="auto"/>
        </w:rPr>
      </w:pPr>
    </w:p>
    <w:p>
      <w:pPr>
        <w:ind w:left="580" w:right="80" w:hanging="329"/>
        <w:spacing w:after="0" w:line="253" w:lineRule="auto"/>
        <w:tabs>
          <w:tab w:leader="none" w:pos="5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are not restricted to any specified form or structure and may include, without limitation, sales or bonuses of stock, restricted stock, stock options, reload stock options, stock purchase warrants, other rights to acquire stock, securities convertible into or redeemable for stock, stock appreciation rights, limited stock appreciation rights, phantom stock, dividend equivalents, performance units or performance shares, and an award may consist of one such security or benefit, or two or more of them in tandem or in alternative.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information under the caption “Certain Relationships and Related Transactions” and “Director Independence” in the 2024 Proxy Statement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under the caption “Principal Accountant Fees and Services” and “Policy for Pre-Approval of Independent Accountant Services” contained in the 2024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54" w:lineRule="exact"/>
        <w:rPr>
          <w:sz w:val="20"/>
          <w:szCs w:val="20"/>
          <w:color w:val="auto"/>
        </w:rPr>
      </w:pPr>
    </w:p>
    <w:p>
      <w:pPr>
        <w:ind w:left="760" w:hanging="73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Financial Statements</w:t>
      </w:r>
    </w:p>
    <w:p>
      <w:pPr>
        <w:spacing w:after="0" w:line="76" w:lineRule="exact"/>
        <w:rPr>
          <w:rFonts w:ascii="Times New Roman" w:cs="Times New Roman" w:eastAsia="Times New Roman" w:hAnsi="Times New Roman"/>
          <w:sz w:val="18"/>
          <w:szCs w:val="18"/>
          <w:color w:val="auto"/>
        </w:rPr>
      </w:pPr>
    </w:p>
    <w:p>
      <w:pPr>
        <w:ind w:left="760" w:right="3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Ducommun Incorporated and subsidiaries, are incorporated by reference in Item 8 of this report.</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8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Page</w:t>
            </w:r>
          </w:p>
        </w:tc>
      </w:tr>
      <w:tr>
        <w:trPr>
          <w:trHeight w:val="23"/>
        </w:trPr>
        <w:tc>
          <w:tcPr>
            <w:tcW w:w="7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740" w:type="dxa"/>
            <w:vAlign w:val="bottom"/>
          </w:tcPr>
          <w:p>
            <w:pPr>
              <w:spacing w:after="0"/>
              <w:rPr>
                <w:sz w:val="19"/>
                <w:szCs w:val="19"/>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238</w:t>
            </w:r>
            <w:r>
              <w:rPr>
                <w:rFonts w:ascii="Times New Roman" w:cs="Times New Roman" w:eastAsia="Times New Roman" w:hAnsi="Times New Roman"/>
                <w:sz w:val="18"/>
                <w:szCs w:val="18"/>
                <w:u w:val="single" w:color="auto"/>
                <w:color w:val="0000FF"/>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40" w:type="dxa"/>
            <w:vAlign w:val="bottom"/>
          </w:tcPr>
          <w:p>
            <w:pPr>
              <w:spacing w:after="0"/>
              <w:rPr>
                <w:sz w:val="22"/>
                <w:szCs w:val="22"/>
                <w:color w:val="auto"/>
              </w:rPr>
            </w:pPr>
          </w:p>
        </w:tc>
        <w:tc>
          <w:tcPr>
            <w:tcW w:w="52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 - December 31, 2023 and 202</w:t>
            </w:r>
            <w:r>
              <w:rPr>
                <w:rFonts w:ascii="Times New Roman" w:cs="Times New Roman" w:eastAsia="Times New Roman" w:hAnsi="Times New Roman"/>
                <w:sz w:val="18"/>
                <w:szCs w:val="18"/>
                <w:color w:val="000000"/>
              </w:rPr>
              <w:t>2</w:t>
            </w:r>
          </w:p>
        </w:tc>
        <w:tc>
          <w:tcPr>
            <w:tcW w:w="280" w:type="dxa"/>
            <w:vAlign w:val="bottom"/>
          </w:tcPr>
          <w:p>
            <w:pPr>
              <w:spacing w:after="0"/>
              <w:rPr>
                <w:sz w:val="22"/>
                <w:szCs w:val="22"/>
                <w:color w:val="auto"/>
              </w:rPr>
            </w:pPr>
          </w:p>
        </w:tc>
        <w:tc>
          <w:tcPr>
            <w:tcW w:w="3360" w:type="dxa"/>
            <w:vAlign w:val="bottom"/>
            <w:gridSpan w:val="5"/>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6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 Years Ended December 31, 2023, 2022, and 2021</w:t>
            </w:r>
          </w:p>
        </w:tc>
        <w:tc>
          <w:tcPr>
            <w:tcW w:w="2600" w:type="dxa"/>
            <w:vAlign w:val="bottom"/>
            <w:gridSpan w:val="4"/>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7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 Years Ended December 31, 2023, 2022, and 2021</w:t>
            </w:r>
          </w:p>
        </w:tc>
        <w:tc>
          <w:tcPr>
            <w:tcW w:w="1420" w:type="dxa"/>
            <w:vAlign w:val="bottom"/>
            <w:gridSpan w:val="2"/>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40" w:type="dxa"/>
            <w:vAlign w:val="bottom"/>
          </w:tcPr>
          <w:p>
            <w:pPr>
              <w:spacing w:after="0"/>
              <w:rPr>
                <w:sz w:val="22"/>
                <w:szCs w:val="22"/>
                <w:color w:val="auto"/>
              </w:rPr>
            </w:pPr>
          </w:p>
        </w:tc>
        <w:tc>
          <w:tcPr>
            <w:tcW w:w="8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 Years Ended December 31, 2023, 2022, and 2021</w:t>
            </w:r>
          </w:p>
        </w:tc>
        <w:tc>
          <w:tcPr>
            <w:tcW w:w="72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8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Cash Flows - Years Ended December 31, 2023, 2022, and 2021</w:t>
            </w:r>
          </w:p>
        </w:tc>
        <w:tc>
          <w:tcPr>
            <w:tcW w:w="72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40" w:type="dxa"/>
            <w:vAlign w:val="bottom"/>
          </w:tcPr>
          <w:p>
            <w:pPr>
              <w:spacing w:after="0"/>
              <w:rPr>
                <w:sz w:val="22"/>
                <w:szCs w:val="22"/>
                <w:color w:val="auto"/>
              </w:rPr>
            </w:pPr>
          </w:p>
        </w:tc>
        <w:tc>
          <w:tcPr>
            <w:tcW w:w="6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300" w:type="dxa"/>
            <w:vAlign w:val="bottom"/>
            <w:gridSpan w:val="3"/>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740" w:type="dxa"/>
            <w:vAlign w:val="bottom"/>
            <w:gridSpan w:val="8"/>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w:t>
            </w:r>
          </w:p>
        </w:tc>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Financial Statement Schedule</w:t>
            </w:r>
          </w:p>
        </w:tc>
        <w:tc>
          <w:tcPr>
            <w:tcW w:w="6340" w:type="dxa"/>
            <w:vAlign w:val="bottom"/>
            <w:gridSpan w:val="9"/>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740" w:type="dxa"/>
            <w:vAlign w:val="bottom"/>
          </w:tcPr>
          <w:p>
            <w:pPr>
              <w:spacing w:after="0"/>
              <w:rPr>
                <w:sz w:val="24"/>
                <w:szCs w:val="24"/>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schedule for the years ended December 31, 2023, 2022, and 2021 is filed herewith:</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740" w:type="dxa"/>
            <w:vAlign w:val="bottom"/>
          </w:tcPr>
          <w:p>
            <w:pPr>
              <w:spacing w:after="0"/>
              <w:rPr>
                <w:sz w:val="21"/>
                <w:szCs w:val="21"/>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Schedule II - Consolidated Valuation and Qualifying Accounts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21"/>
                <w:szCs w:val="21"/>
                <w:color w:val="auto"/>
              </w:rPr>
            </w:pPr>
          </w:p>
        </w:tc>
      </w:tr>
      <w:tr>
        <w:trPr>
          <w:trHeight w:val="259"/>
        </w:trPr>
        <w:tc>
          <w:tcPr>
            <w:tcW w:w="740" w:type="dxa"/>
            <w:vAlign w:val="bottom"/>
          </w:tcPr>
          <w:p>
            <w:pPr>
              <w:spacing w:after="0"/>
              <w:rPr>
                <w:sz w:val="22"/>
                <w:szCs w:val="22"/>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All other schedules have been omitted because they are not applicable, not required, or the information has been otherwise</w:t>
            </w:r>
          </w:p>
        </w:tc>
        <w:tc>
          <w:tcPr>
            <w:tcW w:w="1380" w:type="dxa"/>
            <w:vAlign w:val="bottom"/>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34"/>
        </w:trPr>
        <w:tc>
          <w:tcPr>
            <w:tcW w:w="740" w:type="dxa"/>
            <w:vAlign w:val="bottom"/>
          </w:tcPr>
          <w:p>
            <w:pPr>
              <w:spacing w:after="0"/>
              <w:rPr>
                <w:sz w:val="20"/>
                <w:szCs w:val="20"/>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supplied in the financial statements or notes thereto.</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7880" w:type="dxa"/>
            <w:vAlign w:val="bottom"/>
            <w:gridSpan w:val="10"/>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04"/>
        </w:trPr>
        <w:tc>
          <w:tcPr>
            <w:tcW w:w="96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See Item 15(b) for a list of exhibits.</w:t>
            </w:r>
          </w:p>
        </w:tc>
        <w:tc>
          <w:tcPr>
            <w:tcW w:w="15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962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ITEM 16. FORM 10-K SUMMARY</w:t>
            </w:r>
          </w:p>
        </w:tc>
        <w:tc>
          <w:tcPr>
            <w:tcW w:w="158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513"/>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Signatures</w:t>
            </w: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Ducommun Incorporated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Ducommun Incorporated and its subsidiaries (the “Company”) as of December 31, 2023 and 2022, and the related consolidated statements of income, of comprehensive income, of changes in shareholders’ equity and of cash flows for each of the three years in the period ended December 31, 2023, including the related notes and financial statement schedule listed in the index appearing under Item 15(a)(2)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3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did not maintain,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 because a material weakness in internal control over financial reporting existed as of that date as the Company did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design and maintain effective controls over the accuracy of contract terms and the reasonableness of gross margin assumptions used to recognize revenue. Specifically, the Company did not verify that amendments to purchase orders and gross margin percentage assumptions used in the Company’s revenue recognition analysis were properly reviewed at a sufficient level of precision.</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appearing under Item 9A. We considered this material weakness in determining the nature, timing, and extent of audit tests applied in our audit of the 2023 consolidated financial statements, and our opinion regarding the effectiveness of the Company’s internal control over financial reporting does not affect our opinion on those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Assessment - Structural Systems Reporting Unit</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described in Notes 1 and 7 to the consolidated financial statements, the Company’s consolidated goodwill balance was $244.6 million as of December 31, 2023, and the goodwill associated with the Structural Systems reporting unit was $127.2 million. Goodwill is evaluated for impairment on an annual basis on the first day of the fourth fiscal quarter. If certain factors occur, management may be required to perform an interim impairment test prior to the fourth quarter. 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management’s best estimate of future revenues, gross margins, and adjusted after-tax earnings. The market approach also requires management judgment in selecting comparable companies, business acquisitions and the transaction values observed and its related control premiums.</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assessment of the Structural Systems reporting unit is a critical audit matter are (i) the significant judgment by management when developing the fair value estimate of the Structural Systems reporting unit based on a discounted cash flow model; (ii) a high degree of auditor judgment, subjectivity, and effort in performing procedures and evaluating management’s significant assumptions related to the estimate of gross margins and the discount rate; and (iii) the audit effort involved the use of professionals with specialized skill and knowledge.</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Structural Systems reporting unit. These procedures also included, among others (i) testing management’s process for developing the fair value estimate of the Structural Systems reporting unit based on a discounted cash flow model; (ii) evaluating the appropriateness of the discounted cash flow model used by management; (iii) testing the completeness and accuracy of underlying data used in the discounted cash flow model; and (iv) evaluating the reasonableness of the significant assumptions used by management related to the estimate of gross margins and the discount rate. Evaluating management’s assumption related to the estimate of gross margins involved evaluating whether the assumption used by management was reasonable considering (i) the current and past performance of the Structural Systems reporting unit; (ii) the consistency with external market and industry data; and (iii) whether the assumption was consistent with evidence obtained in other areas of the audit. Professionals with specialized skill and knowledge were used to assist in evaluating (i) the appropriateness of the discounted cash flow model and (ii) the reasonableness of the discount rate assumption.</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BLR Aerospace, L.L.C. - Valuation of Certain Technology and Certain Customer Relationships Intangible Assets</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described in Notes 1 and 2 to the consolidated financial statements, the Company completed the acquisition of BLR Aerospace, L.L.C. for $114.4 million, net of cash acquired, on April 25, 2023. The acquisition resulted in $35.6 million of technology and $15.0 million of customer relationships, of which a significant portion relates to certain technology and certain customer relationships, which were determined using valuation techniques consistent with the income approach to measure fair value. Management estimated fair value using the relief from royalty methodology for technology and the multi-period excess earnings approach for customer relationships. Inputs to the income approach models require judgment. The more significant inputs used in the technology intangible asset valuation included (i) future revenues, (ii) the technology decay rate, (iii) the royalty rate, and (iv) the discount rate. The more significant inputs used in the customer relationships intangible asset valuation included (i) future revenues, (ii) the projected earnings before interest, taxes, and amortization (EBITA) margins, (iii) the customer attrition rates, and (iv) the discount rate.</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certain technology and certain customer relationships intangible assets acquired in the acquisition of BLR Aerospace, L.L.C. is a critical audit matter are (i) the significant judgment by management when developing the fair value estimate of certain technology and certain customer relationships intangible assets acquired; (ii) a high degree of auditor judgment, subjectivity, and effort in performing procedures and evaluating management’s significant assumptions related to future revenues, the technology decay rate, the royalty rate, and the discount rate for certain technology and future revenues, the projected EBITA margins, the customer attrition rate, and the discount rate for certain customer relationships; and (iii) the audit effort involved the use of professionals with specialized skill and knowledge.</w:t>
      </w:r>
    </w:p>
    <w:p>
      <w:pPr>
        <w:spacing w:after="0" w:line="13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certain technology and certain customer relationships intangible assets acquired. These procedures also included, among others</w:t>
      </w:r>
    </w:p>
    <w:p>
      <w:pPr>
        <w:spacing w:after="0" w:line="2" w:lineRule="exact"/>
        <w:rPr>
          <w:sz w:val="20"/>
          <w:szCs w:val="20"/>
          <w:color w:val="auto"/>
        </w:rPr>
      </w:pPr>
    </w:p>
    <w:p>
      <w:pPr>
        <w:ind w:firstLine="8"/>
        <w:spacing w:after="0" w:line="251"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the purchase agreement; (ii) testing management’s process for developing the fair value estimate of certain technology and certain customer relationships intangible assets acquired; (iii) evaluating the appropriateness of the relief from royalty methodology and the multi-period excess earnings approach used by management; (iv) testing the completeness and accuracy of the underlying data used in the relief from royalty methodology and the multi-period excess earnings approach; and (v) evaluating the reasonableness of the significant assumptions used by management related to future revenues, the technology decay rate, the royalty rate, and the discount rate for certain technology and future revenues, the projected EBITA margins, the customer attrition rate, and the discount rate for certain customer relationships. Evaluating management’s assumptions related to future revenues for certain technology and future revenues and the projected EBITA margins for certain customer relationships involved considering (i) the current and past performance of BLR Aerospace, L.L.C. and (ii) the consistency with external market and industry data. Professionals with specialized skill and knowledge were used to assist in evaluating (i) the appropriateness of the relief from royalty methodology and the multi-period excess earnings approach and (ii) the reasonableness of the technology decay rate, the royalty rate, and the discount rate assumptions for certain technology and the customer attrition rate and the discount rate assumptions for certain customer relationships.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December 31,</w:t>
            </w:r>
          </w:p>
        </w:tc>
        <w:tc>
          <w:tcPr>
            <w:tcW w:w="120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ind w:right="651"/>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7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46,246</w:t>
            </w:r>
          </w:p>
        </w:tc>
      </w:tr>
      <w:tr>
        <w:trPr>
          <w:trHeight w:val="176"/>
        </w:trPr>
        <w:tc>
          <w:tcPr>
            <w:tcW w:w="76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$2,006 and $589 at December 31, 2023</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2022, respectively)</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103,958</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191,290</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171,211</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w:t>
            </w: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527,336</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106,225</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34,632</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203,407</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127,201</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22,705</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1,120,919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1,021,506</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90,143</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47,068</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48,820</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23"/>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199,436</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256,961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240,595</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28,841</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12,721</w:t>
            </w: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484,825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495,546</w:t>
            </w:r>
          </w:p>
        </w:tc>
      </w:tr>
      <w:tr>
        <w:trPr>
          <w:trHeight w:val="20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13, 15)</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5"/>
        </w:trPr>
        <w:tc>
          <w:tcPr>
            <w:tcW w:w="76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 $0.01 par value; 35,000,000 shares authorized; 14,600,766 and 12,106,285 shares</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at December 31, 2023 and 2022, respectively</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112,042</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406,052</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w:t>
            </w:r>
          </w:p>
        </w:tc>
      </w:tr>
      <w:tr>
        <w:trPr>
          <w:trHeight w:val="223"/>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636,094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525,960</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1,021,506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Years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3"/>
        </w:trPr>
        <w:tc>
          <w:tcPr>
            <w:tcW w:w="6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645,413</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568,240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502,953</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142,460</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93,579</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Sale-Leaseback</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132,522</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170,484</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34,948</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6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6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135,536</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Adjustments: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6"/>
        </w:trPr>
        <w:tc>
          <w:tcPr>
            <w:tcW w:w="63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Amortization of actuarial losses and prior service costs, net of tax of $53, $143,</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$309 for 2023, 2022, and 2021, respectively</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176"/>
        </w:trPr>
        <w:tc>
          <w:tcPr>
            <w:tcW w:w="63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Actuarial gains (losses) arising during the period, net of tax of $394, $722, and</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$902 for 2023, 2022, and 2021, respectively</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176"/>
        </w:trPr>
        <w:tc>
          <w:tcPr>
            <w:tcW w:w="63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net unrealized (losses) gains on cash flow hedges, net of tax of $344,</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6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$3,753, and $391 for 2023, 2022, and 2021, respectively</w:t>
            </w:r>
          </w:p>
        </w:tc>
        <w:tc>
          <w:tcPr>
            <w:tcW w:w="9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2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15,954</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138,103</w:t>
            </w:r>
          </w:p>
        </w:tc>
      </w:tr>
      <w:tr>
        <w:trPr>
          <w:trHeight w:val="20"/>
        </w:trPr>
        <w:tc>
          <w:tcPr>
            <w:tcW w:w="6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102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Common</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2"/>
                <w:szCs w:val="12"/>
                <w:color w:val="auto"/>
              </w:rPr>
            </w:pPr>
          </w:p>
        </w:tc>
        <w:tc>
          <w:tcPr>
            <w:tcW w:w="1020" w:type="dxa"/>
            <w:vAlign w:val="bottom"/>
          </w:tcPr>
          <w:p>
            <w:pPr>
              <w:jc w:val="center"/>
              <w:ind w:right="52"/>
              <w:spacing w:after="0" w:line="145"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102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11,728,212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97,090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241,727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329,334</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135,536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repurchased related to the exercise of</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 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11,925,087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377,263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474,602</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repurchased related to the exercise of</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 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12,106,285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112,042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406,052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525,960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in public offering, net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issuance costs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184"/>
        </w:trPr>
        <w:tc>
          <w:tcPr>
            <w:tcW w:w="37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repurchased related to the exercise of</w:t>
            </w: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 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14,600,766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206,197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421,980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636,094</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Years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15,928</w:t>
            </w:r>
          </w:p>
        </w:tc>
        <w:tc>
          <w:tcPr>
            <w:tcW w:w="44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135,536</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28,389</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Inventory write-down and property and equipment impairment due to restructuring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Provision for (recovery of) credit losses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Noncash loss on extinguishment of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Recognition of insurance recoveries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Gain on sale-leaseback</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(132,522)</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(11,689)</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Contract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(22,377)</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(17,129)</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Production cost of contracts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Contract liabilities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31,067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32,680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(565)</w:t>
            </w:r>
          </w:p>
        </w:tc>
        <w:tc>
          <w:tcPr>
            <w:tcW w:w="0" w:type="dxa"/>
            <w:vAlign w:val="bottom"/>
          </w:tcPr>
          <w:p>
            <w:pPr>
              <w:spacing w:after="0"/>
              <w:rPr>
                <w:sz w:val="1"/>
                <w:szCs w:val="1"/>
                <w:color w:val="auto"/>
              </w:rPr>
            </w:pPr>
          </w:p>
        </w:tc>
      </w:tr>
      <w:tr>
        <w:trPr>
          <w:trHeight w:val="194"/>
        </w:trPr>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(16,863)</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Proceeds from sale-leaseback</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143,100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Proceeds from life insurance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32"/>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Payments for acquisition of BLR Aerospace L.L.C., net of cash acquired</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7000" w:type="dxa"/>
            <w:vAlign w:val="bottom"/>
          </w:tcPr>
          <w:p>
            <w:pPr>
              <w:ind w:left="660"/>
              <w:spacing w:after="0" w:line="162" w:lineRule="exact"/>
              <w:rPr>
                <w:sz w:val="20"/>
                <w:szCs w:val="20"/>
                <w:color w:val="auto"/>
              </w:rPr>
            </w:pPr>
            <w:r>
              <w:rPr>
                <w:rFonts w:ascii="Times New Roman" w:cs="Times New Roman" w:eastAsia="Times New Roman" w:hAnsi="Times New Roman"/>
                <w:sz w:val="16"/>
                <w:szCs w:val="16"/>
                <w:color w:val="auto"/>
              </w:rPr>
              <w:t>Post closing cash received from (payments for acquisition of) Magnetic Seal LLC, net of cash</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(69,479)</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acquired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(133,496)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(19,242)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57,750</w:t>
            </w:r>
          </w:p>
        </w:tc>
        <w:tc>
          <w:tcPr>
            <w:tcW w:w="0" w:type="dxa"/>
            <w:vAlign w:val="bottom"/>
          </w:tcPr>
          <w:p>
            <w:pPr>
              <w:spacing w:after="0"/>
              <w:rPr>
                <w:sz w:val="1"/>
                <w:szCs w:val="1"/>
                <w:color w:val="auto"/>
              </w:rPr>
            </w:pPr>
          </w:p>
        </w:tc>
      </w:tr>
      <w:tr>
        <w:trPr>
          <w:trHeight w:val="194"/>
        </w:trPr>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Borrowings from senior secured revolving credit facility</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96,000</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Repayments of senior secured revolving credit facility</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(121,000)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Borrowings from term loans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Repayments of term loans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(7,926)</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Repayments of other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Debt issuance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Proceeds from issuance of common stock in public offering, net of issuance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paid upon issuance of common stock under stock plans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(4,047)</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99,046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(43,508)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(37,335)</w:t>
            </w:r>
          </w:p>
        </w:tc>
        <w:tc>
          <w:tcPr>
            <w:tcW w:w="0" w:type="dxa"/>
            <w:vAlign w:val="bottom"/>
          </w:tcPr>
          <w:p>
            <w:pPr>
              <w:spacing w:after="0"/>
              <w:rPr>
                <w:sz w:val="1"/>
                <w:szCs w:val="1"/>
                <w:color w:val="auto"/>
              </w:rPr>
            </w:pPr>
          </w:p>
        </w:tc>
      </w:tr>
      <w:tr>
        <w:trPr>
          <w:trHeight w:val="207"/>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46,246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76,316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56,466</w:t>
            </w:r>
          </w:p>
        </w:tc>
        <w:tc>
          <w:tcPr>
            <w:tcW w:w="0" w:type="dxa"/>
            <w:vAlign w:val="bottom"/>
          </w:tcPr>
          <w:p>
            <w:pPr>
              <w:spacing w:after="0"/>
              <w:rPr>
                <w:sz w:val="1"/>
                <w:szCs w:val="1"/>
                <w:color w:val="auto"/>
              </w:rPr>
            </w:pPr>
          </w:p>
        </w:tc>
      </w:tr>
      <w:tr>
        <w:trPr>
          <w:trHeight w:val="208"/>
        </w:trPr>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Year</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42,863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46,246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76,316</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Business</w:t>
      </w:r>
    </w:p>
    <w:p>
      <w:pPr>
        <w:spacing w:after="0" w:line="9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innovative, value-added proprietary products and manufacturing solutions for high-performance products and high-cost-of failure applications used primarily in the aerospace and defense (“A&amp;D”), industrial, medical, and other industries (collectively, “Industrial”). Our operations are organized into two primary businesses: Electronic Systems segment (“Electronic Systems”) and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All reportable operating segments follow the same accounting principles.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0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(“GAAP”), and include the accounts of Ducommun Incorporated and its subsidiaries (“Ducommun,” the “Company,” “we,” “us” or “our”), after eliminating intercompany balances and transactions.</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amounts and disclosures included in the consolidated financial statements required management to make estimates and judgments that affect the amount of assets, liabilities (including forward loss reserves),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these estimates.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current year’s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45"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2023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5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32,934</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4"/>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 not paid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money market funds and they are included as cash and cash equivalents. We also have forward interest rate swap agreements and the fair value of the forward interest rate swap agreements were determined using pricing models that use observable market inputs as of the balance sheet date, a Level 2 measurement.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financial instruments in either 2023 or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instruments purchased with original maturities of three months or less. These assets are valued at cost, which approximates fair value, which we classify as Level 1. See Fair Value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Instruments</w:t>
      </w:r>
    </w:p>
    <w:p>
      <w:pPr>
        <w:spacing w:after="0" w:line="1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recognize derivative instruments on our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agreements with an aggregate notional amount of $150.0 million, all with an effective date of January 1, 2024 (“Forward Interest Rate Swaps”) to manage our exposure to interest rate movements on a portion of our debt. As such, at the time we entered into the Forward Interest Rate Swaps, there was a high probability of forecasted interest payments on our debts occurring and the swaps are highly effective in offsetting those interest payments and therefore, we elected to apply cash flow hedge accounting. In July 2022, as a result of refinancing all our existing debt, which allows borrowing based on a Secured Overnight Financing Rate (“SOFR”), we were required to complete an amendment of the Forward Interest Rate Swaps from One Month London Interbank Offered Rate (“LIBOR”) to One Month Term SOFR (“Amended Forward Interest Rate Swaps”), which occurred on the same day. After the transition of the Forward Interest Rate Swaps and debt to SOFR was completed, we determined the hedging relationship was still highly effective as of the amendment date. See Note 9. As of December 31, 2023, all of our derivative instruments were designated as cash flow hedges.</w:t>
      </w:r>
    </w:p>
    <w:p>
      <w:pPr>
        <w:spacing w:after="0" w:line="7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consolidated statements of cash flows in the same category as the item being hedged or on a basis consistent with the nature of the instrument. Since the Amended Forward Interest Rate Swaps are not effective until January 1, 2024, we only record the changes in fair value of the derivative instruments that were highly effective and that were designated and qualified as cash flow hedges. As such, during the years ended December 31, 2023 and December 31, 2022, we recorded the unrealized gain to other comprehensive income of $1.1 million and $12.1 million, respectively, and the associated change to other current assets, other assets, and deferred income taxes.</w:t>
      </w:r>
    </w:p>
    <w:p>
      <w:pPr>
        <w:spacing w:after="0" w:line="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consolidated balance sheets and recognize subsequent changes in its fair value in our current period earnings.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w:t>
      </w:r>
    </w:p>
    <w:p>
      <w:pPr>
        <w:spacing w:after="0" w:line="1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maintain an allowance for credit losses for expected losses from the inability of customers to make required payments. The allowance for credit losses is evaluated periodically for expected credit losses based on the financial condition of customers and their payment history, the aging of accounts receivable, historical write-off experience and other assumptions, such as current assessment of economic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 and Depreciation</w:t>
      </w:r>
    </w:p>
    <w:p>
      <w:pPr>
        <w:spacing w:after="0" w:line="9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Property and equipment, including assets recorded under operating and finance leases, are recorded at cost. Depreciation and amortization are computed using the straight-line method over the estimated useful lives of the related assets, or the lease term if shorter for leasehold improvements. Repairs and maintenance are charged to expense as incurred. We evaluate long-lived assets for recoverability considering undiscounted cash flows, when significant changes in conditions occur, and recognize impairment losses if any, based upon the fair value of the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10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When a business is acquired, we allocate the purchase price by recording the assets acquired and liabilities assumed at their estimated fair values as of the acquisition date, with the excess cost recorded as goodwill. A preliminary fair value is determined once a business is acquired, with the final determination of fair value to be completed no later than one year from the date of acquisition.</w:t>
      </w:r>
    </w:p>
    <w:p>
      <w:pPr>
        <w:spacing w:after="0" w:line="4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To determine the estimated fair value of assets acquired and liabilities assumed requires significant judgment and estimates, including the selection of valuation methodologies, estimates of future revenues, costs and cash flows, discount rates, and selection of comparable companies. We engage the assistance of valuation specialists in concluding on fair value measurements in determining the fair value of assets acquired and liabilities assumed in business combinations.</w:t>
      </w:r>
    </w:p>
    <w:p>
      <w:pPr>
        <w:spacing w:after="0" w:line="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The fair value of the intangible assets is estimated using several valuation methodologies, including the income based or market based approaches, which represent Level 3 fair value measurements. Inputs to fair value analyses and other aspects of the allocation of the purchase price require judgment. The values for technology and trade name are typically estimated using the relief from royalty methodology, while the value for customer relationships is typically estimated based on a multi-period excess earnings approach. The more significant inputs used in the technology intangible asset valuation included (i) future revenues, (ii) the technology decay rate, (iii) the royalty rate, and (iv) the discount rate. The more significant inputs used in the customer relationships intangible asset valuation include (i) future revenues, (ii) the projected earnings before interest, taxes, and amortization (“EBITA”) margins,</w:t>
      </w:r>
    </w:p>
    <w:p>
      <w:pPr>
        <w:spacing w:after="0" w:line="5" w:lineRule="exact"/>
        <w:rPr>
          <w:sz w:val="20"/>
          <w:szCs w:val="20"/>
          <w:color w:val="auto"/>
        </w:rPr>
      </w:pPr>
    </w:p>
    <w:p>
      <w:pPr>
        <w:ind w:firstLine="8"/>
        <w:spacing w:after="0" w:line="260" w:lineRule="auto"/>
        <w:tabs>
          <w:tab w:leader="none" w:pos="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attrition rates, and (iv) the discount rate. The useful lives are estimated based on the underlying agreements or the future economic benefit expected to be received from the assets.</w:t>
      </w:r>
    </w:p>
    <w:p>
      <w:pPr>
        <w:spacing w:after="0" w:line="6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Acquisition related costs are not included as components of consideration transferred but instead, expensed as incurred and are included in selling, general and administrative expenses in our consolidated statements of income. See Note 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0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Goodwill is evaluated for impairment on an annual basis on the first day of the fourth fiscal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8"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We may use either a qualitative or quantitative approach when testing a reporting unit’s goodwill for impairment. The qualitative approach for potential impairment analysis is performed to determine whether it is more likely than not that the fair value of a reporting unit was less than its carrying amount.</w:t>
      </w:r>
    </w:p>
    <w:p>
      <w:pPr>
        <w:spacing w:after="0" w:line="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companies, business acquisitions and the transaction values observed and its related control premiums.</w:t>
      </w:r>
    </w:p>
    <w:p>
      <w:pPr>
        <w:spacing w:after="0" w:line="13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the fourth quarter of 2023, the carrying amount of goodwill at the date of the most recent annual impairment evaluation for Electronic Systems and Structural Systems was $117.4 million and $127.2 million, respectively.</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acquired 100% of the equity interests of BLR Aerospace, L.L.C. (“BLR”) on April 25, 2023, for an original purchase price of $115.0 million, net of cash acquired. We recorded goodwill of $41.2 million in our Structural Systems segment, which is also our reporting unit. See Note 2.</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last time we performed a step one goodwill impairment analysis for our Electronic Systems reporting unit was 2019 and thus, we elected to perform a step one goodwill impairment analysis as of the first day of the fourth quarter of 2023. The fair value of our Electronic Systems segment exceeded its carrying value and thus, was not deemed impaired.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our commercial aerospace end-use market business continues to be negatively impacted by a general slowdown in the global economy primarily due to the lingering effects of the COVID-19 pandemic and the resulting inflation and other events, we performed a step one goodwill impairment test for our Structural Systems reporting unit as of the first day of the fourth quarter of 2023. The fair value of our Structural Systems segment exceeded its carrying value and thus, was not deemed impaired.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Intangible Assets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amortize acquired other intangible assets with finite lives over the estimated economic lives of the assets, ranging from 2 to 23 years, generally using the straight-line method. The value of other intangibles acquired through business combinations has been estimated using present value techniques which involve estimates of future cash flows. We evaluate other intangible assets for recoverability considering undiscounted cash flows when significant changes in conditions occur, and recognize impairment losses, if any, based upon the estimated fair value of the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Income</w:t>
      </w:r>
    </w:p>
    <w:p>
      <w:pPr>
        <w:spacing w:after="0" w:line="10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as reflected on the consolidated balance sheets under the equity section, was comprised of cumulative pension and retirement liability adjustments, net of tax, and change in net unrealized gains and losses on cash flow hedges, net of tax.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9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3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progress completed (and related profitability) on our contracts, we review and update our contract-related estimates on a regular basis. We recognize such adjustments under the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cumulative catch-up method. Under this method, the impact of the adjustment is recognized in the period the adjustment is identified. Revenue and profit in future periods of contract performance is recognized using the adjusted estimate.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adjustments in contract estimates on our operating earnings can be reflected in either operating costs and expenses or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cumulative catch-up adjustments on profit recorded were not material for both years ended December 31, 2023 and December 31, 2022.</w:t>
      </w:r>
    </w:p>
    <w:p>
      <w:pPr>
        <w:spacing w:after="0" w:line="10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and have met the shipping terms, a contract liability is created for the advance or progress payment. When a contract liability and a contract asset exist on the same contract, we report it on a net basis.</w:t>
      </w:r>
    </w:p>
    <w:p>
      <w:pPr>
        <w:spacing w:after="0" w:line="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consolidated balance sheets. As of December 31, 2023 and 2022, provision for estimated losses on contracts were $5.4 million and $3.9 million, respectively.</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typically amortized and recognized as cost of sales under the associated revenue contract using the over time revenue recognition model. We review the value of the production cost of contracts on a quarterly basis to ensure when added to the estimated cost to complete, the value is not greater than the estimated realizable value of the related contracts. As of December 31, 2023 and 2022, production costs of contracts were $7.8 million and $5.7 million, respectively.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90"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billed to/or received from our customers prior to the time transfer of control occurs plus the estimated losses on contracts. When a contract liability and a contract asset exist on the same contract, we report it on a net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from revenue contracts with customers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4"/>
                <w:szCs w:val="14"/>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2022</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191,290</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47,068</w:t>
            </w:r>
          </w:p>
        </w:tc>
      </w:tr>
    </w:tbl>
    <w:p>
      <w:pPr>
        <w:spacing w:after="0" w:line="23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decrease in our contract assets as of December 31, 2023 compared to December 31, 2022 was primarily due to a net decrease of products in work in process.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increase in our contract liabilities as of December 31, 2023 compared to December 31, 2022 was primarily due to a net increase of advance or progress payments received from our customers in the current year. We recognized $36.1 million of the contract liabilities as of December 31, 2022 as revenues during the year ended December 31, 2023.</w:t>
      </w:r>
    </w:p>
    <w:p>
      <w:pPr>
        <w:spacing w:after="0" w:line="4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Performance obligations are defined as customer placed purchase orders (“POs”) with firm fixed price and firm delivery dates. Our remaining performance obligations as of December 31, 2023 totaled $963.5 million. We anticipate recognizing an estimated 70% of our remaining performance obligations as revenue during the next 12 months with the remaining performance obligations being recognized in 2025 and beyond.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by Category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revenue categories disclosed above, the following table reflects our revenue disaggregated by major end-use market: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color w:val="auto"/>
              </w:rPr>
              <w:t>(Dollars in thousands)</w:t>
            </w:r>
          </w:p>
        </w:tc>
        <w:tc>
          <w:tcPr>
            <w:tcW w:w="204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color w:val="auto"/>
              </w:rPr>
              <w:t>% of Net Revenues</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color w:val="auto"/>
              </w:rPr>
              <w:t>Years Ended December 31,</w:t>
            </w:r>
          </w:p>
        </w:tc>
        <w:tc>
          <w:tcPr>
            <w:tcW w:w="204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40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403,819</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420,701</w:t>
            </w:r>
          </w:p>
        </w:tc>
        <w:tc>
          <w:tcPr>
            <w:tcW w:w="1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247,509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712,537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2720" w:type="dxa"/>
            <w:vAlign w:val="bottom"/>
            <w:tcBorders>
              <w:bottom w:val="single" w:sz="8" w:color="CCEEFF"/>
            </w:tcBorders>
            <w:gridSpan w:val="3"/>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293,485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440,638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27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165,379</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271,899</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Deferred tax assets and liabilities are recognized, using enacted tax rates, for the expected future tax consequences of temporary differences between the book and tax bases of recorded assets and liabilities, operating losses, and tax credit carryforwards. Deferred tax assets are evaluated quarterly and are reduced by a valuation allowance if it is more likely than not that some portion or all of the deferred tax assets will not be realized.</w:t>
      </w:r>
    </w:p>
    <w:p>
      <w:pPr>
        <w:spacing w:after="0" w:line="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Tax positions taken or expected to be taken in a tax return are recognized when it is more-likely-than-not, based on technical merits, to be sustained upon examination by taxing authorities. The amount recognized is measured as the largest amount of benefit that is greater than 50% likely of being realized upon ultimate settlement, including resolution of related appeals and/or litigation process, if 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Commitments</w:t>
      </w:r>
    </w:p>
    <w:p>
      <w:pPr>
        <w:spacing w:after="0" w:line="9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In the normal course of business, we are defendants in certain litigation, claims and inquiries, including matters relating to environmental laws. In addition, we make various commitments and incur contingent liabilities. Management’s estimates regarding contingent liabilities could differ from actual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Liabilities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Environmental liabilities are recorded when environmental assessments and/or remedial efforts are probable and costs can be reasonably estimated. Generally, the timing of these accruals coincides with the completion of a feasibility study or our commitment to a formal plan of action. Further, we review and update our environmental accruals as circumstances change and/or additional information is obtained that reasonably could be expected to have a meaningful effect on the outcome of a matter or the estimated cost thereof.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Stock-Based Compensation</w:t>
      </w:r>
    </w:p>
    <w:p>
      <w:pPr>
        <w:spacing w:after="0" w:line="1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measure and recognize compensation expense for share-based payment transactions to our employees and non-employees at their estimated fair value. The expense is measured at the grant date, based on the calculated fair value of the share-based award, and is recognized over the requisite service period (generally the vesting period of the equity award). The fair value of stock options is determined using the Black-Scholes-Merton (“Black-Scholes”) valuation model, which requires assumptions and judgments regarding stock price volatility, risk-free interest rates, and expected options terms. Management’s estimates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could differ from actual results. The fair value of unvested stock awards is determined based on the closing price of the underlying common stock on the date of grant except for market condition awards for which the fair value was based on a Monte Carlo simulation model.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Grant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2021, we were awarded an Aviation Manufacturing Jobs Protection Program grant from the U.S. Department of Transportation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$4.0 million. As part of the award, we had to meet, and did complete, certain requirements over a six month performance period from November 2021 to May 2022. As of December 31, 2022, we have received the entire $4.0 million grant balance, $2.0 million of which was received during 2021. We recorded $2.7 million and $0.3 million as a reduction of cost of sales and selling, general and administrative expenses, respectively, during 2022 and $0.9 million and $0.1 million as a reduction of cost of sales and selling, general and administrative expenses, respectively, during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Charitable Contributions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contributed $0.1 million to the Ducommun Foundation during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potentially dilutive shares that could be issued if exercised or converted into common stock in each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income and weighted-average common shares outstanding used to compute earnings per share were as follows:</w:t>
      </w:r>
    </w:p>
    <w:p>
      <w:pPr>
        <w:spacing w:after="0" w:line="35"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color w:val="auto"/>
        </w:rPr>
        <w:t>(In thousands, except per share data)</w:t>
      </w:r>
    </w:p>
    <w:p>
      <w:pPr>
        <w:jc w:val="center"/>
        <w:ind w:left="612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ind w:right="81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795"/>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Potentially dilutive stock awards to purchase common stock, as shown below, were excluded from the computation of diluted earnings per share because their inclusion would have been anti-dilutive. However, these shares may be potentially dilutive common shares in the future.</w:t>
      </w:r>
    </w:p>
    <w:p>
      <w:pPr>
        <w:jc w:val="center"/>
        <w:ind w:left="6340"/>
        <w:spacing w:after="0" w:line="226" w:lineRule="auto"/>
        <w:rPr>
          <w:sz w:val="20"/>
          <w:szCs w:val="20"/>
          <w:color w:val="auto"/>
        </w:rPr>
      </w:pPr>
      <w:r>
        <w:rPr>
          <w:rFonts w:ascii="Times New Roman" w:cs="Times New Roman" w:eastAsia="Times New Roman" w:hAnsi="Times New Roman"/>
          <w:sz w:val="14"/>
          <w:szCs w:val="14"/>
          <w:color w:val="auto"/>
        </w:rPr>
        <w:t>(In thousands)</w:t>
      </w:r>
    </w:p>
    <w:p>
      <w:pPr>
        <w:jc w:val="center"/>
        <w:ind w:left="634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64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units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Guidance Adopted in 2023</w:t>
      </w:r>
    </w:p>
    <w:p>
      <w:pPr>
        <w:spacing w:after="0" w:line="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July 2023, the FASB issued ASU 2023-03, “Presentation of Financial Statements (Topic 205), Income Statement - Reporting Comprehensive Income (Topic 220), Distinguishing Liabilities from Equity (Topic 480), Equity (Topic 505), and Compensation - Stock Compensation (Topic 718): Amendments to SEC Paragraphs Pursuant to SEC Staff Accounting Bulletin No. 120, SEC Staff Announcement at the March 24, 2022 EITF Meeting, and Staff Accounting Bulletin Topic 6.B, Accounting Series Release 280 - General Revision of Regulation S-X: Income or Loss Applicable to Common Stock” (“ASU 2023-03”), which amends or supersedes various SEC paragraphs within the Accounting Standards Codification to conform to past SEC announcements and guidance issued by the SEC. ASU 2023-03 does not provide any new guidance so there was no transition or effective date. ASU 2023-03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provide more transparency about tax information primarily related to the rate reconciliation and the income taxes paid. The new guidance is effective for fiscal years beginning after December 15, 2024, which will be our annual period beginning January 1, 2025. Early adoption is permitted. We are evaluating the impact of this standard.</w:t>
      </w:r>
    </w:p>
    <w:p>
      <w:pPr>
        <w:spacing w:after="0" w:line="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expand reportable segment disclosure requirements, primarily through enhanced disclosures about significant segment expenses. The new guidance is effective for fiscal years beginning after December 15, 2023, which is our annual period beginning January 1, 2024, and interim periods within fiscal years beginning after December 15, 2024, which will be our interim period beginning January 1, 2025. Early adoption is permitted. We are evaluating the impact of this standard.</w:t>
      </w:r>
    </w:p>
    <w:p>
      <w:pPr>
        <w:spacing w:after="0" w:line="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(“ASU 2023-06”), which incorporates updates to the Accounting Standards Codification to align certain SEC disclosure requirements. The amendments impact a variety of topics but are relatively narrow in nature. For entities required to comply with the SEC’s existing disclosure requirements, the effective date for each amendment will be the effective date of the removal of the disclosure requirement from SEC Regulation S-X or SEC Regulation S-K, with early adoption prohibited. The amendments should be applied prospectively. We are evaluating the impact of this standard.</w:t>
      </w:r>
    </w:p>
    <w:p>
      <w:pPr>
        <w:spacing w:after="0" w:line="6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December 2022, the FASB issued ASU 2022-06, “Reference Rate Reform (Topic 848), Deferral of the Sunset Date of Topic 848” (“ASU 2022-06”), which defers the sunset date of Topic 848 from December 31, 2022, to December 31, 2024, after which entities will no longer be permitted to apply the relief in Topic 848. Since we adopted ASU 2020-04 during 2022, ASU 2022-06 will not have a material impact on our consolidated financial statements. See Note 9.</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Combinations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April 25, 2023, we acquired 100.0% of the outstanding equity interests of BLR Aerospace, L.L.C. (“BLR”), a privately-held leading provider of aerodynamic systems that enhance the productivity, performance, and safety of rotary and fixed-wing aircraft on commercial and military platforms. BLR is located in Everett, Washington. The acquisition of BLR adds to our strategy to diversify and offer more customized, value-driven engineered products with aftermarket opportunities.</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initial purchase price for BLR was $115.0 million, net of cash acquired, all payable in cash, subject to adjustments for working capital. We paid a gross aggregate of $117.0 million in cash upon the closing of the transaction. Subsequent to the closing of the transaction, during the third quarter of 2023, the working capital was finalized and the impact was immaterial for a final purchase price of $114.4 million, net of cash acquired. We allocated the gross purchase price of $117.0 million to the assets acquired and liabilities assumed at their estimated fair values. The excess of the purchase price over the aggregate fair values of the net assets was recorded as goodwill.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the assets acquired and liabilities assumed at the date of acquisition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9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3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6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3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117,034</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3"/>
                <w:szCs w:val="13"/>
                <w:color w:val="auto"/>
              </w:rPr>
            </w:pPr>
          </w:p>
        </w:tc>
        <w:tc>
          <w:tcPr>
            <w:tcW w:w="13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10 - 22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Trade name</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intangible assets acquired of $55.5 million were determined based on the estimated fair values using valuation techniques consistent with the income approach to measure fair value, which represented Level 3 fair value measurements. The useful lives were estimated based on the underlying agreements or the future economic benefit expected to be received from the assets. The values for technology and trade name were assessed using the relief from royalty methodology, while the value for customer relationships was estimated based on a multi-period excess earnings approach. Inputs to the income approach models and other aspects of the allocation of the purchase price require judgment. The more significant inputs used in the technology intangible asset valuation included (i) future revenues, (ii) the technology decay rate (iii) the royalty rate, and (iv) the discount rate. The more significant inputs used in the customer relationships intangible asset valuation included (i) future revenues, (ii) the projected earnings before interest, taxes, and amortization (“EBITA”) margins, (iii) the customer attrition rates, and (iv) the discount rate.</w:t>
      </w:r>
    </w:p>
    <w:p>
      <w:pPr>
        <w:spacing w:after="0" w:line="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goodwill of $41.2 million arising from the acquisition is attributable to the benefits we expect to derive from expected synergies from the transaction, including complementary products that will enhance our overall product portfolio, opportunities within new markets, and an acquired assembled workforce. All the goodwill was assigned to the Structural Systems segment. The BLR acquisition, for tax purposes, is deemed an asset acquisition and thus, the goodwill recognized is deductible for income tax purposes.</w:t>
      </w:r>
    </w:p>
    <w:p>
      <w:pPr>
        <w:spacing w:after="0" w:line="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Acquisition related transaction costs were not included as components of consideration transferred but have been expensed as incurred. Total acquisition-related transaction costs incurred by us were $1.3 million during 2023 and charged to selling, general and administrative expenses.</w:t>
      </w:r>
    </w:p>
    <w:p>
      <w:pPr>
        <w:spacing w:after="0" w:line="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BLR’s results of operations have been included in our consolidated statements of income since the date of acquisition as part of the Structural Systems segment and were less than three percent of total company revenues since the date of acquisition. Pro forma results of operations of the BLR acquisition have not been presented as the effect of the BLR acquisition was not material to our financial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Restructuring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2022 Restructuring Plan</w:t>
      </w:r>
    </w:p>
    <w:p>
      <w:pPr>
        <w:spacing w:after="0" w:line="10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better position us for stronger performance. The restructuring plan mainly reduces headcount and consolidates facilities. As a result of this restructuring plan, we analyzed the need to write-down inventory and impair long-lived assets, including operating lease right-of-use assets. During the year ended December 31, 2023, we recorded total charges of $14.9 million. Cumulative through the year ended December 31, 2023, we recorded total charges of $21.5 million. As of December 31, 2023, we estimate the remaining amount of charges related to this initiative will be $5.0 million to $7.0 million in total pre-tax restructuring charges through 2024. Of these charges, we estimate $4.5 million to $6.0 million to be cash payments for employee separation and other facility consolidation related expenses, and $0.5 million to $1.0 million to be non-cash charges for impairment of long-lived assets.</w:t>
      </w:r>
    </w:p>
    <w:p>
      <w:pPr>
        <w:spacing w:after="0" w:line="5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In the Electronics Systems segment, we recorded charges of $6.1 million, $0.3 million, and $0.1 million during the year ended December 31, 2023, for severance and benefits that were classified as restructuring charges, charges for inventory write down that were classified as cost of sales, and other restructuring, respectively. Cumulative through the year ended December 31, 2023, we recorded total charges for severance and benefits that were classified as restructuring charges, accelerated depreciation of property and equipment that was classified as restructuring charges, charges for inventory write down that were classified as cost of sales, and other restructuring of $9.6 million, $0.3 million, $0.3 million, and $0.1 million, respectively.</w:t>
      </w:r>
    </w:p>
    <w:p>
      <w:pPr>
        <w:spacing w:after="0" w:line="4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Structural Systems segment, we recorded $4.3 million, $1.2 million, zero, and $2.8 million during the year ended December 31, 2023 for severance and benefits that were classified as restructuring charges, accelerated depreciation of property and equipment that was classified as restructuring charges, charges for inventory write down that was classified as cost of sales, and other restructuring charges, respectively. Cumulative through the year ended December 31, 2023, we recorded total charges for severance and benefits that were classified as restructuring charges, accelerated depreciation of property and equipment that was classified as restructuring charges, impairment of property and equipment that was classified as restructuring charges,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charges for inventory write down that was classified as cost of sales, and other restructuring of $5.8 million, $1.7 million, $0.3 million, $0.5 million, and $2.8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restructuring activities for 2023 were as follows (in thousands):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December 31,</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2023</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38"/>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Balance</w:t>
            </w:r>
          </w:p>
        </w:tc>
        <w:tc>
          <w:tcPr>
            <w:tcW w:w="220" w:type="dxa"/>
            <w:vAlign w:val="bottom"/>
          </w:tcPr>
          <w:p>
            <w:pPr>
              <w:spacing w:after="0"/>
              <w:rPr>
                <w:sz w:val="11"/>
                <w:szCs w:val="11"/>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2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Cash Payments</w:t>
            </w:r>
          </w:p>
        </w:tc>
        <w:tc>
          <w:tcPr>
            <w:tcW w:w="180" w:type="dxa"/>
            <w:vAlign w:val="bottom"/>
          </w:tcPr>
          <w:p>
            <w:pPr>
              <w:spacing w:after="0"/>
              <w:rPr>
                <w:sz w:val="11"/>
                <w:szCs w:val="11"/>
                <w:color w:val="auto"/>
              </w:rPr>
            </w:pPr>
          </w:p>
        </w:tc>
        <w:tc>
          <w:tcPr>
            <w:tcW w:w="102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4"/>
                <w:szCs w:val="14"/>
                <w:color w:val="auto"/>
              </w:rPr>
              <w:t>Non-Cash</w:t>
            </w:r>
          </w:p>
        </w:tc>
        <w:tc>
          <w:tcPr>
            <w:tcW w:w="180" w:type="dxa"/>
            <w:vAlign w:val="bottom"/>
          </w:tcPr>
          <w:p>
            <w:pPr>
              <w:spacing w:after="0"/>
              <w:rPr>
                <w:sz w:val="11"/>
                <w:szCs w:val="11"/>
                <w:color w:val="auto"/>
              </w:rPr>
            </w:pPr>
          </w:p>
        </w:tc>
        <w:tc>
          <w:tcPr>
            <w:tcW w:w="920" w:type="dxa"/>
            <w:vAlign w:val="bottom"/>
          </w:tcPr>
          <w:p>
            <w:pPr>
              <w:ind w:left="80"/>
              <w:spacing w:after="0" w:line="138" w:lineRule="exact"/>
              <w:rPr>
                <w:sz w:val="20"/>
                <w:szCs w:val="20"/>
                <w:color w:val="auto"/>
              </w:rPr>
            </w:pPr>
            <w:r>
              <w:rPr>
                <w:rFonts w:ascii="Times New Roman" w:cs="Times New Roman" w:eastAsia="Times New Roman" w:hAnsi="Times New Roman"/>
                <w:sz w:val="14"/>
                <w:szCs w:val="14"/>
                <w:color w:val="auto"/>
              </w:rPr>
              <w:t>Change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93"/>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Payments</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Estimates</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benefits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175"/>
        </w:trPr>
        <w:tc>
          <w:tcPr>
            <w:tcW w:w="40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Property and equipment accelerated depreciation due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 restructuring</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write down</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restructuring activities accrual for severance and benefits of $5.4 million as of December 31, 2023 was included as part of accrued and other liabilities.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3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color w:val="auto"/>
        </w:rPr>
        <w:t>(In thousands)</w:t>
      </w:r>
    </w:p>
    <w:p>
      <w:pPr>
        <w:ind w:left="8940"/>
        <w:spacing w:after="0"/>
        <w:rPr>
          <w:sz w:val="20"/>
          <w:szCs w:val="20"/>
          <w:color w:val="auto"/>
        </w:rPr>
      </w:pPr>
      <w:r>
        <w:rPr>
          <w:rFonts w:ascii="Times New Roman" w:cs="Times New Roman" w:eastAsia="Times New Roman" w:hAnsi="Times New Roman"/>
          <w:sz w:val="14"/>
          <w:szCs w:val="14"/>
          <w:color w:val="auto"/>
        </w:rPr>
        <w:t>December 31,</w:t>
      </w:r>
    </w:p>
    <w:p>
      <w:pPr>
        <w:spacing w:after="0" w:line="26" w:lineRule="exact"/>
        <w:rPr>
          <w:sz w:val="20"/>
          <w:szCs w:val="20"/>
          <w:color w:val="auto"/>
        </w:rPr>
      </w:pPr>
    </w:p>
    <w:p>
      <w:pPr>
        <w:ind w:left="8220"/>
        <w:spacing w:after="0"/>
        <w:tabs>
          <w:tab w:leader="none" w:pos="10160" w:val="left"/>
        </w:tabs>
        <w:rPr>
          <w:sz w:val="20"/>
          <w:szCs w:val="20"/>
          <w:color w:val="auto"/>
        </w:rPr>
      </w:pPr>
      <w:r>
        <w:rPr>
          <w:rFonts w:ascii="Times New Roman" w:cs="Times New Roman" w:eastAsia="Times New Roman" w:hAnsi="Times New Roman"/>
          <w:sz w:val="14"/>
          <w:szCs w:val="14"/>
          <w:color w:val="auto"/>
        </w:rPr>
        <w:t>2023</w:t>
      </w:r>
      <w:r>
        <w:rPr>
          <w:sz w:val="20"/>
          <w:szCs w:val="20"/>
          <w:color w:val="auto"/>
        </w:rPr>
        <w:tab/>
      </w:r>
      <w:r>
        <w:rPr>
          <w:rFonts w:ascii="Times New Roman" w:cs="Times New Roman" w:eastAsia="Times New Roman" w:hAnsi="Times New Roman"/>
          <w:sz w:val="14"/>
          <w:szCs w:val="14"/>
          <w:color w:val="auto"/>
        </w:rPr>
        <w:t>2022</w:t>
      </w:r>
    </w:p>
    <w:p>
      <w:pPr>
        <w:sectPr>
          <w:pgSz w:w="11900" w:h="16838" w:orient="portrait"/>
          <w:cols w:equalWidth="0" w:num="1">
            <w:col w:w="11240"/>
          </w:cols>
          <w:pgMar w:left="320" w:top="117" w:right="339" w:bottom="1440" w:gutter="0" w:footer="0" w:header="0"/>
        </w:sectPr>
      </w:pP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Raw materials and supplies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Work in process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Finished goods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780" w:type="dxa"/>
        <w:tblCellMar>
          <w:top w:w="0" w:type="dxa"/>
          <w:left w:w="0" w:type="dxa"/>
          <w:bottom w:w="0" w:type="dxa"/>
          <w:right w:w="0" w:type="dxa"/>
        </w:tblCellMar>
      </w:tblPr>
      <w:tr>
        <w:trPr>
          <w:trHeight w:val="238"/>
        </w:trPr>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174,624</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143,495</w:t>
            </w:r>
          </w:p>
        </w:tc>
      </w:tr>
      <w:tr>
        <w:trPr>
          <w:trHeight w:val="229"/>
        </w:trPr>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23,799</w:t>
            </w:r>
          </w:p>
        </w:tc>
      </w:tr>
      <w:tr>
        <w:trPr>
          <w:trHeight w:val="234"/>
        </w:trPr>
        <w:tc>
          <w:tcPr>
            <w:tcW w:w="6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r>
      <w:tr>
        <w:trPr>
          <w:trHeight w:val="223"/>
        </w:trPr>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199,201</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171,211</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-633730</wp:posOffset>
            </wp:positionV>
            <wp:extent cx="710628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-333375</wp:posOffset>
            </wp:positionV>
            <wp:extent cx="7106285"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 thousands)</w:t>
            </w:r>
          </w:p>
        </w:tc>
        <w:tc>
          <w:tcPr>
            <w:tcW w:w="1080" w:type="dxa"/>
            <w:vAlign w:val="bottom"/>
          </w:tcPr>
          <w:p>
            <w:pPr>
              <w:spacing w:after="0"/>
              <w:rPr>
                <w:sz w:val="13"/>
                <w:szCs w:val="13"/>
                <w:color w:val="auto"/>
              </w:rPr>
            </w:pPr>
          </w:p>
        </w:tc>
        <w:tc>
          <w:tcPr>
            <w:tcW w:w="138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Range of</w:t>
            </w:r>
          </w:p>
        </w:tc>
      </w:tr>
      <w:tr>
        <w:trPr>
          <w:trHeight w:val="190"/>
        </w:trPr>
        <w:tc>
          <w:tcPr>
            <w:tcW w:w="16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December 31,</w:t>
            </w:r>
          </w:p>
        </w:tc>
        <w:tc>
          <w:tcPr>
            <w:tcW w:w="1080" w:type="dxa"/>
            <w:vAlign w:val="bottom"/>
          </w:tcPr>
          <w:p>
            <w:pPr>
              <w:spacing w:after="0"/>
              <w:rPr>
                <w:sz w:val="16"/>
                <w:szCs w:val="16"/>
                <w:color w:val="auto"/>
              </w:rPr>
            </w:pPr>
          </w:p>
        </w:tc>
        <w:tc>
          <w:tcPr>
            <w:tcW w:w="138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1"/>
        </w:trPr>
        <w:tc>
          <w:tcPr>
            <w:tcW w:w="1620" w:type="dxa"/>
            <w:vAlign w:val="bottom"/>
          </w:tcPr>
          <w:p>
            <w:pPr>
              <w:jc w:val="right"/>
              <w:ind w:right="1248"/>
              <w:spacing w:after="0"/>
              <w:rPr>
                <w:sz w:val="20"/>
                <w:szCs w:val="20"/>
                <w:color w:val="auto"/>
              </w:rPr>
            </w:pPr>
            <w:r>
              <w:rPr>
                <w:rFonts w:ascii="Times New Roman" w:cs="Times New Roman" w:eastAsia="Times New Roman" w:hAnsi="Times New Roman"/>
                <w:sz w:val="14"/>
                <w:szCs w:val="14"/>
                <w:color w:val="auto"/>
                <w:w w:val="99"/>
              </w:rPr>
              <w:t>2023</w:t>
            </w:r>
          </w:p>
        </w:tc>
        <w:tc>
          <w:tcPr>
            <w:tcW w:w="10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2022</w:t>
            </w:r>
          </w:p>
        </w:tc>
        <w:tc>
          <w:tcPr>
            <w:tcW w:w="138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Useful Lives</w:t>
            </w:r>
          </w:p>
        </w:tc>
      </w:tr>
    </w:tbl>
    <w:p>
      <w:pPr>
        <w:spacing w:after="0" w:line="3" w:lineRule="exact"/>
        <w:rPr>
          <w:sz w:val="20"/>
          <w:szCs w:val="20"/>
          <w:color w:val="auto"/>
        </w:rPr>
      </w:pPr>
    </w:p>
    <w:p>
      <w:pPr>
        <w:sectPr>
          <w:pgSz w:w="11900" w:h="16838" w:orient="portrait"/>
          <w:cols w:equalWidth="0" w:num="2">
            <w:col w:w="5960" w:space="720"/>
            <w:col w:w="456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43"/>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51,110</w:t>
            </w:r>
          </w:p>
        </w:tc>
        <w:tc>
          <w:tcPr>
            <w:tcW w:w="100" w:type="dxa"/>
            <w:vAlign w:val="bottom"/>
          </w:tcPr>
          <w:p>
            <w:pPr>
              <w:spacing w:after="0"/>
              <w:rPr>
                <w:sz w:val="19"/>
                <w:szCs w:val="19"/>
                <w:color w:val="auto"/>
              </w:rPr>
            </w:pP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5 - 40 Years</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179,606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2 - 20 Years</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100" w:type="dxa"/>
            <w:vAlign w:val="bottom"/>
          </w:tcPr>
          <w:p>
            <w:pPr>
              <w:spacing w:after="0"/>
              <w:rPr>
                <w:sz w:val="19"/>
                <w:szCs w:val="19"/>
                <w:color w:val="auto"/>
              </w:rPr>
            </w:pP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2 - 10 Years</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277,732</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181,412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111,379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106,225</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
        </w:trPr>
        <w:tc>
          <w:tcPr>
            <w:tcW w:w="5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$15.5 million, $14.5 million, and $14.1 million, for the years ended December 31, 2023, 2022 and 2021, respectively.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 Transaction</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December 2021, we entered into a sale-leaseback transaction for the building and related land for our Gardena performance center located in Carson, California (“Sale-Leaseback Agreement”). The building and related land was sold for $143.1 million and we had no continuing involvement. The carrying value of the building and related land was $9.4 million and we recognized a gain of $132.5 million. As part of the Sale-Leaseback Agreement, we entered into an initial five year lease for the usage of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2" w:name="page63"/>
    <w:bookmarkEnd w:id="62"/>
    <w:p>
      <w:pPr>
        <w:ind w:right="620"/>
        <w:spacing w:after="0" w:line="282" w:lineRule="auto"/>
        <w:rPr>
          <w:sz w:val="20"/>
          <w:szCs w:val="20"/>
          <w:color w:val="auto"/>
        </w:rPr>
      </w:pPr>
      <w:r>
        <w:rPr>
          <w:rFonts w:ascii="Times New Roman" w:cs="Times New Roman" w:eastAsia="Times New Roman" w:hAnsi="Times New Roman"/>
          <w:sz w:val="18"/>
          <w:szCs w:val="18"/>
          <w:color w:val="auto"/>
        </w:rPr>
        <w:t>just sold building and related land, with three options to renew in five year increments. The lease was classified as an operating lease and the future minimum base monthly lease payments during the initial five year period in aggregate total $19.6 million.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elected to utilize the following practical expedients that are permitted under ASC 842:</w:t>
      </w:r>
    </w:p>
    <w:p>
      <w:pPr>
        <w:spacing w:after="0" w:line="131" w:lineRule="exact"/>
        <w:rPr>
          <w:sz w:val="20"/>
          <w:szCs w:val="20"/>
          <w:color w:val="auto"/>
        </w:rPr>
      </w:pPr>
    </w:p>
    <w:p>
      <w:pPr>
        <w:ind w:left="660" w:right="160" w:hanging="328"/>
        <w:spacing w:after="0" w:line="312" w:lineRule="auto"/>
        <w:tabs>
          <w:tab w:leader="none" w:pos="6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accounting policy election by class of underlying asset, elected not to separate nonlease components from lease components and instead to account for each separate lease component and the nonlease components associated with that lease component as a single lease component; and</w:t>
      </w:r>
    </w:p>
    <w:p>
      <w:pPr>
        <w:spacing w:after="0" w:line="45" w:lineRule="exact"/>
        <w:rPr>
          <w:rFonts w:ascii="Times New Roman" w:cs="Times New Roman" w:eastAsia="Times New Roman" w:hAnsi="Times New Roman"/>
          <w:sz w:val="17"/>
          <w:szCs w:val="17"/>
          <w:color w:val="auto"/>
        </w:rPr>
      </w:pPr>
    </w:p>
    <w:p>
      <w:pPr>
        <w:ind w:left="660" w:right="1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accounting policy election not to apply the recognition requirements in ASC 842 to short term leases (a lease at commencement date has a lease term of 12 months or less and does not contain a purchase option that the lessee is reasonably certain to exercise).</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operating and finance leases for manufacturing facilities, corporate offices, and various equipment. Our leases have remaining lease terms of 1 to 9 years, some of which include options to extend the leases for up to 15 years, and some of which include options to terminate the leases within 1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5"/>
          </w:tcPr>
          <w:p>
            <w:pPr>
              <w:jc w:val="center"/>
              <w:ind w:right="52"/>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03"/>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5"/>
          </w:tcPr>
          <w:p>
            <w:pPr>
              <w:jc w:val="center"/>
              <w:ind w:right="52"/>
              <w:spacing w:after="0"/>
              <w:rPr>
                <w:sz w:val="20"/>
                <w:szCs w:val="20"/>
                <w:color w:val="auto"/>
              </w:rPr>
            </w:pPr>
            <w:r>
              <w:rPr>
                <w:rFonts w:ascii="Times New Roman" w:cs="Times New Roman" w:eastAsia="Times New Roman" w:hAnsi="Times New Roman"/>
                <w:sz w:val="14"/>
                <w:szCs w:val="14"/>
                <w:color w:val="auto"/>
              </w:rPr>
              <w:t>Years Ended</w:t>
            </w:r>
          </w:p>
        </w:tc>
        <w:tc>
          <w:tcPr>
            <w:tcW w:w="0" w:type="dxa"/>
            <w:vAlign w:val="bottom"/>
          </w:tcPr>
          <w:p>
            <w:pPr>
              <w:spacing w:after="0"/>
              <w:rPr>
                <w:sz w:val="1"/>
                <w:szCs w:val="1"/>
                <w:color w:val="auto"/>
              </w:rPr>
            </w:pPr>
          </w:p>
        </w:tc>
      </w:tr>
      <w:tr>
        <w:trPr>
          <w:trHeight w:val="237"/>
        </w:trPr>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December 31, 2023</w:t>
            </w:r>
          </w:p>
        </w:tc>
        <w:tc>
          <w:tcPr>
            <w:tcW w:w="140" w:type="dxa"/>
            <w:vAlign w:val="bottom"/>
          </w:tcPr>
          <w:p>
            <w:pPr>
              <w:spacing w:after="0"/>
              <w:rPr>
                <w:sz w:val="20"/>
                <w:szCs w:val="20"/>
                <w:color w:val="auto"/>
              </w:rPr>
            </w:pP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auto"/>
              </w:rPr>
              <w:t>December 31, 2022</w:t>
            </w:r>
          </w:p>
        </w:tc>
        <w:tc>
          <w:tcPr>
            <w:tcW w:w="0" w:type="dxa"/>
            <w:vAlign w:val="bottom"/>
          </w:tcPr>
          <w:p>
            <w:pPr>
              <w:spacing w:after="0"/>
              <w:rPr>
                <w:sz w:val="1"/>
                <w:szCs w:val="1"/>
                <w:color w:val="auto"/>
              </w:rPr>
            </w:pPr>
          </w:p>
        </w:tc>
      </w:tr>
      <w:tr>
        <w:trPr>
          <w:trHeight w:val="251"/>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expense</w:t>
            </w: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expense: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Short term and variable lease expenses for the year ended December 31, 2023 were not material.</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5"/>
          </w:tcPr>
          <w:p>
            <w:pPr>
              <w:jc w:val="center"/>
              <w:ind w:right="52"/>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03"/>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5"/>
          </w:tcPr>
          <w:p>
            <w:pPr>
              <w:jc w:val="center"/>
              <w:ind w:right="52"/>
              <w:spacing w:after="0"/>
              <w:rPr>
                <w:sz w:val="20"/>
                <w:szCs w:val="20"/>
                <w:color w:val="auto"/>
              </w:rPr>
            </w:pPr>
            <w:r>
              <w:rPr>
                <w:rFonts w:ascii="Times New Roman" w:cs="Times New Roman" w:eastAsia="Times New Roman" w:hAnsi="Times New Roman"/>
                <w:sz w:val="14"/>
                <w:szCs w:val="14"/>
                <w:color w:val="auto"/>
              </w:rPr>
              <w:t>Years Ended</w:t>
            </w:r>
          </w:p>
        </w:tc>
        <w:tc>
          <w:tcPr>
            <w:tcW w:w="0" w:type="dxa"/>
            <w:vAlign w:val="bottom"/>
          </w:tcPr>
          <w:p>
            <w:pPr>
              <w:spacing w:after="0"/>
              <w:rPr>
                <w:sz w:val="1"/>
                <w:szCs w:val="1"/>
                <w:color w:val="auto"/>
              </w:rPr>
            </w:pPr>
          </w:p>
        </w:tc>
      </w:tr>
      <w:tr>
        <w:trPr>
          <w:trHeight w:val="236"/>
        </w:trPr>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December 31, 2023</w:t>
            </w:r>
          </w:p>
        </w:tc>
        <w:tc>
          <w:tcPr>
            <w:tcW w:w="140" w:type="dxa"/>
            <w:vAlign w:val="bottom"/>
          </w:tcPr>
          <w:p>
            <w:pPr>
              <w:spacing w:after="0"/>
              <w:rPr>
                <w:sz w:val="20"/>
                <w:szCs w:val="20"/>
                <w:color w:val="auto"/>
              </w:rPr>
            </w:pP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auto"/>
              </w:rPr>
              <w:t>December 31, 2022</w:t>
            </w:r>
          </w:p>
        </w:tc>
        <w:tc>
          <w:tcPr>
            <w:tcW w:w="0" w:type="dxa"/>
            <w:vAlign w:val="bottom"/>
          </w:tcPr>
          <w:p>
            <w:pPr>
              <w:spacing w:after="0"/>
              <w:rPr>
                <w:sz w:val="1"/>
                <w:szCs w:val="1"/>
                <w:color w:val="auto"/>
              </w:rPr>
            </w:pPr>
          </w:p>
        </w:tc>
      </w:tr>
      <w:tr>
        <w:trPr>
          <w:trHeight w:val="21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57"/>
        </w:trPr>
        <w:tc>
          <w:tcPr>
            <w:tcW w:w="7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0" w:type="dxa"/>
            <w:vAlign w:val="bottom"/>
          </w:tcPr>
          <w:p>
            <w:pPr>
              <w:spacing w:after="0"/>
              <w:rPr>
                <w:sz w:val="1"/>
                <w:szCs w:val="1"/>
                <w:color w:val="auto"/>
              </w:rPr>
            </w:pPr>
          </w:p>
        </w:tc>
      </w:tr>
      <w:tr>
        <w:trPr>
          <w:trHeight w:val="23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45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weighted average remaining lease terms were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5"/>
          </w:tcPr>
          <w:p>
            <w:pPr>
              <w:jc w:val="center"/>
              <w:ind w:right="52"/>
              <w:spacing w:after="0"/>
              <w:rPr>
                <w:sz w:val="20"/>
                <w:szCs w:val="20"/>
                <w:color w:val="auto"/>
              </w:rPr>
            </w:pPr>
            <w:r>
              <w:rPr>
                <w:rFonts w:ascii="Times New Roman" w:cs="Times New Roman" w:eastAsia="Times New Roman" w:hAnsi="Times New Roman"/>
                <w:sz w:val="14"/>
                <w:szCs w:val="14"/>
                <w:color w:val="auto"/>
              </w:rPr>
              <w:t>(In years)</w:t>
            </w:r>
          </w:p>
        </w:tc>
        <w:tc>
          <w:tcPr>
            <w:tcW w:w="0" w:type="dxa"/>
            <w:vAlign w:val="bottom"/>
          </w:tcPr>
          <w:p>
            <w:pPr>
              <w:spacing w:after="0"/>
              <w:rPr>
                <w:sz w:val="1"/>
                <w:szCs w:val="1"/>
                <w:color w:val="auto"/>
              </w:rPr>
            </w:pPr>
          </w:p>
        </w:tc>
      </w:tr>
      <w:tr>
        <w:trPr>
          <w:trHeight w:val="237"/>
        </w:trPr>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December 31, 2023</w:t>
            </w:r>
          </w:p>
        </w:tc>
        <w:tc>
          <w:tcPr>
            <w:tcW w:w="140" w:type="dxa"/>
            <w:vAlign w:val="bottom"/>
          </w:tcPr>
          <w:p>
            <w:pPr>
              <w:spacing w:after="0"/>
              <w:rPr>
                <w:sz w:val="20"/>
                <w:szCs w:val="20"/>
                <w:color w:val="auto"/>
              </w:rPr>
            </w:pP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auto"/>
              </w:rPr>
              <w:t>December 31, 2022</w:t>
            </w:r>
          </w:p>
        </w:tc>
        <w:tc>
          <w:tcPr>
            <w:tcW w:w="0" w:type="dxa"/>
            <w:vAlign w:val="bottom"/>
          </w:tcPr>
          <w:p>
            <w:pPr>
              <w:spacing w:after="0"/>
              <w:rPr>
                <w:sz w:val="1"/>
                <w:szCs w:val="1"/>
                <w:color w:val="auto"/>
              </w:rPr>
            </w:pPr>
          </w:p>
        </w:tc>
      </w:tr>
      <w:tr>
        <w:trPr>
          <w:trHeight w:val="22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When a lease is identified, we recognize a right-of-use asset and a corresponding lease liability based on the present value of the lease payments over the lease term discounted using our incremental borrowing rate, unless an implicit rate is readily determinable. As the discount rate in our leases is usually not readily available, we use our own incremental borrowing rate as the discount rate. Our incremental borrowing rate is based on the interest rate on our term loan, which is a secured rate. After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3" w:name="page64"/>
    <w:bookmarkEnd w:id="63"/>
    <w:p>
      <w:pPr>
        <w:ind w:right="360"/>
        <w:spacing w:after="0" w:line="266" w:lineRule="auto"/>
        <w:rPr>
          <w:sz w:val="20"/>
          <w:szCs w:val="20"/>
          <w:color w:val="auto"/>
        </w:rPr>
      </w:pPr>
      <w:r>
        <w:rPr>
          <w:rFonts w:ascii="Times New Roman" w:cs="Times New Roman" w:eastAsia="Times New Roman" w:hAnsi="Times New Roman"/>
          <w:sz w:val="18"/>
          <w:szCs w:val="18"/>
          <w:color w:val="auto"/>
        </w:rPr>
        <w:t>we completed a financing of all our existing debt in July 2022, the interest rate on our term loan was based on Term Secured Overnight Financing Rate (“Term SOFR”) plus an applicable margin. Prior to the refinancing, the interest rate on our term loans were based on London Interbank Offered Rate (“LIBOR”) plus an applicable margin.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6"/>
          </w:tcPr>
          <w:p>
            <w:pPr>
              <w:ind w:left="1320"/>
              <w:spacing w:after="0"/>
              <w:rPr>
                <w:sz w:val="20"/>
                <w:szCs w:val="20"/>
                <w:color w:val="auto"/>
              </w:rPr>
            </w:pPr>
            <w:r>
              <w:rPr>
                <w:rFonts w:ascii="Times New Roman" w:cs="Times New Roman" w:eastAsia="Times New Roman" w:hAnsi="Times New Roman"/>
                <w:sz w:val="14"/>
                <w:szCs w:val="14"/>
                <w:color w:val="auto"/>
              </w:rPr>
              <w:t>Years Ended</w:t>
            </w:r>
          </w:p>
        </w:tc>
      </w:tr>
      <w:tr>
        <w:trPr>
          <w:trHeight w:val="237"/>
        </w:trPr>
        <w:tc>
          <w:tcPr>
            <w:tcW w:w="74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December 31, 2023</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December 31, 2022</w:t>
            </w:r>
          </w:p>
        </w:tc>
      </w:tr>
      <w:tr>
        <w:trPr>
          <w:trHeight w:val="22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r>
      <w:tr>
        <w:trPr>
          <w:trHeight w:val="468"/>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Maturity of operating and finance lease liabilities are as follows: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7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gridSpan w:val="6"/>
          </w:tcPr>
          <w:p>
            <w:pPr>
              <w:ind w:left="1140"/>
              <w:spacing w:after="0"/>
              <w:rPr>
                <w:sz w:val="20"/>
                <w:szCs w:val="20"/>
                <w:color w:val="auto"/>
              </w:rPr>
            </w:pPr>
            <w:r>
              <w:rPr>
                <w:rFonts w:ascii="Times New Roman" w:cs="Times New Roman" w:eastAsia="Times New Roman" w:hAnsi="Times New Roman"/>
                <w:sz w:val="14"/>
                <w:szCs w:val="14"/>
                <w:color w:val="auto"/>
              </w:rPr>
              <w:t>(In thousands)</w:t>
            </w:r>
          </w:p>
        </w:tc>
      </w:tr>
      <w:tr>
        <w:trPr>
          <w:trHeight w:val="203"/>
        </w:trPr>
        <w:tc>
          <w:tcPr>
            <w:tcW w:w="7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Finance Leases</w:t>
            </w:r>
          </w:p>
        </w:tc>
      </w:tr>
      <w:tr>
        <w:trPr>
          <w:trHeight w:val="23"/>
        </w:trPr>
        <w:tc>
          <w:tcPr>
            <w:tcW w:w="7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9"/>
                <w:szCs w:val="19"/>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9"/>
                <w:szCs w:val="19"/>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9"/>
                <w:szCs w:val="19"/>
                <w:color w:val="auto"/>
              </w:rPr>
            </w:pP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9"/>
                <w:szCs w:val="19"/>
                <w:color w:val="auto"/>
              </w:rPr>
            </w:pPr>
          </w:p>
        </w:tc>
      </w:tr>
      <w:tr>
        <w:trPr>
          <w:trHeight w:val="223"/>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32,933</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Pr>
          <w:p>
            <w:pPr>
              <w:spacing w:after="0"/>
              <w:rPr>
                <w:sz w:val="19"/>
                <w:szCs w:val="19"/>
                <w:color w:val="auto"/>
              </w:rPr>
            </w:pPr>
          </w:p>
        </w:tc>
      </w:tr>
      <w:tr>
        <w:trPr>
          <w:trHeight w:val="229"/>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r>
      <w:tr>
        <w:trPr>
          <w:trHeight w:val="248"/>
        </w:trPr>
        <w:tc>
          <w:tcPr>
            <w:tcW w:w="7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Pr>
          <w:p>
            <w:pPr>
              <w:spacing w:after="0"/>
              <w:rPr>
                <w:sz w:val="21"/>
                <w:szCs w:val="2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Operating lease payments related to options to extend lease terms that are reasonably certain of being exercised are not significant. As of December 31, 2023, there are no legally binding minimum lease payments for leases signed but not yet commenced.</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Finance lease payments related to options to extend lease terms that are reasonably certain of being exercised are not significant. As of December 31, 2023, there are no legally binding minimum lease payments for leases signed but not yet commenced.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Other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goodwill, by operating segment, for the years ended December 31, 2023 and 2022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58"/>
        </w:trPr>
        <w:tc>
          <w:tcPr>
            <w:tcW w:w="6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59" w:lineRule="exact"/>
              <w:rPr>
                <w:sz w:val="20"/>
                <w:szCs w:val="20"/>
                <w:color w:val="auto"/>
              </w:rPr>
            </w:pPr>
            <w:r>
              <w:rPr>
                <w:rFonts w:ascii="Times New Roman" w:cs="Times New Roman" w:eastAsia="Times New Roman" w:hAnsi="Times New Roman"/>
                <w:sz w:val="14"/>
                <w:szCs w:val="14"/>
                <w:color w:val="auto"/>
              </w:rPr>
              <w:t>Electronic</w:t>
            </w:r>
          </w:p>
        </w:tc>
        <w:tc>
          <w:tcPr>
            <w:tcW w:w="220" w:type="dxa"/>
            <w:vAlign w:val="bottom"/>
          </w:tcPr>
          <w:p>
            <w:pPr>
              <w:spacing w:after="0"/>
              <w:rPr>
                <w:sz w:val="13"/>
                <w:szCs w:val="13"/>
                <w:color w:val="auto"/>
              </w:rPr>
            </w:pPr>
          </w:p>
        </w:tc>
        <w:tc>
          <w:tcPr>
            <w:tcW w:w="134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color w:val="auto"/>
              </w:rPr>
              <w:t>Structural</w:t>
            </w:r>
          </w:p>
        </w:tc>
        <w:tc>
          <w:tcPr>
            <w:tcW w:w="220" w:type="dxa"/>
            <w:vAlign w:val="bottom"/>
          </w:tcPr>
          <w:p>
            <w:pPr>
              <w:spacing w:after="0"/>
              <w:rPr>
                <w:sz w:val="13"/>
                <w:szCs w:val="13"/>
                <w:color w:val="auto"/>
              </w:rPr>
            </w:pPr>
          </w:p>
        </w:tc>
        <w:tc>
          <w:tcPr>
            <w:tcW w:w="1220" w:type="dxa"/>
            <w:vAlign w:val="bottom"/>
          </w:tcPr>
          <w:p>
            <w:pPr>
              <w:jc w:val="right"/>
              <w:ind w:right="255"/>
              <w:spacing w:after="0" w:line="159" w:lineRule="exact"/>
              <w:rPr>
                <w:sz w:val="20"/>
                <w:szCs w:val="20"/>
                <w:color w:val="auto"/>
              </w:rPr>
            </w:pPr>
            <w:r>
              <w:rPr>
                <w:rFonts w:ascii="Times New Roman" w:cs="Times New Roman" w:eastAsia="Times New Roman" w:hAnsi="Times New Roman"/>
                <w:sz w:val="14"/>
                <w:szCs w:val="14"/>
                <w:color w:val="auto"/>
              </w:rPr>
              <w:t>Consolidated</w:t>
            </w:r>
          </w:p>
        </w:tc>
      </w:tr>
      <w:tr>
        <w:trPr>
          <w:trHeight w:val="196"/>
        </w:trPr>
        <w:tc>
          <w:tcPr>
            <w:tcW w:w="6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Systems</w:t>
            </w:r>
          </w:p>
        </w:tc>
        <w:tc>
          <w:tcPr>
            <w:tcW w:w="22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Systems</w:t>
            </w:r>
          </w:p>
        </w:tc>
        <w:tc>
          <w:tcPr>
            <w:tcW w:w="220" w:type="dxa"/>
            <w:vAlign w:val="bottom"/>
          </w:tcPr>
          <w:p>
            <w:pPr>
              <w:spacing w:after="0"/>
              <w:rPr>
                <w:sz w:val="17"/>
                <w:szCs w:val="17"/>
                <w:color w:val="auto"/>
              </w:rPr>
            </w:pPr>
          </w:p>
        </w:tc>
        <w:tc>
          <w:tcPr>
            <w:tcW w:w="1220" w:type="dxa"/>
            <w:vAlign w:val="bottom"/>
          </w:tcPr>
          <w:p>
            <w:pPr>
              <w:jc w:val="right"/>
              <w:ind w:right="295"/>
              <w:spacing w:after="0"/>
              <w:rPr>
                <w:sz w:val="20"/>
                <w:szCs w:val="20"/>
                <w:color w:val="auto"/>
              </w:rPr>
            </w:pPr>
            <w:r>
              <w:rPr>
                <w:rFonts w:ascii="Times New Roman" w:cs="Times New Roman" w:eastAsia="Times New Roman" w:hAnsi="Times New Roman"/>
                <w:sz w:val="14"/>
                <w:szCs w:val="14"/>
                <w:color w:val="auto"/>
              </w:rPr>
              <w:t>Ducommun</w:t>
            </w:r>
          </w:p>
        </w:tc>
      </w:tr>
      <w:tr>
        <w:trPr>
          <w:trHeight w:val="23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285,129</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203,407</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from acquisition during period</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41,193</w:t>
            </w:r>
          </w:p>
        </w:tc>
      </w:tr>
      <w:tr>
        <w:trPr>
          <w:trHeight w:val="248"/>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244,600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perform our annual goodwill impairment test as of the first day of the fourth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4" w:name="page65"/>
    <w:bookmarkEnd w:id="64"/>
    <w:p>
      <w:pPr>
        <w:ind w:right="40"/>
        <w:spacing w:after="0" w:line="255"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companies, business acquisitions and the transaction values observed and its related control premiums.</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our most recent step one goodwill impairment test for our Electronic Systems reporting unit was in 2019, we elected to perform a step one goodwill impairment analysis as of the first day of the fourth quarter of 2023 where the fair value of our Electronic Systems reporting unit exceeded its carrying value. Our commercial aerospace end-use market business continues to be negatively impacted by the lingering effects of the COVID-19 pandemic and the resulting inflation, supply chain and other issues, and therefore, we performed a step one goodwill impairment test for our Structural Systems reporting unit as of the first day of the fourth quarter of 2023, where the fair value of our Structural Systems reporting unit exceeded its carrying value. Thus, the respective goodwill amounts were not deemed impaired.</w:t>
      </w:r>
    </w:p>
    <w:p>
      <w:pPr>
        <w:spacing w:after="0" w:line="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April 25, 2023, we completed the acquisition of BLR. The excess of the purchase price over the aggregate fair values of the net assets was recorded as goodwill. See Note 2 for further information.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Intangible Assets</w:t>
      </w:r>
    </w:p>
    <w:p>
      <w:pPr>
        <w:spacing w:after="0" w:line="10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Other intangible assets are related to acquisitions, including BLR, and recorded at fair value at the time of the acquisition. Other intangible assets with finite lives are generally amortized on the straight-line method over periods ranging from 2 to 23 years. Intangible assets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ind w:left="58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Wtd. Avg</w:t>
            </w: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Gross</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36"/>
              <w:spacing w:after="0" w:line="133" w:lineRule="exact"/>
              <w:rPr>
                <w:sz w:val="20"/>
                <w:szCs w:val="20"/>
                <w:color w:val="auto"/>
              </w:rPr>
            </w:pPr>
            <w:r>
              <w:rPr>
                <w:rFonts w:ascii="Times New Roman" w:cs="Times New Roman" w:eastAsia="Times New Roman" w:hAnsi="Times New Roman"/>
                <w:sz w:val="14"/>
                <w:szCs w:val="14"/>
                <w:color w:val="auto"/>
                <w:w w:val="98"/>
              </w:rPr>
              <w:t>Net</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color w:val="auto"/>
              </w:rPr>
              <w:t>Gross</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35"/>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7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Life</w:t>
            </w: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5"/>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17"/>
                <w:szCs w:val="17"/>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(Yrs)</w:t>
            </w:r>
          </w:p>
        </w:tc>
        <w:tc>
          <w:tcPr>
            <w:tcW w:w="22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Pr>
          <w:p>
            <w:pPr>
              <w:spacing w:after="0"/>
              <w:rPr>
                <w:sz w:val="17"/>
                <w:szCs w:val="17"/>
                <w:color w:val="auto"/>
              </w:rPr>
            </w:pPr>
          </w:p>
        </w:tc>
        <w:tc>
          <w:tcPr>
            <w:tcW w:w="960" w:type="dxa"/>
            <w:vAlign w:val="bottom"/>
          </w:tcPr>
          <w:p>
            <w:pPr>
              <w:jc w:val="center"/>
              <w:ind w:right="135"/>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14"/>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assets</w:t>
            </w: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261,300</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118,877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246,300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118,301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renewal</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finite-lived assets</w:t>
            </w: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310,145</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161,643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122,501</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assets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314,845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other intangible assets by operating segment as of December 31, 2023 and 2022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40"/>
              <w:spacing w:after="0" w:line="133" w:lineRule="exact"/>
              <w:rPr>
                <w:sz w:val="20"/>
                <w:szCs w:val="20"/>
                <w:color w:val="auto"/>
              </w:rPr>
            </w:pPr>
            <w:r>
              <w:rPr>
                <w:rFonts w:ascii="Times New Roman" w:cs="Times New Roman" w:eastAsia="Times New Roman" w:hAnsi="Times New Roman"/>
                <w:sz w:val="14"/>
                <w:szCs w:val="14"/>
                <w:color w:val="auto"/>
                <w:w w:val="98"/>
              </w:rPr>
              <w:t>Net</w:t>
            </w: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39"/>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Gross</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38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Gross</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5"/>
              </w:rPr>
              <w:t>Value</w:t>
            </w:r>
          </w:p>
        </w:tc>
        <w:tc>
          <w:tcPr>
            <w:tcW w:w="3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15"/>
        </w:trPr>
        <w:tc>
          <w:tcPr>
            <w:tcW w:w="3700" w:type="dxa"/>
            <w:vAlign w:val="bottom"/>
            <w:tcBorders>
              <w:top w:val="single" w:sz="8" w:color="CCEEFF"/>
            </w:tcBorders>
            <w:shd w:val="clear" w:color="auto" w:fill="CCEEFF"/>
          </w:tcPr>
          <w:p>
            <w:pPr>
              <w:jc w:val="center"/>
              <w:ind w:right="1930"/>
              <w:spacing w:after="0"/>
              <w:rPr>
                <w:sz w:val="20"/>
                <w:szCs w:val="20"/>
                <w:color w:val="auto"/>
              </w:rPr>
            </w:pPr>
            <w:r>
              <w:rPr>
                <w:rFonts w:ascii="Times New Roman" w:cs="Times New Roman" w:eastAsia="Times New Roman" w:hAnsi="Times New Roman"/>
                <w:sz w:val="18"/>
                <w:szCs w:val="18"/>
                <w:color w:val="auto"/>
                <w:w w:val="99"/>
              </w:rPr>
              <w:t>Other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164,545</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108,766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164,545</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4"/>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314,845</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166,343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259,345</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132,144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5" w:name="page66"/>
    <w:bookmarkEnd w:id="65"/>
    <w:p>
      <w:pPr>
        <w:spacing w:after="0" w:line="271" w:lineRule="auto"/>
        <w:rPr>
          <w:sz w:val="20"/>
          <w:szCs w:val="20"/>
          <w:color w:val="auto"/>
        </w:rPr>
      </w:pPr>
      <w:r>
        <w:rPr>
          <w:rFonts w:ascii="Times New Roman" w:cs="Times New Roman" w:eastAsia="Times New Roman" w:hAnsi="Times New Roman"/>
          <w:sz w:val="18"/>
          <w:szCs w:val="18"/>
          <w:color w:val="auto"/>
        </w:rPr>
        <w:t>Amortization expense of other intangible assets was $16.4 million, $14.6 million and $13.1 million for the years ended December 31, 2023, 2022 and 2021, respectively. Future amortization expense by operating segment is expected to be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color w:val="auto"/>
              </w:rPr>
              <w:t>Electronic</w:t>
            </w:r>
          </w:p>
        </w:tc>
        <w:tc>
          <w:tcPr>
            <w:tcW w:w="200" w:type="dxa"/>
            <w:vAlign w:val="bottom"/>
          </w:tcPr>
          <w:p>
            <w:pPr>
              <w:spacing w:after="0"/>
              <w:rPr>
                <w:sz w:val="14"/>
                <w:szCs w:val="14"/>
                <w:color w:val="auto"/>
              </w:rPr>
            </w:pPr>
          </w:p>
        </w:tc>
        <w:tc>
          <w:tcPr>
            <w:tcW w:w="1080" w:type="dxa"/>
            <w:vAlign w:val="bottom"/>
            <w:gridSpan w:val="3"/>
          </w:tcPr>
          <w:p>
            <w:pPr>
              <w:jc w:val="center"/>
              <w:ind w:left="15"/>
              <w:spacing w:after="0"/>
              <w:rPr>
                <w:sz w:val="20"/>
                <w:szCs w:val="20"/>
                <w:color w:val="auto"/>
              </w:rPr>
            </w:pPr>
            <w:r>
              <w:rPr>
                <w:rFonts w:ascii="Times New Roman" w:cs="Times New Roman" w:eastAsia="Times New Roman" w:hAnsi="Times New Roman"/>
                <w:sz w:val="14"/>
                <w:szCs w:val="14"/>
                <w:color w:val="auto"/>
              </w:rPr>
              <w:t>Structural</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color w:val="auto"/>
              </w:rPr>
              <w:t>Systems</w:t>
            </w:r>
          </w:p>
        </w:tc>
        <w:tc>
          <w:tcPr>
            <w:tcW w:w="20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Systems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Ducommun</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40" w:type="dxa"/>
            <w:vAlign w:val="bottom"/>
            <w:tcBorders>
              <w:top w:val="single" w:sz="8" w:color="auto"/>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69,179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78,518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161,643</w:t>
            </w:r>
          </w:p>
        </w:tc>
        <w:tc>
          <w:tcPr>
            <w:tcW w:w="40" w:type="dxa"/>
            <w:vAlign w:val="bottom"/>
            <w:tcBorders>
              <w:left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Accrued and Other Liabilities</w:t>
            </w: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3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accrued and other liabilities consisted of the following:</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49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633"/>
              <w:spacing w:after="0"/>
              <w:rPr>
                <w:sz w:val="20"/>
                <w:szCs w:val="20"/>
                <w:color w:val="auto"/>
              </w:rPr>
            </w:pPr>
            <w:r>
              <w:rPr>
                <w:rFonts w:ascii="Times New Roman" w:cs="Times New Roman" w:eastAsia="Times New Roman" w:hAnsi="Times New Roman"/>
                <w:sz w:val="14"/>
                <w:szCs w:val="14"/>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28,785</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 and sales tax</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40" w:type="dxa"/>
            <w:vAlign w:val="bottom"/>
            <w:tcBorders>
              <w:left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42,260</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Long-Term Debt</w:t>
            </w: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63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8"/>
          </w:tcPr>
          <w:p>
            <w:pPr>
              <w:ind w:left="60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8"/>
          </w:tcPr>
          <w:p>
            <w:pPr>
              <w:ind w:left="620"/>
              <w:spacing w:after="0"/>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753"/>
              <w:spacing w:after="0"/>
              <w:rPr>
                <w:sz w:val="20"/>
                <w:szCs w:val="20"/>
                <w:color w:val="auto"/>
              </w:rPr>
            </w:pPr>
            <w:r>
              <w:rPr>
                <w:rFonts w:ascii="Times New Roman" w:cs="Times New Roman" w:eastAsia="Times New Roman" w:hAnsi="Times New Roman"/>
                <w:sz w:val="14"/>
                <w:szCs w:val="14"/>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242,188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248,438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23,800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265,988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248,438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258,175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242,188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debt issuance costs - term loans</w:t>
            </w:r>
          </w:p>
        </w:tc>
        <w:tc>
          <w:tcPr>
            <w:tcW w:w="3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(1,593)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 of debt issuance costs -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256,961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240,595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gridSpan w:val="2"/>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Debt issuance costs - revolving credit facility </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20" w:type="dxa"/>
            <w:vAlign w:val="bottom"/>
            <w:tcBorders>
              <w:top w:val="single" w:sz="8" w:color="CCEEFF"/>
            </w:tcBorders>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35"/>
              <w:spacing w:after="0" w:line="176" w:lineRule="exact"/>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133"/>
              <w:spacing w:after="0" w:line="176" w:lineRule="exact"/>
              <w:rPr>
                <w:sz w:val="20"/>
                <w:szCs w:val="20"/>
                <w:color w:val="auto"/>
              </w:rPr>
            </w:pPr>
            <w:r>
              <w:rPr>
                <w:rFonts w:ascii="Times New Roman" w:cs="Times New Roman" w:eastAsia="Times New Roman" w:hAnsi="Times New Roman"/>
                <w:sz w:val="18"/>
                <w:szCs w:val="18"/>
                <w:color w:val="auto"/>
              </w:rPr>
              <w:t>2,265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Included as part of other assets.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long-term debt payments at December 31, 2023 were as follows: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3"/>
        </w:trPr>
        <w:tc>
          <w:tcPr>
            <w:tcW w:w="6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2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265,988</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July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are the new credit facilities (“2022 Credit Facilities”).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 Interest payments are typically paid either on a monthly or quarterly basis, depending on the interest rate selected, on the last business day each month or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The first quarterly amortization payment of $1.6 million was required to be paid and was paid during the fourth quarter of 2022. We made the required quarterly amortization payments totaling $6.3 million and $5.1 million during the years ended December 31, 2023 and 2022, respectively.</w:t>
      </w:r>
    </w:p>
    <w:p>
      <w:pPr>
        <w:spacing w:after="0" w:line="53"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 Interest payments are typically paid either on a monthly or a quarterly basis, depending on the interest rate selected, on the last business day each month or quarter. The undrawn portion of the commitment of the 2022 Revolving Credit Facility is subject to a commitment fee ranging from 0.175% to 0.275%, based upon the consolidated total net adjusted leverage ratio, typically paid on a quarterly basis, on the last business day each quarter. However, the 2022 Revolving Credit Facility does not require any principal installment payments.</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conjunction with the closing of the 2022 Credit Facilities, we utilized the entire $250.0 million of proceeds from the 2022 Term Loan plus our existing cash on hand to pay off our entire debt balance outstanding of $254.2 million under prior credit facilities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2019, we completed the refinancing of a portion of our then existing debt by entering into a new revolving credit facility (“2019 Revolving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to replace the then existing revolving credit facility that was entered into in November 2018 (“2018 Revolving Credit Facility”)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 new term loan (“2019 Term Loan”). The 2019 Revolving Credit Facility was a $100.0 million senior secured revolving credit facility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matured on December 20, 2024 and replaced the $100.0 million 2018 Revolving Credit Facility that would have matured on November 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The 2019 Term Loan was a $140.0 million senior secured term loan that would have matured on December 20, 2024. We also had a then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$240.0 million senior secured term loan that was entered into in November 2018 that would have matured on November 21, 2025 (“2018 Term Loan”).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amounts available under the 2019 Revolving Credit Facility, 2019 Term Loan, and 2018 Term Loan (collectively, the “Existing Credit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aggregate, totaled $480.0 million at that time.</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2019 Term Loan bore interest, at our option, at a rate equal to either (i) the Eurodollar Rate (defined as the London Interbank Offered Rate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In addition, the 2019 Term Loan required amortization payments of 1.25% of the original outstanding principal balance of the 2019 Term Loan amount on a quarterly basis, on the last day of the calendar quarter. During 2022, we made the required quarterly payments on the 2019 Term Loan before it was refinanced, in aggregate totaling $3.5 million.</w:t>
      </w:r>
    </w:p>
    <w:p>
      <w:pPr>
        <w:spacing w:after="0" w:line="1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2019 Revolving Credit Facility bore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2019 Revolving Credit Facility was subject to a commitment fee ranging from 0.175% to 0.275%, based upon the consolidated total net adjusted leverage ratio. However, the 2019 Revolving Credit Facility did not require any principal installment payments.</w:t>
      </w:r>
    </w:p>
    <w:p>
      <w:pPr>
        <w:spacing w:after="0" w:line="13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2018 Term Loan bore interest, at our option, at a rate equal to either (i) the Eurodollar Rate (defined as LIBOR plus an applicable margin ranging from 3.75% to 4.00% per year or (ii) the Base Rate (defined as the highest of [a] Federal Funds Rate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plus 0.50%, [b] Bank of America’s prime rate, and [c] the Eurodollar Rate plus 1.00%) plus an applicable margin ranging from 3.75% to 4.00% per year, in each case based upon the consolidated total net adjusted leverage ratio, typically payable quarterly. In addition, the 2018 Term Loan required amortization payments of 0.25% of the outstanding principal balance of the 2018 Term Loan amount on a quarterly basis.</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 under the then Existing Credit Facilities, if we exceeded the annual excess cash flow threshold, we were required to make an annual additional principal payment based on the consolidated adjusted leverage ratio. The annual mandatory excess cash flow payment was based on (i) 50% of the excess cash flow amount if the adjusted leverage ratio is greater than 3.25 to 1.0, (ii) 25% of the excess cash flow amount if the adjusted leverage ratio was less than or equal to 3.25 to 1.0 but greater than 2.50 to 1.0, and (iii) zero percent of the excess cash flow amount if the consolidated adjusted leverage ratio was less than or equal to 2.50 to 1.0. We did not exceed the annual excess cash flow threshold for 2021 and thus, no annual excess cash flow payment was required to be paid during the first quarter of 2022.</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since we were paying down on the term loans during the first quarter of 2022, we were required to pay down on the 2019 Term Loan and 2018 Term Loan on a pro-rata basis and thus, we paid down $13.0 million and $17.0 million on the 2019 Term Loan and 2018 Term Loan, respectively, for an aggregate total pay down of $30.0 million.</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2023, we had $176.0 million of unused borrowing capacity under the 2022 Revolving Credit Facility, after deducting $0.2 million for standby letters of credit.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were in compliance with all covenants required under the 2022 Credit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Term Loan was considered a modification of debt for some lenders and an extinguishment of debt for other lenders, and thus, a loss of</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$0.2 million was recorded related to the extinguishment. In addition, the new fees incurred of $0.8 million were capitalized and will be amortized to interest expense over the life of the 2022 Term Loan. Further, the remaining debt issuance costs related to the 2019 Term Loan and 2018 Term Loan of $1.0 million as of the modification date will be amortized to interest expense over the life of the 2022 Term Loan, using the effective interest method.</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2022 Revolving Credit Facility that replaced the 2019 Revolving Credit Facility was considered a modification of debt except for the portion related to the creditor that is no longer a part of the 2022 Revolving Credit Facility and in which case, it was considered an extinguishment of debt. As a result, we expensed the portion of the unamortized debt issuance costs related to the 2019 Revolving Credit Facility that was considered an extinguishment of debt of $0.1 million. In addition, the new fees incurred of $1.7 million as part of the 2022 Revolving Credit Facility were capitalized and will be amortized to interest expense over the life of the 2022 Revolving Credit Facility. Further, the remaining debt issuance costs related to the 2019 Revolving Credit Facility of $0.8 million as of the modification date will also be amortized to interest expense over the life of the 2022 Revolving Credit Facility.</w:t>
      </w:r>
    </w:p>
    <w:p>
      <w:pPr>
        <w:spacing w:after="0" w:line="6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2022 Credit Facilities were entered into by us (“Parent Company”) and guaranteed by all of our domestic subsidiaries, other than two subsidiaries that were considered minor (“Subsidiary Guarantors”). The Subsidiary Guarantors jointly and severally guarantee the 2022 Credit Facilities. The Parent Company has no independent assets or operations and therefore, no consolidating financial information for the Parent Company and its subsidiaries is presented.</w:t>
      </w:r>
    </w:p>
    <w:p>
      <w:pPr>
        <w:spacing w:after="0" w:line="5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December 2021, we entered into a sale-leaseback transaction for the building and related land for our Gardena performance center located in Carson, California, for a sale price of $143.1 million. A portion of the net proceeds were used to pay down on the $65.0 million that was drawn on the 2019 Revolving Credit Facility for the Magnetic Seal LLC acquisition that was completed in December 2021. See Note 6.</w:t>
      </w:r>
    </w:p>
    <w:p>
      <w:pPr>
        <w:spacing w:after="0" w:line="4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April 25, 2023, we completed the acquisition of BLR. The initial purchase price for BLR was $115.0 million, net of cash acquired, all payable in cash. We paid a gross aggregate of $117.0 million in cash upon the closing of the transaction. We utilized the 2022 Revolving Credit Facility to complete the acquisition. See Note 2.</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May 18, 2023, we completed a public offering of our common stock resulting in net proceeds of $85.1 million. We utilized the net proceeds plus cash on hand to pay down $85.2 million on the 2022 Revolving Credit Facility. See Note 10 for further information.</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Amended Forward Interest Rate Swaps (as defined below) are not effective until January 1, 2024, we only record the changes in the fair value of the derivative instruments that were highly effective and that were designated and qualified as cash flow hedges. As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during the years ended December 31, 2023 and 2022, we recorded the unrealized gain to other comprehensive income of $1.1 million and</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$12.1 million, respectively, and the associated change to other current assets, other assets, and deferred income taxes. See Note 1 for further information. In addition, the net deferred gains recorded in other comprehensive income that will mature in the next 12 months total $4.3 million.</w:t>
      </w:r>
    </w:p>
    <w:p>
      <w:pPr>
        <w:spacing w:after="0" w:line="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Since this was an amendment of just the reference rate as a result of the cessation of LIBOR, utilizing the guidance under ASU 2020-04, we determined the Amended Forward Interest Rate Swaps as of the amendment date to continue to be highly effective. The Amended Forward Interest Rate Swaps weighted average fixed rate was 1.7% as a result of the difference between U.S. dollar-one month LIBOR and one month Term SOFR.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18, 2023, we completed a public offering of 2.3 million shares of our common stock at $40.00 per share, for gross proceeds of $92.0 million. The common stock offering was made under our effective shelf registration statement. We incurred aggregate total out of pocket stock offering related fees of $6.9 million, resulting in net proceeds of $85.1 million. As such, we recorded an increase to common stock at par value of less than $0.1 million with the remaining amount as an increase to additional paid-in capital of $85.1 million. The public stock offering net proceeds along with cash on hand were used to pay down $85.2 million on the 2022 Revolving Credit Facility that was drawn on and utilized to complete the acquisition of BLR. See Note 2 and Note 9 for further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authorized to issue five million shares of preferred stock. At December 31, 2023 and 2022, no preferred shares were issued or outstanding.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Compensation Plans</w:t>
      </w:r>
    </w:p>
    <w:p>
      <w:pPr>
        <w:spacing w:after="0" w:line="10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currently have two active stock incentive plans: i) the Amended and Restated 2020 Stock Incentive Plan (the “2020 Plan”), which expires on April 20, 2032, and ii) the 2018 Employee Stock Purchase Plan (“ESPP”). The 2013 Stock Incentive Plan, as Amended (the “2013 Plan”) was closed to further issuances of stock awards in May 2020 and any remaining shares available were folded into the 2020 Plan as part of the approval of the 2020 Plan by shareholders at the 2020 Annual Meeting of Shareholders in May 2020. The 2020 Plan permit awards of stock options, restricted stock units, performance stock units and other stock-based awards to our officers, key employees and non-employee directors on terms determined by the Compensation Committee of the Board of Directors (the “Compensation Committee”). The aggregate number of shares available for issuance under the 2020 Plan is 1,031,162 plus any outstanding awards issued under the 2013 Plan that are subsequently forfeited, terminated, expire or otherwise lapse without being exercised. As of December 31, 2023, shares available for future grant under the 2020 Plan are 141,377. Prior to the adoption of the 2020 Plan, we granted stock-based awards to purchase shares of our common stock under certain predecessor plans. No further awards can be granted under these predecessor plans.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ESPP was adopted by the Board of Directors and approved by the shareholders in 2018, including 750,000 shares that can be awarded. The first offering period closed on July 31, 2019. Under the ESPP, our employees who elect to participate have the right to purchase common stock at a 15% discount from the lower of the market value of the common stock at the beginning or the end of each six month offering period and the discount will be treated as compensation to those employees. Employees purchase common stock using payroll deductions, which may not exceed 10% of their eligible compensation and other limitations. The Compensation Committee administers the ESPP. As of December 31, 2023, there are 497,766 shares available for future award grants.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years ended December 31, 2023, 2022, and 2021, we did not grant any stock options to our officers and key employees. Stock options are typically granted with an exercise price equal to the fair market value of our stock on the date of grant and expire not more than ten years from the date of grant. The stock options typically vest over a period of three or four years from the date of grant. The option price and number of shares are subject to adjustment under certain dilutive circumstances. If an employee terminates employment, the non-vested portion of the stock options will not vest and all rights to the non-vested portion will terminate completely.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year ended December 31, 2023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Weighted-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Weighted-Average</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Aggregate Intrinsic</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Number</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Average</w:t>
            </w:r>
          </w:p>
        </w:tc>
        <w:tc>
          <w:tcPr>
            <w:tcW w:w="132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Remaining</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9"/>
              </w:rPr>
              <w:t>Exercise</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Contractual Life</w:t>
            </w:r>
          </w:p>
        </w:tc>
        <w:tc>
          <w:tcPr>
            <w:tcW w:w="180" w:type="dxa"/>
            <w:vAlign w:val="bottom"/>
          </w:tcPr>
          <w:p>
            <w:pPr>
              <w:spacing w:after="0"/>
              <w:rPr>
                <w:sz w:val="12"/>
                <w:szCs w:val="12"/>
                <w:color w:val="auto"/>
              </w:rPr>
            </w:pPr>
          </w:p>
        </w:tc>
        <w:tc>
          <w:tcPr>
            <w:tcW w:w="102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color w:val="auto"/>
                <w:w w:val="98"/>
              </w:rPr>
              <w:t>Value (in</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of Stock Options</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Price Per Share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(Years)</w:t>
            </w:r>
          </w:p>
        </w:tc>
        <w:tc>
          <w:tcPr>
            <w:tcW w:w="18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4"/>
                <w:szCs w:val="14"/>
                <w:color w:val="auto"/>
              </w:rPr>
              <w:t>thousands)</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199,276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137,150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stock options outstanding as of January 1, 2023 were fully vested.</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aggregate intrinsic value of stock options represents the amount by which the market price of our common stock exceeds the exercise price of the stock option. The aggregate intrinsic value of stock options exercised for the years ended December 31, 2023, 2022 and 2021 was $1.0 million, $2.0 million, and $1.0 million, respectively. Cash received from stock options exercised for the years ended December 31, 2023, 2022 and 2021 was $1.6 million, $3.5 million, and $1.7 million, respectively, with related tax benefits of $0.4 million, $0.8 million, and $0.4 million, respectively. The total amount of stock options vested is 137,150 shares with a weighted-average exercise price of $38.66 and an aggregate intrinsic value of $1.8 million. There are no unvested stock options as of December 31, 2023. These stock options have a weighted-average remaining contractual term of 4.9 years.</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share-based compensation cost expensed for stock options for the years ended December 31, 2023, 2022, and 2021 (before tax benefits) was zero, $0.3 million, and $1.2 million, respectively, and is included in selling, general and administrative expenses on the consolidated income statements. At December 31, 2023, there was no remaining unrecognized compensation cost related to stock options. The total fair value of stock options vested during the years ended December 31, 2023, 2022, and 2021 was zero, $0.8 million, and $1.7 million, respectively.</w:t>
      </w:r>
    </w:p>
    <w:p>
      <w:pPr>
        <w:spacing w:after="0" w:line="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typically apply fair value accounting for stock-based compensation based on the grant date fair value estimated using a Black-Scholes-Merton (“Black-Scholes”) valuation model. There were no stock options granted under the 2020 Plan for the years ended December 31, 2023, 2022, and 2021.</w:t>
      </w:r>
    </w:p>
    <w:p>
      <w:pPr>
        <w:spacing w:after="0" w:line="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recognize compensation expense, net of an estimated forfeiture rate, on a straight-line basis over the requisite service period of the award. We have award populations with option vesting terms of three and four years. We estimate the forfeiture rate based on our historic experience, attempting to determine any discernible activity patterns. The expected life computation is based on historic exercise patterns and post-vesting termination behavior. The risk-free interest rate for periods within the contractual life of the award is based on the U.S. Treasury yield curve in effect at the time of grant. The expected volatility is derived from historical volatility of our common stock. We suspended payments of dividends after the first quarter of 2011.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granted restricted stock units (“RSUs”) to certain officers, key employees and non-employee directors of 110,067, 118,847, and 118,995 RSUs during the years ended December 31, 2023, 2022, and 2021, respectively, with weighted-average grant date fair values (equal to the fair market value of our stock on the date of grant) of $51.57, $51.76, and $55.92 per share, respectively. RSUs represent a right to receive a share of stock at future vesting dates with no cash payment required from the holder. The RSUs typically have a three year vesting term of 33.3%, 33.3% and 33.4% on the first, second and third anniversaries of the date of grant, respectively. If an employee terminates employment, their non-vested portion of the RSUs will not vest and all rights to the non-vested portion will terminate.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activity for the year ended December 31, 2023 was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Number of</w:t>
            </w:r>
          </w:p>
        </w:tc>
        <w:tc>
          <w:tcPr>
            <w:tcW w:w="140" w:type="dxa"/>
            <w:vAlign w:val="bottom"/>
          </w:tcPr>
          <w:p>
            <w:pPr>
              <w:spacing w:after="0"/>
              <w:rPr>
                <w:sz w:val="13"/>
                <w:szCs w:val="13"/>
                <w:color w:val="auto"/>
              </w:rPr>
            </w:pPr>
          </w:p>
        </w:tc>
        <w:tc>
          <w:tcPr>
            <w:tcW w:w="112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w w:val="98"/>
              </w:rPr>
              <w:t>Weighted-</w:t>
            </w:r>
          </w:p>
        </w:tc>
        <w:tc>
          <w:tcPr>
            <w:tcW w:w="0" w:type="dxa"/>
            <w:vAlign w:val="bottom"/>
          </w:tcPr>
          <w:p>
            <w:pPr>
              <w:spacing w:after="0"/>
              <w:rPr>
                <w:sz w:val="1"/>
                <w:szCs w:val="1"/>
                <w:color w:val="auto"/>
              </w:rPr>
            </w:pPr>
          </w:p>
        </w:tc>
      </w:tr>
      <w:tr>
        <w:trPr>
          <w:trHeight w:val="144"/>
        </w:trPr>
        <w:tc>
          <w:tcPr>
            <w:tcW w:w="86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8"/>
              <w:spacing w:after="0" w:line="145" w:lineRule="exact"/>
              <w:rPr>
                <w:sz w:val="20"/>
                <w:szCs w:val="20"/>
                <w:color w:val="auto"/>
              </w:rPr>
            </w:pPr>
            <w:r>
              <w:rPr>
                <w:rFonts w:ascii="Times New Roman" w:cs="Times New Roman" w:eastAsia="Times New Roman" w:hAnsi="Times New Roman"/>
                <w:sz w:val="14"/>
                <w:szCs w:val="14"/>
                <w:color w:val="auto"/>
                <w:w w:val="96"/>
              </w:rPr>
              <w:t>Average</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tcPr>
          <w:p>
            <w:pPr>
              <w:spacing w:after="0"/>
              <w:rPr>
                <w:sz w:val="12"/>
                <w:szCs w:val="12"/>
                <w:color w:val="auto"/>
              </w:rPr>
            </w:pPr>
          </w:p>
        </w:tc>
        <w:tc>
          <w:tcPr>
            <w:tcW w:w="11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color w:val="auto"/>
              </w:rPr>
              <w:t>Grant</w:t>
            </w: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Units</w:t>
            </w:r>
          </w:p>
        </w:tc>
        <w:tc>
          <w:tcPr>
            <w:tcW w:w="140" w:type="dxa"/>
            <w:vAlign w:val="bottom"/>
          </w:tcPr>
          <w:p>
            <w:pPr>
              <w:spacing w:after="0"/>
              <w:rPr>
                <w:sz w:val="17"/>
                <w:szCs w:val="17"/>
                <w:color w:val="auto"/>
              </w:rPr>
            </w:pPr>
          </w:p>
        </w:tc>
        <w:tc>
          <w:tcPr>
            <w:tcW w:w="112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29"/>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2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201,795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110,067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(76,866)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(25,182)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209,814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share-based compensation cost expensed for RSUs for the years ended December 31, 2023, 2022, and 2021 (before tax benefits) was $4.5 million, $3.8 million, and $4.1 million respectively, and is included in selling, general and administrative expenses on the consolidated income statements. At December 31, 2023, total unrecognized compensation cost (before tax benefits) related to RSUs of $5.5 million is expected to be recognized over a weighted average period of 1.6 years. The total fair value of RSUs vested for the years ended December 31, 2023, 2022, and 2021 was $3.9 million, $3.5 million, and $4.2 million, respectively. The tax benefit realized from vested RSUs for the years ended December 31, 2023, 2022, and 2021 was $0.9 million, $0.8 million, and $1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granted performance stock awards (“PSUs”) to certain key employees of 160,852, 111,654, and 182,886 PSUs during the years ended December 31, 2023, 2022, and 2021, respectively, with weighted-average grant date fair values of $40.51, $48.18, and $49.76 per share, respectively. PSU awards are subject to the attainment of performance goals established by the Compensation Committee, the periods during which performance is to be measured, and all other limitations and conditions applicable to the awarded shares. Performance goals are based on a pre-established objective formula that specifies the manner of determining the number of PSUs that will be granted if performance goals are attained. If an employee terminates employment, their non-vested portion of the PSUs will not vest and all rights to the non-vested portion will terminate.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stock activity for the year ended December 31, 2023 was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3"/>
                <w:szCs w:val="13"/>
                <w:color w:val="auto"/>
              </w:rPr>
            </w:pPr>
          </w:p>
        </w:tc>
        <w:tc>
          <w:tcPr>
            <w:tcW w:w="106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9"/>
        </w:trPr>
        <w:tc>
          <w:tcPr>
            <w:tcW w:w="87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12"/>
                <w:szCs w:val="12"/>
                <w:color w:val="auto"/>
              </w:rPr>
            </w:pPr>
          </w:p>
        </w:tc>
        <w:tc>
          <w:tcPr>
            <w:tcW w:w="13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Performance Stock</w:t>
            </w:r>
          </w:p>
        </w:tc>
        <w:tc>
          <w:tcPr>
            <w:tcW w:w="120" w:type="dxa"/>
            <w:vAlign w:val="bottom"/>
          </w:tcPr>
          <w:p>
            <w:pPr>
              <w:spacing w:after="0"/>
              <w:rPr>
                <w:sz w:val="12"/>
                <w:szCs w:val="12"/>
                <w:color w:val="auto"/>
              </w:rPr>
            </w:pPr>
          </w:p>
        </w:tc>
        <w:tc>
          <w:tcPr>
            <w:tcW w:w="1060" w:type="dxa"/>
            <w:vAlign w:val="bottom"/>
          </w:tcPr>
          <w:p>
            <w:pPr>
              <w:jc w:val="center"/>
              <w:ind w:right="78"/>
              <w:spacing w:after="0" w:line="145" w:lineRule="exact"/>
              <w:rPr>
                <w:sz w:val="20"/>
                <w:szCs w:val="20"/>
                <w:color w:val="auto"/>
              </w:rPr>
            </w:pPr>
            <w:r>
              <w:rPr>
                <w:rFonts w:ascii="Times New Roman" w:cs="Times New Roman" w:eastAsia="Times New Roman" w:hAnsi="Times New Roman"/>
                <w:sz w:val="14"/>
                <w:szCs w:val="14"/>
                <w:color w:val="auto"/>
              </w:rPr>
              <w:t>Grant</w:t>
            </w:r>
          </w:p>
        </w:tc>
        <w:tc>
          <w:tcPr>
            <w:tcW w:w="0" w:type="dxa"/>
            <w:vAlign w:val="bottom"/>
          </w:tcPr>
          <w:p>
            <w:pPr>
              <w:spacing w:after="0"/>
              <w:rPr>
                <w:sz w:val="1"/>
                <w:szCs w:val="1"/>
                <w:color w:val="auto"/>
              </w:rPr>
            </w:pPr>
          </w:p>
        </w:tc>
      </w:tr>
      <w:tr>
        <w:trPr>
          <w:trHeight w:val="198"/>
        </w:trPr>
        <w:tc>
          <w:tcPr>
            <w:tcW w:w="870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Units</w:t>
            </w:r>
          </w:p>
        </w:tc>
        <w:tc>
          <w:tcPr>
            <w:tcW w:w="120" w:type="dxa"/>
            <w:vAlign w:val="bottom"/>
          </w:tcPr>
          <w:p>
            <w:pPr>
              <w:spacing w:after="0"/>
              <w:rPr>
                <w:sz w:val="17"/>
                <w:szCs w:val="17"/>
                <w:color w:val="auto"/>
              </w:rPr>
            </w:pPr>
          </w:p>
        </w:tc>
        <w:tc>
          <w:tcPr>
            <w:tcW w:w="1060" w:type="dxa"/>
            <w:vAlign w:val="bottom"/>
          </w:tcPr>
          <w:p>
            <w:pPr>
              <w:jc w:val="center"/>
              <w:ind w:right="38"/>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28"/>
        </w:trPr>
        <w:tc>
          <w:tcPr>
            <w:tcW w:w="8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29"/>
        </w:trPr>
        <w:tc>
          <w:tcPr>
            <w:tcW w:w="8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160,852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share-based compensation cost expensed for PSUs for the years ended December 31, 2023, 2022, and 2021 (before tax benefits) was $6.9 million, $5.1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$5.9 million, respectively, and is included in selling, general and administrative expenses on the consolidated income statements.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total unrecognized compensation cost (before tax benefits) related to PSUs of $6.0 million is expected to be recognized over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period of 1.3 years. The total fair value of PSUs vested during the years ended December 31, 2023, 2022, and 2021, was $8.5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million, and $9.6 million, respectively. The tax benefit realized from PSUs for the years ended December 31, 2023, 2022, and 2021 were $2.0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million, and $2.3 million,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With Market Condition Cash Settled Long-Term Incentive Awards</w:t>
      </w:r>
    </w:p>
    <w:p>
      <w:pPr>
        <w:spacing w:after="0" w:line="10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permitted under the 2020 Plan, performance-based with market condition cash settled long-term incentive awards (“Performance-Based Cash LTIPs”) were granted in 2023 and 2022. Performance-Based Cash LTIPs will be settled in cash and are subject to the attainment of performance goals established by the Compensation Committee (including achievement of relative total shareholder return market condition), the periods during which performance is to be measured, and all other limitations and conditions applicable to the Performance-Based Cash LTIPs’ values. Performance goals are based on a pre-established objective formula that specifies the manner of determining the value of the Performance-Based Cash LTIPs that will be issued if performance goals are attained. If an employee terminates employment, their non-vested portion of the Performance-Based Cash LTIPs will not vest and all rights to the non-vested portion of the Performance-Based Cash LTIPs will terminate. The Compensation Committee administers the Performance-Based Cash LTIPs. The share-based compensation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expense recorded for the Performance-Based Cash LTIPs for the years ended December 31, 2023, 2022, and 2021 (before tax benefits) was $2.7 million, $1.2 million, and zero, respectively.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Employee Benefit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Defined Contribution 401(k) Plans</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sponsor a 401(k) defined contribution plan for all our employees. The plan allows the employees to make annual voluntary contributions not to exceed the lesser of an amount equal to 25% of their compensation or limits established by the Internal Revenue Code. Under this plan, we generally provide a match equal to 50% of the employee’s contributions up to the first 6% of compensation, except for union employees who are not eligible to receive the match. Our provision for matching and profit sharing contributions for the three years ended December 31, 2023, 2022, and 2021 was $3.1 million, $2.9 million, and $2.8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Plan and LaBarge Retirement Plan</w:t>
      </w:r>
    </w:p>
    <w:p>
      <w:pPr>
        <w:spacing w:after="0" w:line="10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 defined benefit pension plan covering certain hourly employees of a subsidiary (the “Pension Plan”). Pension Plan benefits are generally determined on the basis of the retiree’s age and length of service. Assets of the Pension Plan are composed primarily of fixed income and equity securities. We also have a retirement plan covering certain current and retired employees (the “LaBarge Retirement Plan”).</w:t>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consolidation of one of our performance centers as part of the 2022 Restructuring Plan as discussed in Note 3 resulted in the curtailment of the Pension Plan during the fourth quarter of 2022, but it had an immaterial impact on our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cost for the Pension Plan and LaBarge Retirement Plan in aggregate are as follows:</w:t>
      </w:r>
    </w:p>
    <w:p>
      <w:pPr>
        <w:spacing w:after="0" w:line="45"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6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48"/>
        </w:trPr>
        <w:tc>
          <w:tcPr>
            <w:tcW w:w="6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reclassifications of net actuarial losses from accumulated other comprehensive loss to net income for 2023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center"/>
              <w:ind w:right="177"/>
              <w:spacing w:after="0"/>
              <w:rPr>
                <w:sz w:val="20"/>
                <w:szCs w:val="20"/>
                <w:color w:val="auto"/>
              </w:rPr>
            </w:pPr>
            <w:r>
              <w:rPr>
                <w:rFonts w:ascii="Times New Roman" w:cs="Times New Roman" w:eastAsia="Times New Roman" w:hAnsi="Times New Roman"/>
                <w:sz w:val="14"/>
                <w:szCs w:val="14"/>
                <w:color w:val="auto"/>
              </w:rPr>
              <w:t>(In thousands)</w:t>
            </w:r>
          </w:p>
        </w:tc>
      </w:tr>
      <w:tr>
        <w:trPr>
          <w:trHeight w:val="188"/>
        </w:trPr>
        <w:tc>
          <w:tcPr>
            <w:tcW w:w="960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93"/>
        </w:trPr>
        <w:tc>
          <w:tcPr>
            <w:tcW w:w="9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77"/>
              <w:spacing w:after="0"/>
              <w:rPr>
                <w:sz w:val="20"/>
                <w:szCs w:val="20"/>
                <w:color w:val="auto"/>
              </w:rPr>
            </w:pPr>
            <w:r>
              <w:rPr>
                <w:rFonts w:ascii="Times New Roman" w:cs="Times New Roman" w:eastAsia="Times New Roman" w:hAnsi="Times New Roman"/>
                <w:sz w:val="14"/>
                <w:szCs w:val="14"/>
                <w:color w:val="auto"/>
                <w:w w:val="99"/>
              </w:rPr>
              <w:t>2023</w:t>
            </w:r>
          </w:p>
        </w:tc>
      </w:tr>
      <w:tr>
        <w:trPr>
          <w:trHeight w:val="23"/>
        </w:trPr>
        <w:tc>
          <w:tcPr>
            <w:tcW w:w="9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Amortization of actuarial loss - total before tax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9"/>
              </w:rPr>
              <w:t>(53)</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80" w:right="580" w:hanging="329"/>
        <w:spacing w:after="0" w:line="282" w:lineRule="auto"/>
        <w:tabs>
          <w:tab w:leader="none" w:pos="5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expense is included in the computation of periodic pension cost and is a decrease to net income upon reclassification from accumulated other comprehensive loss.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estimated net actuarial loss for both plans that will be amortized from accumulated other comprehensive loss into net periodic cost during 2024 is $0.4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fair value of plan assets, and funded status of both plans are as follows:</w:t>
      </w:r>
    </w:p>
    <w:p>
      <w:pPr>
        <w:spacing w:after="0" w:line="4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2023</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671"/>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46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Change in benefit obligation</w:t>
            </w:r>
            <w:r>
              <w:rPr>
                <w:rFonts w:ascii="Times New Roman" w:cs="Times New Roman" w:eastAsia="Times New Roman" w:hAnsi="Times New Roman"/>
                <w:sz w:val="19"/>
                <w:szCs w:val="19"/>
                <w:b w:val="1"/>
                <w:bCs w:val="1"/>
                <w:color w:val="auto"/>
                <w:vertAlign w:val="superscript"/>
              </w:rPr>
              <w:t>(1)</w:t>
            </w:r>
          </w:p>
        </w:tc>
        <w:tc>
          <w:tcPr>
            <w:tcW w:w="1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Beginning benefit obligation (January 1)</w:t>
            </w:r>
          </w:p>
        </w:tc>
        <w:tc>
          <w:tcPr>
            <w:tcW w:w="11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benefit obligation (December 31)</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6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46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fair value of plan assets (January 1)</w:t>
            </w:r>
          </w:p>
        </w:tc>
        <w:tc>
          <w:tcPr>
            <w:tcW w:w="11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Return on assets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fair value of plan assets (December 31)</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6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Funded status underfunded</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gridSpan w:val="5"/>
            <w:vMerge w:val="continue"/>
          </w:tcPr>
          <w:p>
            <w:pPr>
              <w:spacing w:after="0"/>
              <w:rPr>
                <w:sz w:val="17"/>
                <w:szCs w:val="17"/>
                <w:color w:val="auto"/>
              </w:rPr>
            </w:pPr>
          </w:p>
        </w:tc>
        <w:tc>
          <w:tcPr>
            <w:tcW w:w="1140" w:type="dxa"/>
            <w:vAlign w:val="bottom"/>
            <w:tcBorders>
              <w:bottom w:val="single" w:sz="8" w:color="auto"/>
            </w:tcBorders>
          </w:tcPr>
          <w:p>
            <w:pPr>
              <w:jc w:val="right"/>
              <w:ind w:right="932"/>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(2,063)</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4140" w:type="dxa"/>
            <w:vAlign w:val="bottom"/>
            <w:tcBorders>
              <w:bottom w:val="single" w:sz="8" w:color="auto"/>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Amounts recognized in the consolidated balance sheet</w:t>
            </w:r>
          </w:p>
        </w:tc>
        <w:tc>
          <w:tcPr>
            <w:tcW w:w="3320" w:type="dxa"/>
            <w:vAlign w:val="bottom"/>
            <w:tcBorders>
              <w:bottom w:val="single" w:sz="8" w:color="CCEEFF"/>
            </w:tcBorders>
            <w:gridSpan w:val="2"/>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Non-current assets</w:t>
            </w:r>
          </w:p>
        </w:tc>
        <w:tc>
          <w:tcPr>
            <w:tcW w:w="114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60" w:type="dxa"/>
            <w:vAlign w:val="bottom"/>
            <w:tcBorders>
              <w:top w:val="single" w:sz="8" w:color="CCEEFF"/>
              <w:bottom w:val="single" w:sz="8" w:color="CCEEFF"/>
            </w:tcBorders>
            <w:gridSpan w:val="5"/>
            <w:vMerge w:val="restart"/>
          </w:tcPr>
          <w:p>
            <w:pPr>
              <w:ind w:left="340"/>
              <w:spacing w:after="0"/>
              <w:rPr>
                <w:sz w:val="20"/>
                <w:szCs w:val="20"/>
                <w:color w:val="auto"/>
              </w:rPr>
            </w:pPr>
            <w:r>
              <w:rPr>
                <w:rFonts w:ascii="Times New Roman" w:cs="Times New Roman" w:eastAsia="Times New Roman" w:hAnsi="Times New Roman"/>
                <w:sz w:val="18"/>
                <w:szCs w:val="18"/>
                <w:color w:val="auto"/>
              </w:rPr>
              <w:t>Non-current liabilities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460" w:type="dxa"/>
            <w:vAlign w:val="bottom"/>
            <w:gridSpan w:val="5"/>
            <w:vMerge w:val="continue"/>
          </w:tcPr>
          <w:p>
            <w:pPr>
              <w:spacing w:after="0"/>
              <w:rPr>
                <w:sz w:val="17"/>
                <w:szCs w:val="17"/>
                <w:color w:val="auto"/>
              </w:rPr>
            </w:pPr>
          </w:p>
        </w:tc>
        <w:tc>
          <w:tcPr>
            <w:tcW w:w="1140" w:type="dxa"/>
            <w:vAlign w:val="bottom"/>
            <w:tcBorders>
              <w:bottom w:val="single" w:sz="8" w:color="auto"/>
            </w:tcBorders>
          </w:tcPr>
          <w:p>
            <w:pPr>
              <w:jc w:val="right"/>
              <w:ind w:right="932"/>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3,099</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3,139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4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Unrecognized loss included in accumulated other comprehensive loss</w:t>
            </w:r>
          </w:p>
        </w:tc>
        <w:tc>
          <w:tcPr>
            <w:tcW w:w="1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Beginning unrecognized loss, before tax (January 1)</w:t>
            </w:r>
          </w:p>
        </w:tc>
        <w:tc>
          <w:tcPr>
            <w:tcW w:w="218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Liability gain</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loss (gain)</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Ending unrecognized loss, before tax (December 31)</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Unrecognized loss included in accumulated other comprehensive loss, net of tax</w:t>
            </w:r>
          </w:p>
        </w:tc>
        <w:tc>
          <w:tcPr>
            <w:tcW w:w="114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Projected benefit obligation equals the accumulated benefit obligation for the plans.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31, 2023, our annual measurement date, the accumulated benefit obligation exceeded the fair value of the plans assets by $2.1 million. Such excess is referred to as an unfunded accumulated benefit obligation. We recorded an unrecognized gain (loss) included in accumulated other comprehensive loss, net of tax at December 31, 2023 and 2022 of $4.2 million and $3.0 million, respectively, which increased (decreased) shareholders’ equity. This charge to shareholders’ equity represents a net loss not yet recognized as pension expense. This charge did not affect reported earnings, and would be decreased or be eliminated if either interest rates increase or market performance and plan returns improve which will cause the Pension Plan to return to fully funded status.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Pension Plan asset allocations at December 31, 2023 and 2022, by asset category,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December 31,</w:t>
            </w:r>
          </w:p>
        </w:tc>
      </w:tr>
      <w:tr>
        <w:trPr>
          <w:trHeight w:val="203"/>
        </w:trPr>
        <w:tc>
          <w:tcPr>
            <w:tcW w:w="7700" w:type="dxa"/>
            <w:vAlign w:val="bottom"/>
          </w:tcPr>
          <w:p>
            <w:pPr>
              <w:spacing w:after="0"/>
              <w:rPr>
                <w:sz w:val="17"/>
                <w:szCs w:val="17"/>
                <w:color w:val="auto"/>
              </w:rPr>
            </w:pPr>
          </w:p>
        </w:tc>
        <w:tc>
          <w:tcPr>
            <w:tcW w:w="1200" w:type="dxa"/>
            <w:vAlign w:val="bottom"/>
          </w:tcPr>
          <w:p>
            <w:pPr>
              <w:jc w:val="center"/>
              <w:ind w:left="414"/>
              <w:spacing w:after="0"/>
              <w:rPr>
                <w:sz w:val="20"/>
                <w:szCs w:val="20"/>
                <w:color w:val="auto"/>
              </w:rPr>
            </w:pPr>
            <w:r>
              <w:rPr>
                <w:rFonts w:ascii="Times New Roman" w:cs="Times New Roman" w:eastAsia="Times New Roman" w:hAnsi="Times New Roman"/>
                <w:sz w:val="14"/>
                <w:szCs w:val="14"/>
                <w:color w:val="auto"/>
              </w:rPr>
              <w:t>2023</w:t>
            </w:r>
          </w:p>
        </w:tc>
        <w:tc>
          <w:tcPr>
            <w:tcW w:w="2320" w:type="dxa"/>
            <w:vAlign w:val="bottom"/>
            <w:gridSpan w:val="3"/>
          </w:tcPr>
          <w:p>
            <w:pPr>
              <w:jc w:val="center"/>
              <w:ind w:left="519"/>
              <w:spacing w:after="0"/>
              <w:rPr>
                <w:sz w:val="20"/>
                <w:szCs w:val="20"/>
                <w:color w:val="auto"/>
              </w:rPr>
            </w:pPr>
            <w:r>
              <w:rPr>
                <w:rFonts w:ascii="Times New Roman" w:cs="Times New Roman" w:eastAsia="Times New Roman" w:hAnsi="Times New Roman"/>
                <w:sz w:val="14"/>
                <w:szCs w:val="14"/>
                <w:color w:val="auto"/>
                <w:w w:val="99"/>
              </w:rPr>
              <w:t>2022</w:t>
            </w:r>
          </w:p>
        </w:tc>
      </w:tr>
      <w:tr>
        <w:trPr>
          <w:trHeight w:val="23"/>
        </w:trPr>
        <w:tc>
          <w:tcPr>
            <w:tcW w:w="7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61%</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equivalents</w:t>
            </w:r>
          </w:p>
        </w:tc>
        <w:tc>
          <w:tcPr>
            <w:tcW w:w="120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rPr>
              <w:t>41%</w:t>
            </w:r>
          </w:p>
        </w:tc>
        <w:tc>
          <w:tcPr>
            <w:tcW w:w="2320" w:type="dxa"/>
            <w:vAlign w:val="bottom"/>
            <w:gridSpan w:val="3"/>
          </w:tcPr>
          <w:p>
            <w:pPr>
              <w:jc w:val="center"/>
              <w:ind w:left="519"/>
              <w:spacing w:after="0"/>
              <w:rPr>
                <w:sz w:val="20"/>
                <w:szCs w:val="20"/>
                <w:color w:val="auto"/>
              </w:rPr>
            </w:pPr>
            <w:r>
              <w:rPr>
                <w:rFonts w:ascii="Times New Roman" w:cs="Times New Roman" w:eastAsia="Times New Roman" w:hAnsi="Times New Roman"/>
                <w:sz w:val="18"/>
                <w:szCs w:val="18"/>
                <w:color w:val="auto"/>
                <w:w w:val="99"/>
              </w:rPr>
              <w:t>4%</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20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59%</w:t>
            </w:r>
          </w:p>
        </w:tc>
        <w:tc>
          <w:tcPr>
            <w:tcW w:w="2320" w:type="dxa"/>
            <w:vAlign w:val="bottom"/>
            <w:gridSpan w:val="3"/>
            <w:shd w:val="clear" w:color="auto" w:fill="CCEEFF"/>
          </w:tcPr>
          <w:p>
            <w:pPr>
              <w:jc w:val="center"/>
              <w:ind w:left="519"/>
              <w:spacing w:after="0"/>
              <w:rPr>
                <w:sz w:val="20"/>
                <w:szCs w:val="20"/>
                <w:color w:val="auto"/>
              </w:rPr>
            </w:pPr>
            <w:r>
              <w:rPr>
                <w:rFonts w:ascii="Times New Roman" w:cs="Times New Roman" w:eastAsia="Times New Roman" w:hAnsi="Times New Roman"/>
                <w:sz w:val="18"/>
                <w:szCs w:val="18"/>
                <w:color w:val="auto"/>
                <w:w w:val="96"/>
              </w:rPr>
              <w:t>35%</w:t>
            </w:r>
          </w:p>
        </w:tc>
      </w:tr>
      <w:tr>
        <w:trPr>
          <w:trHeight w:val="223"/>
        </w:trPr>
        <w:tc>
          <w:tcPr>
            <w:tcW w:w="7700" w:type="dxa"/>
            <w:vAlign w:val="bottom"/>
          </w:tcPr>
          <w:p>
            <w:pPr>
              <w:ind w:left="400"/>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(1)</w:t>
            </w:r>
          </w:p>
        </w:tc>
        <w:tc>
          <w:tcPr>
            <w:tcW w:w="1200" w:type="dxa"/>
            <w:vAlign w:val="bottom"/>
            <w:tcBorders>
              <w:top w:val="single" w:sz="8" w:color="auto"/>
              <w:bottom w:val="single" w:sz="8" w:color="auto"/>
            </w:tcBorders>
          </w:tcPr>
          <w:p>
            <w:pPr>
              <w:jc w:val="center"/>
              <w:ind w:left="414"/>
              <w:spacing w:after="0"/>
              <w:rPr>
                <w:sz w:val="20"/>
                <w:szCs w:val="20"/>
                <w:color w:val="auto"/>
              </w:rPr>
            </w:pPr>
            <w:r>
              <w:rPr>
                <w:rFonts w:ascii="Times New Roman" w:cs="Times New Roman" w:eastAsia="Times New Roman" w:hAnsi="Times New Roman"/>
                <w:sz w:val="18"/>
                <w:szCs w:val="18"/>
                <w:color w:val="auto"/>
                <w:w w:val="99"/>
              </w:rPr>
              <w:t>100%</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0"/>
        </w:trPr>
        <w:tc>
          <w:tcPr>
            <w:tcW w:w="7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580" w:right="480" w:hanging="329"/>
        <w:spacing w:after="0" w:line="276" w:lineRule="auto"/>
        <w:tabs>
          <w:tab w:leader="none" w:pos="5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investment strategy is typically to achieve an asset allocation within the following ranges to achieve an appropriate rate of return relative to risk.</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720" w:type="dxa"/>
            <w:vAlign w:val="bottom"/>
            <w:shd w:val="clear" w:color="auto" w:fill="CCEEFF"/>
          </w:tcPr>
          <w:p>
            <w:pPr>
              <w:jc w:val="center"/>
              <w:ind w:left="2870"/>
              <w:spacing w:after="0"/>
              <w:rPr>
                <w:sz w:val="20"/>
                <w:szCs w:val="20"/>
                <w:color w:val="auto"/>
              </w:rPr>
            </w:pPr>
            <w:r>
              <w:rPr>
                <w:rFonts w:ascii="Times New Roman" w:cs="Times New Roman" w:eastAsia="Times New Roman" w:hAnsi="Times New Roman"/>
                <w:sz w:val="18"/>
                <w:szCs w:val="18"/>
                <w:color w:val="auto"/>
                <w:w w:val="99"/>
              </w:rPr>
              <w:t>0-10%</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472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15-75%</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4720" w:type="dxa"/>
            <w:vAlign w:val="bottom"/>
            <w:shd w:val="clear" w:color="auto" w:fill="CCEEFF"/>
          </w:tcPr>
          <w:p>
            <w:pPr>
              <w:jc w:val="center"/>
              <w:ind w:left="2850"/>
              <w:spacing w:after="0"/>
              <w:rPr>
                <w:sz w:val="20"/>
                <w:szCs w:val="20"/>
                <w:color w:val="auto"/>
              </w:rPr>
            </w:pPr>
            <w:r>
              <w:rPr>
                <w:rFonts w:ascii="Times New Roman" w:cs="Times New Roman" w:eastAsia="Times New Roman" w:hAnsi="Times New Roman"/>
                <w:sz w:val="18"/>
                <w:szCs w:val="18"/>
                <w:color w:val="auto"/>
              </w:rPr>
              <w:t>30-80%</w:t>
            </w:r>
          </w:p>
        </w:tc>
      </w:tr>
    </w:tbl>
    <w:p>
      <w:pPr>
        <w:spacing w:after="0" w:line="2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Pension Plan is associated with the union employees at one of the performance centers we expect to cease operations in 2024 as a result of the 2022 Restructure Plan. Therefore, during 2023, we changed the overall investment strategy to achieve an asset allocation that minimized the risk of loss of plan assets as the Pension Plan was fully funded. As of December 31, 2023, the Pension Plan assets consists primarily of bonds and cash and cash equivalents. The return on assets assumption reflects the average rate of return expected on the bonds and cash and cash equivalents invested to provide for the benefits included in the projected benefit obligation. We consider information from various external investment managers, forward-looking information regarding expected returns by asset class and our own judgment when determining the expected returns.</w:t>
      </w:r>
    </w:p>
    <w:tbl>
      <w:tblPr>
        <w:tblLayout w:type="fixed"/>
        <w:tblInd w:w="0" w:type="dxa"/>
        <w:tblCellMar>
          <w:top w:w="0" w:type="dxa"/>
          <w:left w:w="0" w:type="dxa"/>
          <w:bottom w:w="0" w:type="dxa"/>
          <w:right w:w="0" w:type="dxa"/>
        </w:tblCellMar>
      </w:tblPr>
      <w:tr>
        <w:trPr>
          <w:trHeight w:val="152"/>
        </w:trPr>
        <w:tc>
          <w:tcPr>
            <w:tcW w:w="6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5"/>
          </w:tcPr>
          <w:p>
            <w:pPr>
              <w:ind w:left="760"/>
              <w:spacing w:after="0" w:line="152" w:lineRule="exact"/>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Level 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Level 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w:t>
            </w: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6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Pooled funds</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77"/>
        </w:trPr>
        <w:tc>
          <w:tcPr>
            <w:tcW w:w="60" w:type="dxa"/>
            <w:vAlign w:val="bottom"/>
          </w:tcPr>
          <w:p>
            <w:pPr>
              <w:spacing w:after="0"/>
              <w:rPr>
                <w:sz w:val="15"/>
                <w:szCs w:val="15"/>
                <w:color w:val="auto"/>
              </w:rPr>
            </w:pPr>
          </w:p>
        </w:tc>
        <w:tc>
          <w:tcPr>
            <w:tcW w:w="51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fair value of plan assets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5"/>
            <w:vMerge w:val="restart"/>
          </w:tcPr>
          <w:p>
            <w:pPr>
              <w:ind w:left="720"/>
              <w:spacing w:after="0"/>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5"/>
            <w:vMerge w:val="continue"/>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Level 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Level 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52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Equities</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48"/>
        </w:trPr>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51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19,324</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ind w:left="300"/>
              <w:spacing w:after="0"/>
              <w:rPr>
                <w:sz w:val="20"/>
                <w:szCs w:val="20"/>
                <w:color w:val="auto"/>
              </w:rPr>
            </w:pPr>
            <w:r>
              <w:rPr>
                <w:rFonts w:ascii="Times New Roman" w:cs="Times New Roman" w:eastAsia="Times New Roman" w:hAnsi="Times New Roman"/>
                <w:sz w:val="18"/>
                <w:szCs w:val="18"/>
                <w:color w:val="auto"/>
              </w:rPr>
              <w:t>Pooled funds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0" w:type="dxa"/>
            <w:vAlign w:val="bottom"/>
          </w:tcPr>
          <w:p>
            <w:pPr>
              <w:spacing w:after="0" w:line="20" w:lineRule="exact"/>
              <w:rPr>
                <w:sz w:val="1"/>
                <w:szCs w:val="1"/>
                <w:color w:val="auto"/>
              </w:rPr>
            </w:pPr>
          </w:p>
        </w:tc>
      </w:tr>
      <w:tr>
        <w:trPr>
          <w:trHeight w:val="177"/>
        </w:trPr>
        <w:tc>
          <w:tcPr>
            <w:tcW w:w="60" w:type="dxa"/>
            <w:vAlign w:val="bottom"/>
            <w:tcBorders>
              <w:bottom w:val="single" w:sz="8" w:color="CCEEFF"/>
            </w:tcBorders>
          </w:tcPr>
          <w:p>
            <w:pPr>
              <w:spacing w:after="0"/>
              <w:rPr>
                <w:sz w:val="15"/>
                <w:szCs w:val="15"/>
                <w:color w:val="auto"/>
              </w:rPr>
            </w:pPr>
          </w:p>
        </w:tc>
        <w:tc>
          <w:tcPr>
            <w:tcW w:w="51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fair value of plan assets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80" w:right="220" w:hanging="329"/>
        <w:spacing w:after="0" w:line="282" w:lineRule="auto"/>
        <w:tabs>
          <w:tab w:leader="none" w:pos="5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mutual funds and commingled accounts which invest primarily in equities, but may also hold fixed income securities, cash and other investments. Commingled funds with publicly quoted prices and actively traded are classified as Level 1 investments.</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Pooled funds are measured using the net asset value (“NAV”) as a practical expedient for fair value as permissible under the accounting standard for fair value measurements and have not been categorized in the fair value hierarchy in accordance with ASU 2015-07, “Fair Value Measurement (Topic 820): Disclosures for Investments in Certain Entities That Calculate Net Asset Value per Share (or Its Equivalent).” Pooled fund NAVs are provided by the trustee and are determined by reference to the fair value of the underlying securities of the trust, less its liabilities, which are valued primarily through the use of directly or indirectly observable inputs. Depending on the pooled fund, underlying securities may include marketable equity securities or fixed income securities.</w:t>
      </w:r>
    </w:p>
    <w:p>
      <w:pPr>
        <w:spacing w:after="0" w:line="6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assumptions used to determine the benefit obligations and expense for our two plans are presented in the tables below. The expected long-term return on assets, noted below, represents an estimate of long-term returns on investment portfolios consisting of a mixture of fixed income and cash and cash equivalents. The estimated cash flows from the plans for all future years are determined based on the plans’ population at the measurement date. We used the expected benefit payouts from the plans for each year into the future and discounted them back to the present using the USI Consulting Group (“USICG”) yield curve rate for that duration.</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the net periodic benefit costs under the two plans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Years Ended December 31,</w:t>
            </w:r>
          </w:p>
        </w:tc>
        <w:tc>
          <w:tcPr>
            <w:tcW w:w="1520" w:type="dxa"/>
            <w:vAlign w:val="bottom"/>
          </w:tcPr>
          <w:p>
            <w:pPr>
              <w:spacing w:after="0"/>
              <w:rPr>
                <w:sz w:val="16"/>
                <w:szCs w:val="16"/>
                <w:color w:val="auto"/>
              </w:rPr>
            </w:pPr>
          </w:p>
        </w:tc>
      </w:tr>
      <w:tr>
        <w:trPr>
          <w:trHeight w:val="203"/>
        </w:trPr>
        <w:tc>
          <w:tcPr>
            <w:tcW w:w="64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62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r>
      <w:tr>
        <w:trPr>
          <w:trHeight w:val="23"/>
        </w:trPr>
        <w:tc>
          <w:tcPr>
            <w:tcW w:w="64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used to determine pension expense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Plan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LaBarge Retirement Plan</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1.85%</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the benefit obligations under the two plans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December 31,</w:t>
            </w:r>
          </w:p>
        </w:tc>
        <w:tc>
          <w:tcPr>
            <w:tcW w:w="1520" w:type="dxa"/>
            <w:vAlign w:val="bottom"/>
          </w:tcPr>
          <w:p>
            <w:pPr>
              <w:spacing w:after="0"/>
              <w:rPr>
                <w:sz w:val="16"/>
                <w:szCs w:val="16"/>
                <w:color w:val="auto"/>
              </w:rPr>
            </w:pPr>
          </w:p>
        </w:tc>
      </w:tr>
      <w:tr>
        <w:trPr>
          <w:trHeight w:val="203"/>
        </w:trPr>
        <w:tc>
          <w:tcPr>
            <w:tcW w:w="64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r>
      <w:tr>
        <w:trPr>
          <w:trHeight w:val="23"/>
        </w:trPr>
        <w:tc>
          <w:tcPr>
            <w:tcW w:w="64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used to determine value of obligations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Plan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LaBarge Retirement Plan</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2.35%</w:t>
            </w: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rate of return - Pension Plan only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benefit payments under both plans, which reflect expected future service, as appropriate, are expected to be paid: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(In thousands)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jc w:val="center"/>
              <w:ind w:right="396"/>
              <w:spacing w:after="0" w:line="159" w:lineRule="exact"/>
              <w:rPr>
                <w:sz w:val="20"/>
                <w:szCs w:val="20"/>
                <w:color w:val="auto"/>
              </w:rPr>
            </w:pPr>
            <w:r>
              <w:rPr>
                <w:rFonts w:ascii="Times New Roman" w:cs="Times New Roman" w:eastAsia="Times New Roman" w:hAnsi="Times New Roman"/>
                <w:sz w:val="14"/>
                <w:szCs w:val="14"/>
                <w:color w:val="auto"/>
              </w:rPr>
              <w:t>LaBarge</w:t>
            </w:r>
          </w:p>
        </w:tc>
        <w:tc>
          <w:tcPr>
            <w:tcW w:w="0" w:type="dxa"/>
            <w:vAlign w:val="bottom"/>
          </w:tcPr>
          <w:p>
            <w:pPr>
              <w:spacing w:after="0"/>
              <w:rPr>
                <w:sz w:val="1"/>
                <w:szCs w:val="1"/>
                <w:color w:val="auto"/>
              </w:rPr>
            </w:pPr>
          </w:p>
        </w:tc>
      </w:tr>
      <w:tr>
        <w:trPr>
          <w:trHeight w:val="139"/>
        </w:trPr>
        <w:tc>
          <w:tcPr>
            <w:tcW w:w="7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Pension Plan</w:t>
            </w:r>
          </w:p>
        </w:tc>
        <w:tc>
          <w:tcPr>
            <w:tcW w:w="480" w:type="dxa"/>
            <w:vAlign w:val="bottom"/>
          </w:tcPr>
          <w:p>
            <w:pPr>
              <w:spacing w:after="0"/>
              <w:rPr>
                <w:sz w:val="12"/>
                <w:szCs w:val="12"/>
                <w:color w:val="auto"/>
              </w:rPr>
            </w:pPr>
          </w:p>
        </w:tc>
        <w:tc>
          <w:tcPr>
            <w:tcW w:w="1380" w:type="dxa"/>
            <w:vAlign w:val="bottom"/>
          </w:tcPr>
          <w:p>
            <w:pPr>
              <w:jc w:val="center"/>
              <w:ind w:right="416"/>
              <w:spacing w:after="0" w:line="139" w:lineRule="exact"/>
              <w:rPr>
                <w:sz w:val="20"/>
                <w:szCs w:val="20"/>
                <w:color w:val="auto"/>
              </w:rPr>
            </w:pPr>
            <w:r>
              <w:rPr>
                <w:rFonts w:ascii="Times New Roman" w:cs="Times New Roman" w:eastAsia="Times New Roman" w:hAnsi="Times New Roman"/>
                <w:sz w:val="14"/>
                <w:szCs w:val="14"/>
                <w:color w:val="auto"/>
              </w:rPr>
              <w:t>Retirement</w:t>
            </w:r>
          </w:p>
        </w:tc>
        <w:tc>
          <w:tcPr>
            <w:tcW w:w="0" w:type="dxa"/>
            <w:vAlign w:val="bottom"/>
          </w:tcPr>
          <w:p>
            <w:pPr>
              <w:spacing w:after="0"/>
              <w:rPr>
                <w:sz w:val="1"/>
                <w:szCs w:val="1"/>
                <w:color w:val="auto"/>
              </w:rPr>
            </w:pPr>
          </w:p>
        </w:tc>
      </w:tr>
      <w:tr>
        <w:trPr>
          <w:trHeight w:val="188"/>
        </w:trPr>
        <w:tc>
          <w:tcPr>
            <w:tcW w:w="7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jc w:val="center"/>
              <w:ind w:right="396"/>
              <w:spacing w:after="0"/>
              <w:rPr>
                <w:sz w:val="20"/>
                <w:szCs w:val="20"/>
                <w:color w:val="auto"/>
              </w:rPr>
            </w:pPr>
            <w:r>
              <w:rPr>
                <w:rFonts w:ascii="Times New Roman" w:cs="Times New Roman" w:eastAsia="Times New Roman" w:hAnsi="Times New Roman"/>
                <w:sz w:val="14"/>
                <w:szCs w:val="14"/>
                <w:color w:val="auto"/>
              </w:rPr>
              <w:t>Plan</w:t>
            </w:r>
          </w:p>
        </w:tc>
        <w:tc>
          <w:tcPr>
            <w:tcW w:w="0" w:type="dxa"/>
            <w:vAlign w:val="bottom"/>
          </w:tcPr>
          <w:p>
            <w:pPr>
              <w:spacing w:after="0"/>
              <w:rPr>
                <w:sz w:val="1"/>
                <w:szCs w:val="1"/>
                <w:color w:val="auto"/>
              </w:rPr>
            </w:pPr>
          </w:p>
        </w:tc>
      </w:tr>
      <w:tr>
        <w:trPr>
          <w:trHeight w:val="23"/>
        </w:trPr>
        <w:tc>
          <w:tcPr>
            <w:tcW w:w="7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2029 - 2033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funding policy is to contribute cash to our plans so that the minimum contribution requirements established by government funding and taxing authorities are met. We expect to make contributions of $0.4 million to the plans in 2024.</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Retirement Plans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three unfunded supplemental retirement plans. The first plan was suspended in 1986, but continues to cover certain former executives. The second plan was suspended in 1997, but continues to cover certain current and retired directors. The third plan covers certain current and retired employees and further employee contributions to this plan were suspended on August 5, 2011. The liability for the third plan and interest thereon is included in accrued employee compensation and long-term liabilities were both zero at December 31, 2023, and both zero at December 31, 2022. The accumulated benefit obligations of the first two plans at December 31, 2023 and December 31, 2022 were both $0.3 million, and are included in accrued liabilities.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Indemnifications</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 portion of future amounts that may be payable, if any. Moreover, in connection with certain performance center leases, we have indemnified our lessors for certain claims arising from the performance center or the lease.</w:t>
      </w:r>
    </w:p>
    <w:p>
      <w:pPr>
        <w:spacing w:after="0" w:line="4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duration of the guarantees and indemnities varies and, in many cases is indefinite but subject to applicable statutes of limitations. The majority of guarantees and indemnities do not provide any limitations on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pre-tax income attributable to foreign operations was not material. The provision for income tax expense consisted of the following:</w:t>
      </w:r>
    </w:p>
    <w:p>
      <w:pPr>
        <w:spacing w:after="0" w:line="35"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color w:val="auto"/>
        </w:rPr>
        <w:t>(In thousands)</w:t>
      </w:r>
    </w:p>
    <w:p>
      <w:pPr>
        <w:jc w:val="center"/>
        <w:ind w:left="614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31,112</w:t>
            </w: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29"/>
        </w:trPr>
        <w:tc>
          <w:tcPr>
            <w:tcW w:w="6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6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6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3"/>
        </w:trPr>
        <w:tc>
          <w:tcPr>
            <w:tcW w:w="6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34,948</w:t>
            </w:r>
          </w:p>
        </w:tc>
      </w:tr>
      <w:tr>
        <w:trPr>
          <w:trHeight w:val="21"/>
        </w:trPr>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recognized net income tax benefits from deductions of share-based payments in excess of compensation cost recognized for financial reporting purposes of $0.2 million, $0.2 million, and $0.9 million for the years ended December 31, 2023, 2022, and 2021, respectively.</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 assets were comprised of the following:</w:t>
      </w:r>
    </w:p>
    <w:p>
      <w:pPr>
        <w:spacing w:after="0" w:line="4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7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overrun reserves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Employment-related accruals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reserves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tax credit carryforwards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reserves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obligation</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expenses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tax credit carryforwards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3"/>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44,682</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r>
      <w:tr>
        <w:trPr>
          <w:trHeight w:val="223"/>
        </w:trPr>
        <w:tc>
          <w:tcPr>
            <w:tcW w:w="7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gross deferred tax assets, net of valuation allowance</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37,134</w:t>
            </w:r>
          </w:p>
        </w:tc>
      </w:tr>
      <w:tr>
        <w:trPr>
          <w:trHeight w:val="20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(18,310)</w:t>
            </w: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hedge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3"/>
        </w:trPr>
        <w:tc>
          <w:tcPr>
            <w:tcW w:w="7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(51,087)</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federal and state tax net operating losses of $7.6 million and $16.5 million, respectively, as of December 31, 2023. The federal net operating losses acquired from the acquisition of Nobles are subject to an annual limitation under Internal Revenue Code Section 382; however, we expect to fully realize them under ASC Subtopic 740-10 before they begin to expire in 2038. The state net operating loss carryforwards include $2.5 million that is not expected to be realized due to various limitations and has been reduced by a valuation allowance. If not realized, the state net operating loss carryforwards, depending on the tax jurisdiction, will begin to expire between 2027 and 2038.</w:t>
      </w:r>
    </w:p>
    <w:p>
      <w:pPr>
        <w:spacing w:after="0" w:line="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federal and state tax credit carryforwards of $0.1 million and $11.8 million, respectively, as of December 31, 2023. A valuation allowance of $9.3 million has been provided on state tax credit carryforwards that are not expected to be realized under ASC Subtopic 740-10. If not realized, the federal tax carryforwards will begin to expire in 2032 and state tax credit carryforwards, depending on the tax jurisdiction, will begin to expire between 2024 and 2038.</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it is more likely than not that we will generate sufficient taxable income to realize the benefit of the remaining deferred tax assets.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reasons for the variation between the statutory and effective tax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Years Ended December 31,</w:t>
            </w:r>
          </w:p>
        </w:tc>
        <w:tc>
          <w:tcPr>
            <w:tcW w:w="1520" w:type="dxa"/>
            <w:vAlign w:val="bottom"/>
          </w:tcPr>
          <w:p>
            <w:pPr>
              <w:spacing w:after="0"/>
              <w:rPr>
                <w:sz w:val="16"/>
                <w:szCs w:val="16"/>
                <w:color w:val="auto"/>
              </w:rPr>
            </w:pPr>
          </w:p>
        </w:tc>
      </w:tr>
      <w:tr>
        <w:trPr>
          <w:trHeight w:val="203"/>
        </w:trPr>
        <w:tc>
          <w:tcPr>
            <w:tcW w:w="64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62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r>
      <w:tr>
        <w:trPr>
          <w:trHeight w:val="23"/>
        </w:trPr>
        <w:tc>
          <w:tcPr>
            <w:tcW w:w="64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impact of foreign operations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 deduction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(0.9)</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(36.3)</w:t>
            </w:r>
          </w:p>
        </w:tc>
        <w:tc>
          <w:tcPr>
            <w:tcW w:w="162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tax credits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book compensation expenses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14.8</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deferred tax assets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tax reserves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20.5%</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Our total amount of unrecognized tax benefits was $4.5 million, $4.9 million, and $4.4 million at December 31, 2023, 2022, and 2021, respectively. We record interest and penalty charges, if any, related to uncertain tax positions as a component of tax expense and unrecognized tax benefits. The amounts accrued for interest and penalty charges as of December 31, 2023, 2022, and 2021 were not significant. If recognized, $2.6 million would affect the effective income tax rate. As a result of statute of limitations set to expire in 2024, we expect decreases to our unrecognized tax benefits of $0.8 million in the next twelve months.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was as follows:</w:t>
      </w:r>
    </w:p>
    <w:p>
      <w:pPr>
        <w:spacing w:after="0" w:line="45"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64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lapse of statute of limitations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2019 and by state taxing authorities for tax years after 2018.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Tax Cuts and Jobs Act of 2017 (“TCJA”), which was signed into U.S. law in December 2017, eliminated the option to immediately deduct research and development expenditures in the year incurred under Section 174 effective January 1, 2022. The amended provision under Section 174 requires us to capitalize and amortize these expenditures over five years (for U.S.-based research). For the year ended December 31, 2023, we recorded an increase to income taxes payable of $9.7 million and a decrease to net deferred tax liabilities of a similar amount. We are monitoring legislation for any further changes to Section 174 and the potential impact to our financial statements in 2024.</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August 2022, the U.S. enacted the Inflation Reduction Act of 2022 (“IRA”) which aims to curb inflation by reducing the deficit, lowering prescription drug prices, and investing in domestic energy production while promoting clean energy. We considered the provisions in the IRA and determined they have no or minimal impact to our overall income taxes.</w:t>
      </w:r>
    </w:p>
    <w:p>
      <w:pPr>
        <w:spacing w:after="0" w:line="12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August 2022, the U.S. enacted the Creating Helpful Incentives to Produce Semiconductors Act of 2022 (“CHIPS Act”) which provides new funding to boost domestic research and manufacturing of semiconductors in the United States. We considered the provisions in the CHIPS Act and determined they have no or minimal impact to our overall income taxes.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December 2020, a representative action under California’s Private Attorneys General Act was filed against us in the Superior Court for the State of California, County of San Bernardino. We received service of process of this complaint in January 2021. The complaint alleged violations of California’s wage and hour laws relating to our current and former employees and sought attorney’s fees and penalties. We vigorously refuted and defended these claims, and reached a tentative settlement of $0.8 million during the fourth quarter 2021, which was subject to court approval. Thus, we recorded accrued liabilities of $0.8 million as of December 31, 2021. During the second quarter of 2022, additional factual information was identified resulting in an increase in the amount of the tentative settlement to $0.9 million. Therefore, we recorded an additional accrued liabilities of $0.1 million for a total accrued liabilities amount of $0.9 million as of the end of the second quarter of 2022 and remained unchanged as of December 31, 2022 as we were awaiting final court approval of this settlement. Subsequent to final court approval and paying of the $0.9 million on January 17, 2023, during the third quarter of 2023 and upon plaintiff’s motion, the court re-opened the settlement agreement to determine whether the class list captured all affected employees. We are appealing this decision and intend to vigorously contest the court’s decision to reopen the settlement agreement. Any amount of additional liability is still undetermined pending the appeal and as such, there is no amount of loss that is probable and reasonably estimable at this time. Thus, no additional accrual was recorded during the third quarter of 2023 or as of December 31, 2023.</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the estimated liability for such investigation and corrective action of $1.5 million as of both December 31, 2023 and December 31, 2022, which is reflected in other long-term liabilities on our consolidated balance sheets.</w:t>
      </w:r>
    </w:p>
    <w:p>
      <w:pPr>
        <w:spacing w:after="0" w:line="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December 31, 2023 and December 31, 2022, which is reflected in other long-term liabilities on our consolidated balance sheets.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There were no injuries, however, property and equipment, inventories, and tooling in this leased facility were damaged. Our severely damaged Guaymas performance center was comprised of two buildings with an aggregate total of 62,000 square feet. The loss of production from the Guaymas performance center was absorbed by our other existing performance centers, however, we have reestablished and are in the process of ramping up our manufacturing capabilities in a different leased facility with 117,000 square feet in Guaymas. A neighboring, non-related manufacturing facility, also suffered fire damage during the same time as the fire that severely damaged our Guaymas performance center, and on November 8, 2023 the occupant of the neighboring facility filed suit against us in U.S. District Court for the Central District of California seeking unspecified amounts for damages relating to the fire. We intend to defend this matter vigorously and believe we have substantial defenses in relation to these claims. As responsibility for the fire is still undetermined, there is no amount of loss that is probable and reasonably estimable at this time. If we are ultimately deemed to be responsible or party responsible, it is possible we could incur a loss in excess of our insurance coverage limits, which could be material to our cash flow, liquidity, or financial results.</w:t>
      </w:r>
    </w:p>
    <w:p>
      <w:pPr>
        <w:spacing w:after="0" w:line="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insurance covers damage, up to a capped amount,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year ended December 31, 2020, $0.8 million of revenue and $0.5 million of related cost of sales were reversed for revenue previously recognized using the over time method as the revenue recognition process for these items were deemed to be interrupted as a result of these inventory items being damaged. Also during the year ended December 31, 2020, we wrote off property and equipment and tooling with an aggregate total net book value of $7.1 million and inventory on hand of $3.4 million that were damaged by the fire. The related anticipated insurance recoveries were also presented within the same financial statement line item in the consolidated statements of income resulting in no net impact, with the anticipated insurance recoveries receivable included as part of other current assets on the consolidated balance sheets.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insurance claim for damages to our operating assets and business interruption was deemed final and closed by our insurance company during the second quarter of 2023. During the years ended December 31, 2023 and December 31, 2022, we received insurance recoveries of $3.8 million and</w:t>
      </w:r>
    </w:p>
    <w:p>
      <w:pPr>
        <w:ind w:right="20"/>
        <w:spacing w:after="0" w:line="250" w:lineRule="auto"/>
        <w:rPr>
          <w:sz w:val="20"/>
          <w:szCs w:val="20"/>
          <w:color w:val="auto"/>
        </w:rPr>
      </w:pPr>
      <w:r>
        <w:rPr>
          <w:rFonts w:ascii="Times New Roman" w:cs="Times New Roman" w:eastAsia="Times New Roman" w:hAnsi="Times New Roman"/>
          <w:sz w:val="18"/>
          <w:szCs w:val="18"/>
          <w:color w:val="auto"/>
        </w:rPr>
        <w:t>$6.4 million, respectively. The $3.8 million of insurance recoveries received during 2023 was for business interruption and property and equipment damage of $2.1 million and $1.7 million, respectively, and were recognized as other income. The $6.4 million received during 2022 was for business interruption and property and equipment damage of $5.4 million and $1.0 million, respectively, and were recognized as other income. Cumulatively, as of December 31, 2023, we have received insurance recoveries in aggregate total of $23.7 million, with $7.5 million for business interruption and</w:t>
      </w:r>
    </w:p>
    <w:p>
      <w:pPr>
        <w:spacing w:after="0" w:line="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$16.2 million for damages to property and equipment, inventories, and tooling. Further, all insurance recovery amounts received related to this claim have been recognized up to the amount of net book value loss and presented within the same financial statement line item in the condensed consolidated statements of income resulting in no net impact, with the remaining amounts recognized as other income in our condensed consolidated statements of income when the contingencies were deemed resolved.</w:t>
      </w:r>
    </w:p>
    <w:p>
      <w:pPr>
        <w:spacing w:after="0" w:line="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April 29, 2023, a fire damaged a relatively small portion of one of our performance centers in our Structural Systems reporting segment. There were no injuries, however, subsequent to the fire, we determined that some property and equipment in this company owned facility were damaged.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did not result in significant disruption to customer delivery schedules. Production in this damaged portion has since resumed. The anticipated insurance recoveries related to losses and incremental costs incurred are recognized when receipt is probable. The anticipated insurance recoveries in excess of net book value of the damaged operating assets and business interruption are not recorded until all contingencies related to our claim have been resolved. As such, during the second quarter of 2023, we wrote off property and equipment with an aggregate total net book value of $0.2 million. During 2023, we received aggregate total insurance recoveries of $0.6 million (which was net of our deductible of $0.1 million), and thus, such insurance recoveries were also presented within the same financial statement line item in the consolidated statements of income resulting in no net impact. The amount of the insurance recoveries received in excess of the loss on operating assets was deemed a contingent gain and thus $0.1 million was also recognized during the second quarter of 2023. The insurance claim for damages to our operating assets and business interruption was deemed final and closed by our insurance company during the fourth quarter of 2023 and since the remaining gain contingencies were deemed resolved, the remaining $0.3 million was recognized in the fourth quarter of 2023, for an aggregate total of $0.4 million recorded as other income during 2023.</w:t>
      </w:r>
    </w:p>
    <w:p>
      <w:pPr>
        <w:spacing w:after="0" w:line="7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consolidated financial position, results of operations or cash flows.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Major Customers and Concentrations of Credit Risk</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provide proprietary products and services to the Department of Defense and various United States Government agencies, and most of the aerospace and aircraft manufacturers who receive contracts directly from the U.S. Government as an original equipment manufacturer (“Primes”). In addition, we also service technology-driven markets in the industrial, medical and other end-use markets. As a result, we have significant net revenues from certain customers. Accounts receivable were diversified over a number of different commercial, military and space programs and were made by both operating segments. Net revenues from our top ten customers, including The Boeing Company (“Boeing”), General Dynamics Corporation (“GD”), Northrop Grumman Corporation (“Northrop”), RTX Corporation (“RTX”), Spirit AeroSystems Holdings, Inc. (“Spirit”), and Viasat, Inc. (“Viasat”), represented the following percentages of total net revenues: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Years Ended December 31,</w:t>
            </w:r>
          </w:p>
        </w:tc>
        <w:tc>
          <w:tcPr>
            <w:tcW w:w="1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6880" w:type="dxa"/>
            <w:vAlign w:val="bottom"/>
            <w:gridSpan w:val="2"/>
          </w:tcPr>
          <w:p>
            <w:pPr>
              <w:ind w:left="6500"/>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ind w:right="63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Pr>
          <w:p>
            <w:pPr>
              <w:spacing w:after="0"/>
              <w:rPr>
                <w:sz w:val="17"/>
                <w:szCs w:val="17"/>
                <w:color w:val="auto"/>
              </w:rPr>
            </w:pPr>
          </w:p>
        </w:tc>
      </w:tr>
      <w:tr>
        <w:trPr>
          <w:trHeight w:val="23"/>
        </w:trPr>
        <w:tc>
          <w:tcPr>
            <w:tcW w:w="5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60" w:type="dxa"/>
            <w:vAlign w:val="bottom"/>
          </w:tcPr>
          <w:p>
            <w:pPr>
              <w:spacing w:after="0"/>
              <w:rPr>
                <w:sz w:val="19"/>
                <w:szCs w:val="19"/>
                <w:color w:val="auto"/>
              </w:rPr>
            </w:pP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60" w:type="dxa"/>
            <w:vAlign w:val="bottom"/>
          </w:tcPr>
          <w:p>
            <w:pPr>
              <w:spacing w:after="0"/>
              <w:rPr>
                <w:sz w:val="19"/>
                <w:szCs w:val="19"/>
                <w:color w:val="auto"/>
              </w:rPr>
            </w:pP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60" w:type="dxa"/>
            <w:vAlign w:val="bottom"/>
          </w:tcPr>
          <w:p>
            <w:pPr>
              <w:spacing w:after="0"/>
              <w:rPr>
                <w:sz w:val="19"/>
                <w:szCs w:val="19"/>
                <w:color w:val="auto"/>
              </w:rPr>
            </w:pP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RTX</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60" w:type="dxa"/>
            <w:vAlign w:val="bottom"/>
          </w:tcPr>
          <w:p>
            <w:pPr>
              <w:spacing w:after="0"/>
              <w:rPr>
                <w:sz w:val="19"/>
                <w:szCs w:val="19"/>
                <w:color w:val="auto"/>
              </w:rPr>
            </w:pP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60" w:type="dxa"/>
            <w:vAlign w:val="bottom"/>
          </w:tcPr>
          <w:p>
            <w:pPr>
              <w:spacing w:after="0"/>
              <w:rPr>
                <w:sz w:val="19"/>
                <w:szCs w:val="19"/>
                <w:color w:val="auto"/>
              </w:rPr>
            </w:pP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Viasat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60" w:type="dxa"/>
            <w:vAlign w:val="bottom"/>
          </w:tcPr>
          <w:p>
            <w:pPr>
              <w:spacing w:after="0"/>
              <w:rPr>
                <w:sz w:val="19"/>
                <w:szCs w:val="19"/>
                <w:color w:val="auto"/>
              </w:rPr>
            </w:pPr>
          </w:p>
        </w:tc>
      </w:tr>
      <w:tr>
        <w:trPr>
          <w:trHeight w:val="230"/>
        </w:trPr>
        <w:tc>
          <w:tcPr>
            <w:tcW w:w="68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Top ten customers </w:t>
            </w:r>
            <w:r>
              <w:rPr>
                <w:rFonts w:ascii="Times New Roman" w:cs="Times New Roman" w:eastAsia="Times New Roman" w:hAnsi="Times New Roman"/>
                <w:sz w:val="23"/>
                <w:szCs w:val="23"/>
                <w:color w:val="auto"/>
                <w:vertAlign w:val="superscript"/>
              </w:rPr>
              <w:t>(1)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60" w:type="dxa"/>
            <w:vAlign w:val="bottom"/>
          </w:tcPr>
          <w:p>
            <w:pPr>
              <w:spacing w:after="0"/>
              <w:rPr>
                <w:sz w:val="19"/>
                <w:szCs w:val="19"/>
                <w:color w:val="auto"/>
              </w:rPr>
            </w:pPr>
          </w:p>
        </w:tc>
      </w:tr>
      <w:tr>
        <w:trPr>
          <w:trHeight w:val="864"/>
        </w:trPr>
        <w:tc>
          <w:tcPr>
            <w:tcW w:w="57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79</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7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Boeing, GD, Northrop, RTX, Spirit, and Viasat.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Boeing, GD, Northrop, RTX, Spirit, and Viasat represented the following percentages of total accounts receivable: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December 31,</w:t>
            </w:r>
          </w:p>
        </w:tc>
        <w:tc>
          <w:tcPr>
            <w:tcW w:w="1320" w:type="dxa"/>
            <w:vAlign w:val="bottom"/>
          </w:tcPr>
          <w:p>
            <w:pPr>
              <w:spacing w:after="0"/>
              <w:rPr>
                <w:sz w:val="16"/>
                <w:szCs w:val="16"/>
                <w:color w:val="auto"/>
              </w:rPr>
            </w:pPr>
          </w:p>
        </w:tc>
      </w:tr>
      <w:tr>
        <w:trPr>
          <w:trHeight w:val="203"/>
        </w:trPr>
        <w:tc>
          <w:tcPr>
            <w:tcW w:w="8500" w:type="dxa"/>
            <w:vAlign w:val="bottom"/>
            <w:gridSpan w:val="2"/>
          </w:tcPr>
          <w:p>
            <w:pPr>
              <w:ind w:left="8080"/>
              <w:spacing w:after="0"/>
              <w:rPr>
                <w:sz w:val="20"/>
                <w:szCs w:val="20"/>
                <w:color w:val="auto"/>
              </w:rPr>
            </w:pPr>
            <w:r>
              <w:rPr>
                <w:rFonts w:ascii="Times New Roman" w:cs="Times New Roman" w:eastAsia="Times New Roman" w:hAnsi="Times New Roman"/>
                <w:sz w:val="14"/>
                <w:szCs w:val="14"/>
                <w:color w:val="auto"/>
              </w:rPr>
              <w:t>2023</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72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RTX</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9"/>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Viasat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bl>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2023, 2022 and 2021, net revenues from foreign customers based on the location of the customer were $82.2 million, $60.7 million and $43.6 million, respectively. No net revenues from a foreign country were greater than 3.0% of total net revenues in 2023, 2022, and 2021. We have manufacturing facilities in Mexico and Thailand, however, we ceased manufacturing activities in our Thailand performance center during 2023. Our net revenues, profitability and identifiable long-lived assets attributable to foreign revenues activity were not material compared to our net revenues, profitability and identifiable long-lived assets attributable to our domestic operations during 2023, 2022, and 2021. We are not subject to any significant foreign currency risks as all our sales are made in United States dollars.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Business Segment Information</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supply products and services primarily to the aerospace and defense industries. Our subsidiaries are organized into two strategic businesses, Electronic Systems and Structural Systems, each of which is an operating segment as well as a reportable segment.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segment was as follows:</w:t>
      </w:r>
    </w:p>
    <w:p>
      <w:pPr>
        <w:spacing w:after="0" w:line="45"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3"/>
        </w:trPr>
        <w:tc>
          <w:tcPr>
            <w:tcW w:w="6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Net Revenues </w:t>
            </w:r>
            <w:r>
              <w:rPr>
                <w:rFonts w:ascii="Times New Roman" w:cs="Times New Roman" w:eastAsia="Times New Roman" w:hAnsi="Times New Roman"/>
                <w:sz w:val="23"/>
                <w:szCs w:val="23"/>
                <w:color w:val="auto"/>
                <w:vertAlign w:val="superscript"/>
              </w:rPr>
              <w:t>(1)(2)</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430,136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440,638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412,648</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326,856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232,765</w:t>
            </w:r>
          </w:p>
        </w:tc>
        <w:tc>
          <w:tcPr>
            <w:tcW w:w="0" w:type="dxa"/>
            <w:vAlign w:val="bottom"/>
          </w:tcPr>
          <w:p>
            <w:pPr>
              <w:spacing w:after="0"/>
              <w:rPr>
                <w:sz w:val="1"/>
                <w:szCs w:val="1"/>
                <w:color w:val="auto"/>
              </w:rPr>
            </w:pPr>
          </w:p>
        </w:tc>
      </w:tr>
      <w:tr>
        <w:trPr>
          <w:trHeight w:val="223"/>
        </w:trPr>
        <w:tc>
          <w:tcPr>
            <w:tcW w:w="6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756,992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712,537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645,413</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Segment Operating Income (Loss) </w:t>
            </w:r>
            <w:r>
              <w:rPr>
                <w:rFonts w:ascii="Times New Roman" w:cs="Times New Roman" w:eastAsia="Times New Roman" w:hAnsi="Times New Roman"/>
                <w:sz w:val="22"/>
                <w:szCs w:val="22"/>
                <w:color w:val="auto"/>
                <w:vertAlign w:val="superscript"/>
              </w:rPr>
              <w:t>(1)(2)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20,234</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and Administrative Expenses </w:t>
            </w:r>
            <w:r>
              <w:rPr>
                <w:rFonts w:ascii="Times New Roman" w:cs="Times New Roman" w:eastAsia="Times New Roman" w:hAnsi="Times New Roman"/>
                <w:sz w:val="23"/>
                <w:szCs w:val="23"/>
                <w:color w:val="auto"/>
                <w:vertAlign w:val="superscript"/>
              </w:rPr>
              <w:t>(3)</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(28,982)</w:t>
            </w:r>
          </w:p>
        </w:tc>
        <w:tc>
          <w:tcPr>
            <w:tcW w:w="0" w:type="dxa"/>
            <w:vAlign w:val="bottom"/>
          </w:tcPr>
          <w:p>
            <w:pPr>
              <w:spacing w:after="0"/>
              <w:rPr>
                <w:sz w:val="1"/>
                <w:szCs w:val="1"/>
                <w:color w:val="auto"/>
              </w:rPr>
            </w:pPr>
          </w:p>
        </w:tc>
      </w:tr>
      <w:tr>
        <w:trPr>
          <w:trHeight w:val="223"/>
        </w:trPr>
        <w:tc>
          <w:tcPr>
            <w:tcW w:w="6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48,881</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 Expenses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14,331</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0" w:type="dxa"/>
            <w:vAlign w:val="bottom"/>
          </w:tcPr>
          <w:p>
            <w:pPr>
              <w:spacing w:after="0"/>
              <w:rPr>
                <w:sz w:val="1"/>
                <w:szCs w:val="1"/>
                <w:color w:val="auto"/>
              </w:rPr>
            </w:pPr>
          </w:p>
        </w:tc>
      </w:tr>
      <w:tr>
        <w:trPr>
          <w:trHeight w:val="23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19,134</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80" w:right="420" w:hanging="329"/>
        <w:spacing w:after="0" w:line="261" w:lineRule="auto"/>
        <w:tabs>
          <w:tab w:leader="none" w:pos="5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for 2023 include BLR’s results of operations which have been included in our consolidated statements of income since the date of acquisition of April 25, 2023, as part of the Structural Systems segment. See Note 2.</w:t>
      </w:r>
    </w:p>
    <w:p>
      <w:pPr>
        <w:ind w:left="580" w:right="140" w:hanging="329"/>
        <w:spacing w:after="0" w:line="260" w:lineRule="auto"/>
        <w:tabs>
          <w:tab w:leader="none" w:pos="5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for 2021 include MagSeal’s results of operations which have been included in our consolidated statements of income since the date of acquisition in December 2021 as part of the Structural Systems segment.</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 Includes costs not allocated to either the Electronic Systems or Structural Systems operating segments.</w:t>
      </w:r>
    </w:p>
    <w:p>
      <w:pPr>
        <w:spacing w:after="0" w:line="17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Segment assets include assets directly identifiable with each segment. Corporate assets include assets not specifically identified with a business segment, including cash. The following table summarizes our segment assets for 2023 and 2022:</w:t>
      </w:r>
    </w:p>
    <w:p>
      <w:pPr>
        <w:spacing w:after="0" w:line="1"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7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505,371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543,298</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Structural Systems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410,565</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Administration </w:t>
            </w:r>
            <w:r>
              <w:rPr>
                <w:rFonts w:ascii="Times New Roman" w:cs="Times New Roman" w:eastAsia="Times New Roman" w:hAnsi="Times New Roman"/>
                <w:sz w:val="23"/>
                <w:szCs w:val="23"/>
                <w:color w:val="auto"/>
                <w:vertAlign w:val="superscript"/>
              </w:rPr>
              <w:t>(2)</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67,643</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1,021,506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182,501</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148,107</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Goodwill and Intangibles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330,608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60" w:hanging="328"/>
        <w:spacing w:after="0" w:line="257"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25, 2023, we acquired 100.0% of the outstanding equity interests of BLR for an original purchase price of $115.0 million, net of cash acquired. We allocated the final gross purchase price of $117.0 million to the assets acquired and liabilities assumed at their estimated fair values. The excess of the purchase price over the aggregate fair values of the net assets was recorded as goodwill. See Note 2.</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VALUATION AND QUALIFYING ACCOUNTS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Balance at</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Charged to</w:t>
            </w: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(Reduction of)</w:t>
            </w: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Balance at End of</w:t>
            </w:r>
          </w:p>
        </w:tc>
        <w:tc>
          <w:tcPr>
            <w:tcW w:w="0" w:type="dxa"/>
            <w:vAlign w:val="bottom"/>
          </w:tcPr>
          <w:p>
            <w:pPr>
              <w:spacing w:after="0"/>
              <w:rPr>
                <w:sz w:val="1"/>
                <w:szCs w:val="1"/>
                <w:color w:val="auto"/>
              </w:rPr>
            </w:pPr>
          </w:p>
        </w:tc>
      </w:tr>
      <w:tr>
        <w:trPr>
          <w:trHeight w:val="144"/>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Description</w:t>
            </w: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Beginning</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Costs and</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Deductions/(Recoveries)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of Period</w:t>
            </w: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Expenses</w:t>
            </w:r>
          </w:p>
        </w:tc>
        <w:tc>
          <w:tcPr>
            <w:tcW w:w="1580" w:type="dxa"/>
            <w:vAlign w:val="bottom"/>
            <w:gridSpan w:val="3"/>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228"/>
        </w:trPr>
        <w:tc>
          <w:tcPr>
            <w:tcW w:w="4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BFE4FF"/>
          </w:tcPr>
          <w:p>
            <w:pPr>
              <w:spacing w:after="0"/>
              <w:rPr>
                <w:sz w:val="19"/>
                <w:szCs w:val="19"/>
                <w:color w:val="auto"/>
              </w:rPr>
            </w:pPr>
          </w:p>
        </w:tc>
        <w:tc>
          <w:tcPr>
            <w:tcW w:w="840" w:type="dxa"/>
            <w:vAlign w:val="bottom"/>
            <w:shd w:val="clear" w:color="auto" w:fill="BFE4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FE4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29"/>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0" w:type="dxa"/>
            <w:vAlign w:val="bottom"/>
          </w:tcPr>
          <w:p>
            <w:pPr>
              <w:spacing w:after="0"/>
              <w:rPr>
                <w:sz w:val="1"/>
                <w:szCs w:val="1"/>
                <w:color w:val="auto"/>
              </w:rPr>
            </w:pPr>
          </w:p>
        </w:tc>
      </w:tr>
      <w:tr>
        <w:trPr>
          <w:trHeight w:val="229"/>
        </w:trPr>
        <w:tc>
          <w:tcPr>
            <w:tcW w:w="46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84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FE4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FE4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BFE4FF"/>
          </w:tcPr>
          <w:p>
            <w:pPr>
              <w:spacing w:after="0"/>
              <w:rPr>
                <w:sz w:val="19"/>
                <w:szCs w:val="19"/>
                <w:color w:val="auto"/>
              </w:rPr>
            </w:pPr>
          </w:p>
        </w:tc>
        <w:tc>
          <w:tcPr>
            <w:tcW w:w="840" w:type="dxa"/>
            <w:vAlign w:val="bottom"/>
            <w:shd w:val="clear" w:color="auto" w:fill="BFE4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FE4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34"/>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balance of BLR Aerospace L.L.C. acquired on April 25, 2023 was zero.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79" w:lineRule="exact"/>
        <w:rPr>
          <w:sz w:val="20"/>
          <w:szCs w:val="20"/>
          <w:color w:val="auto"/>
        </w:rPr>
      </w:pPr>
    </w:p>
    <w:p>
      <w:pPr>
        <w:ind w:left="340" w:right="20" w:hanging="323"/>
        <w:spacing w:after="0" w:line="282"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2.1 Agreement and Plan of Merger, dated as of September 11, 2017, among Ducommun LaBarge Technologies, Inc., LS Holdings Company LLC, and DLS</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Company LLC. Incorporated by reference to Exhibit 2.1 to Form 8-K filed on September 11, 2017.</w:t>
        </w:r>
      </w:hyperlink>
    </w:p>
    <w:p>
      <w:pPr>
        <w:spacing w:after="0" w:line="54" w:lineRule="exact"/>
        <w:rPr>
          <w:sz w:val="20"/>
          <w:szCs w:val="20"/>
          <w:color w:val="auto"/>
        </w:rPr>
      </w:pPr>
    </w:p>
    <w:p>
      <w:pPr>
        <w:ind w:left="340" w:right="20" w:hanging="323"/>
        <w:spacing w:after="0" w:line="282"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2.2 Agreement and Plan of Merger, dated as of October 8, 2019, among Ducommun LaBarge Technologies, Inc., DLT Acquisition, Inc., Nobles Parent Inc.,</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and the Stockholder Representative. Incorporated by reference to Exhibit 2.1 to Form 8-K filed on October 9, 2019.</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2.3 Equity Purchase Agreement dated December 15, 2021, by and between Ducommun LaBarge Technologies, Inc., Mag Parent, Inc. and Thomas B.</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Colby and Lyman J. Colby. Incorporated by reference to Exhibit 2.1 to Form 8-K filed on December 16, 2021.</w:t>
        </w:r>
      </w:hyperlink>
    </w:p>
    <w:p>
      <w:pPr>
        <w:spacing w:after="0" w:line="99" w:lineRule="exact"/>
        <w:rPr>
          <w:sz w:val="20"/>
          <w:szCs w:val="20"/>
          <w:color w:val="auto"/>
        </w:rPr>
      </w:pPr>
    </w:p>
    <w:p>
      <w:pPr>
        <w:ind w:left="340" w:hanging="323"/>
        <w:spacing w:after="0" w:line="266"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2.4 Securities Purchase Agreement dated March 20, 2023, by and between Ducommun LaBarge Technologies, Inc., Ducommun Incorporated, solely for the</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purposes of Section 7.07, BLR, L.L.C., Crescent Capital Aerospace, L.L.C. and Michael Carpenter. Incorporated by reference to Exhibit 2.1 to Form</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8-K filed on March 21, 2023.</w:t>
        </w:r>
      </w:hyperlink>
    </w:p>
    <w:p>
      <w:pPr>
        <w:spacing w:after="0" w:line="54" w:lineRule="exact"/>
        <w:rPr>
          <w:rFonts w:ascii="Times New Roman" w:cs="Times New Roman" w:eastAsia="Times New Roman" w:hAnsi="Times New Roman"/>
          <w:sz w:val="18"/>
          <w:szCs w:val="18"/>
          <w:u w:val="single" w:color="auto"/>
          <w:color w:val="0000FF"/>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Restated Certificate of Incorporation filed with the Delaware Secretary of State on May 29, 1990. Incorporated by reference to Exhibit 3.1 to Form</w:t>
      </w:r>
    </w:p>
    <w:p>
      <w:pPr>
        <w:spacing w:after="0" w:line="27" w:lineRule="exact"/>
        <w:rPr>
          <w:rFonts w:ascii="Times New Roman" w:cs="Times New Roman" w:eastAsia="Times New Roman" w:hAnsi="Times New Roman"/>
          <w:sz w:val="18"/>
          <w:szCs w:val="18"/>
          <w:u w:val="single" w:color="auto"/>
          <w:color w:val="0000FF"/>
        </w:rPr>
      </w:pPr>
    </w:p>
    <w:p>
      <w:pPr>
        <w:ind w:left="340"/>
        <w:spacing w:after="0"/>
        <w:rPr>
          <w:sz w:val="20"/>
          <w:szCs w:val="20"/>
          <w:color w:val="auto"/>
        </w:rPr>
      </w:pPr>
      <w:r>
        <w:rPr>
          <w:rFonts w:ascii="Times New Roman" w:cs="Times New Roman" w:eastAsia="Times New Roman" w:hAnsi="Times New Roman"/>
          <w:sz w:val="18"/>
          <w:szCs w:val="18"/>
          <w:color w:val="auto"/>
        </w:rPr>
        <w:t>10-K for the year ended December 31, 1990.</w:t>
      </w:r>
    </w:p>
    <w:p>
      <w:pPr>
        <w:spacing w:after="0" w:line="72" w:lineRule="exact"/>
        <w:rPr>
          <w:rFonts w:ascii="Times New Roman" w:cs="Times New Roman" w:eastAsia="Times New Roman" w:hAnsi="Times New Roman"/>
          <w:sz w:val="18"/>
          <w:szCs w:val="18"/>
          <w:u w:val="single" w:color="auto"/>
          <w:color w:val="0000FF"/>
        </w:rPr>
      </w:pPr>
    </w:p>
    <w:p>
      <w:pPr>
        <w:ind w:left="340" w:right="380" w:hanging="323"/>
        <w:spacing w:after="0" w:line="282"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3.2 Certificate of Amendment of Certificate of Incorporation filed with the Delaware Secretary of State on May 27, 1998. Incorporated by reference to</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Exhibit 3.2 to Form 10-K for the year ended December 31, 1998.</w:t>
        </w:r>
      </w:hyperlink>
    </w:p>
    <w:p>
      <w:pPr>
        <w:spacing w:after="0" w:line="54" w:lineRule="exact"/>
        <w:rPr>
          <w:sz w:val="20"/>
          <w:szCs w:val="20"/>
          <w:color w:val="auto"/>
        </w:rPr>
      </w:pPr>
    </w:p>
    <w:p>
      <w:pPr>
        <w:ind w:left="340" w:right="120" w:hanging="323"/>
        <w:spacing w:after="0" w:line="282"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3.3 Amended and Restated Bylaws of Ducommun Incorporated, dated as of November 4, 2022. Incorporated by reference to Exhibit 3.3 to Form 10-K for</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the year ended December 31, 2022.</w:t>
        </w:r>
      </w:hyperlink>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4.1 Description of Ducommun Incorporated Securities Registered under Section 12 of the Exchange Act.</w:t>
      </w:r>
    </w:p>
    <w:p>
      <w:pPr>
        <w:spacing w:after="0" w:line="104" w:lineRule="exact"/>
        <w:rPr>
          <w:sz w:val="20"/>
          <w:szCs w:val="20"/>
          <w:color w:val="auto"/>
        </w:rPr>
      </w:pPr>
    </w:p>
    <w:p>
      <w:pPr>
        <w:ind w:left="420" w:right="200" w:hanging="404"/>
        <w:spacing w:after="0" w:line="266"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10.1 Credit Agreement, dated as of July 14, 2022, by and among Ducommun Incorporated, as Borrower, the subsidiaries of the Borrower party thereto as</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Guarantors, Bank of America, N.A., as Administrative Agent, Swingline Lender and an L/C Issuer, and the lender party thereto. Incorporated by</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reference to Exhibit 10.1 to Form 8-K filed on July 18, 2022.</w:t>
        </w:r>
      </w:hyperlink>
    </w:p>
    <w:p>
      <w:pPr>
        <w:spacing w:after="0" w:line="41" w:lineRule="exact"/>
        <w:rPr>
          <w:rFonts w:ascii="Times New Roman" w:cs="Times New Roman" w:eastAsia="Times New Roman" w:hAnsi="Times New Roman"/>
          <w:sz w:val="18"/>
          <w:szCs w:val="18"/>
          <w:u w:val="single" w:color="auto"/>
          <w:color w:val="0000FF"/>
        </w:rPr>
      </w:pPr>
    </w:p>
    <w:p>
      <w:pPr>
        <w:ind w:left="500" w:right="600" w:hanging="485"/>
        <w:spacing w:after="0" w:line="282"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*10.2 2013 Stock Incentive Plan (Amended and Restated May 2, 2018). Incorporated by reference to Appendix A of Definitive Proxy Statement on</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Schedule 14a, filed on March 23, 2018.</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*10.3 Amended and Restated 2020 Stock Incentive Plan. Incorporated by reference to Exhibit 10.1 to Form 8-K filed on April 20, 2022.</w:t>
        </w:r>
      </w:hyperlink>
    </w:p>
    <w:p>
      <w:pPr>
        <w:spacing w:after="0" w:line="10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*10.4 2018 Employee Stock Purchase Plan. Incorporated by reference to Appendix B of Definitive Proxy Statement on Schedule 14a, filed on March 23,</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2018.</w:t>
        </w:r>
      </w:hyperlink>
    </w:p>
    <w:p>
      <w:pPr>
        <w:spacing w:after="0" w:line="7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*10.5 2020 Employee Stock Incentive Plan. Incorporated by reference to Appendix A of Definitive Proxy Statement on Schedule 14a, filed on March 20,</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2020.</w:t>
        </w:r>
      </w:hyperlink>
    </w:p>
    <w:p>
      <w:pPr>
        <w:spacing w:after="0" w:line="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*10.6 Form of Stock Option Agreement for 2016 and earlier. Incorporated by reference to Exhibit 10.8 to Form 10-K for the year ended December 31,</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2003.</w:t>
        </w:r>
      </w:hyperlink>
    </w:p>
    <w:p>
      <w:pPr>
        <w:spacing w:after="0" w:line="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*10.7 Form of Stock Option Agreement for 2017. Incorporated by reference to Exhibit 10.5 to Form 10-K for the year ended December 31, 2016.</w:t>
        </w:r>
      </w:hyperlink>
    </w:p>
    <w:p>
      <w:pPr>
        <w:spacing w:after="0" w:line="9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*10.8 Form of Stock Option Agreement for 2018 and after. Incorporated by reference to Exhibit 4.7 to Form S-8, filed on May 10, 2018.</w:t>
        </w:r>
      </w:hyperlink>
    </w:p>
    <w:p>
      <w:pPr>
        <w:spacing w:after="0" w:line="104" w:lineRule="exact"/>
        <w:rPr>
          <w:sz w:val="20"/>
          <w:szCs w:val="20"/>
          <w:color w:val="auto"/>
        </w:rPr>
      </w:pPr>
    </w:p>
    <w:p>
      <w:pPr>
        <w:ind w:left="500" w:right="640" w:hanging="485"/>
        <w:spacing w:after="0" w:line="282"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*10.9 Form of Restricted Stock Unit Agreement for 2017 through 2019. Incorporated by reference to Exhibit 10.9 to Form 10-K for the year ended</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December 31, 2016.</w:t>
        </w:r>
      </w:hyperlink>
    </w:p>
    <w:p>
      <w:pPr>
        <w:spacing w:after="0" w:line="40" w:lineRule="exact"/>
        <w:rPr>
          <w:sz w:val="20"/>
          <w:szCs w:val="20"/>
          <w:color w:val="auto"/>
        </w:rPr>
      </w:pPr>
    </w:p>
    <w:p>
      <w:pPr>
        <w:ind w:left="420" w:right="140" w:hanging="404"/>
        <w:spacing w:after="0" w:line="282"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*10.10 Performance Restricted Stock Unit Agreement dated January 23, 2017 between Ducommun Incorporated and Stephen G. Oswald. Incorporated by</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reference to Exhibit 10.11 to Form 10-K for the year ended December 31, 2016.</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*10.11 Form of Performance Stock Unit Agreement for 2020 and after. Incorporated by reference to Exhibit 10.18 to Form 10-Q for the period ended June</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27, 2020.</w:t>
        </w:r>
      </w:hyperlink>
    </w:p>
    <w:p>
      <w:pPr>
        <w:spacing w:after="0" w:line="85" w:lineRule="exact"/>
        <w:rPr>
          <w:sz w:val="20"/>
          <w:szCs w:val="20"/>
          <w:color w:val="auto"/>
        </w:rPr>
      </w:pPr>
    </w:p>
    <w:p>
      <w:pPr>
        <w:ind w:left="580" w:right="20" w:hanging="566"/>
        <w:spacing w:after="0" w:line="282"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*10.12 Form of Restricted Stock Unit Agreement for Non-Qualified Deferred Compensation Plan Participants for 2020 and after. Incorporated by reference</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to Exhibit 10.19 to Form 10-Q for the period ended June 27, 2020.</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52"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26">
        <w:r>
          <w:rPr>
            <w:rFonts w:ascii="Times New Roman" w:cs="Times New Roman" w:eastAsia="Times New Roman" w:hAnsi="Times New Roman"/>
            <w:sz w:val="17"/>
            <w:szCs w:val="17"/>
            <w:u w:val="single" w:color="auto"/>
            <w:color w:val="0000FF"/>
          </w:rPr>
          <w:t>*10.13 Form of Restricted Stock Unit Agreement for 2020 and after. Incorporated by reference to Exhibit 10.20 to Form 10-Q for the period ended June 27,</w:t>
        </w:r>
      </w:hyperlink>
    </w:p>
    <w:p>
      <w:pPr>
        <w:spacing w:after="0" w:line="39"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2020.</w:t>
        </w:r>
      </w:hyperlink>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*10.14 Form of Stock Option Agreement for 2020 and after. Incorporated by reference to Exhibit 10.21 to Form 10-Q for the period ended June 27, 2020.</w:t>
        </w:r>
      </w:hyperlink>
    </w:p>
    <w:p>
      <w:pPr>
        <w:spacing w:after="0" w:line="104" w:lineRule="exact"/>
        <w:rPr>
          <w:sz w:val="20"/>
          <w:szCs w:val="20"/>
          <w:color w:val="auto"/>
        </w:rPr>
      </w:pPr>
    </w:p>
    <w:p>
      <w:pPr>
        <w:ind w:left="580" w:right="360" w:hanging="566"/>
        <w:spacing w:after="0" w:line="282"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*10.15 Form of Performance Restricted Stock Unit Agreement for 2020. Incorporated by reference to Exhibit 10.22 to Form 10-Q for the period ended</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June 27, 2020.</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*10.16 Form of Performance Stock Unit Cash-Based Long-Term Incentive Award Agreement for 2022 and after. Incorporated by reference to Exhibit</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10.20 to Form 10-Q for the period ended July 2, 2022.</w:t>
        </w:r>
      </w:hyperlink>
    </w:p>
    <w:p>
      <w:pPr>
        <w:spacing w:after="0" w:line="72" w:lineRule="exact"/>
        <w:rPr>
          <w:sz w:val="20"/>
          <w:szCs w:val="20"/>
          <w:color w:val="auto"/>
        </w:rPr>
      </w:pPr>
    </w:p>
    <w:p>
      <w:pPr>
        <w:ind w:left="580" w:right="240" w:hanging="566"/>
        <w:spacing w:after="0" w:line="282"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*10.17 Form of Performance Restricted Stock Unit Cash-Based Long-Term Incentive Award Agreement for 2022 and after. Incorporated by reference to</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Exhibit 10.21 to Form 10-Q for the period ended July 2, 2022.</w:t>
        </w:r>
      </w:hyperlink>
    </w:p>
    <w:p>
      <w:pPr>
        <w:spacing w:after="0" w:line="40" w:lineRule="exact"/>
        <w:rPr>
          <w:sz w:val="20"/>
          <w:szCs w:val="20"/>
          <w:color w:val="auto"/>
        </w:rPr>
      </w:pPr>
    </w:p>
    <w:p>
      <w:pPr>
        <w:ind w:left="580" w:right="420" w:hanging="566"/>
        <w:spacing w:after="0" w:line="282"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*10.18 Form of Performance Stock Unit Award Agreement for 2023 and after. Incorporated by reference to Exhibit 10.18 to Form 10-Q for the period</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ended April 1, 2023.</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*10.19 Form of Performance Stock Unit Cash-Based Long-Term Incentive Award Agreement for 2023 and after. Incorporated by reference to Exhibit</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10.19 to Form 10-Q for the period ended April 1, 2023.</w:t>
        </w:r>
      </w:hyperlink>
    </w:p>
    <w:p>
      <w:pPr>
        <w:spacing w:after="0" w:line="99" w:lineRule="exact"/>
        <w:rPr>
          <w:sz w:val="20"/>
          <w:szCs w:val="20"/>
          <w:color w:val="auto"/>
        </w:rPr>
      </w:pPr>
    </w:p>
    <w:p>
      <w:pPr>
        <w:ind w:left="580" w:right="220" w:hanging="566"/>
        <w:spacing w:after="0" w:line="282"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*10.20 Directors’ Deferred Compensation and Retirement Plan, as amended and restated February 2, 2010. Incorporated by reference to Exhibit 10.15 to</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Form 10-K for the year ended December 31, 2009.</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*10.21 Non Qualified Deferred Compensation. Incorporated by reference to Exhibit 4.6 to Form S-8 dated November 26, 2019.</w:t>
        </w:r>
      </w:hyperlink>
    </w:p>
    <w:p>
      <w:pPr>
        <w:spacing w:after="0" w:line="104" w:lineRule="exact"/>
        <w:rPr>
          <w:sz w:val="20"/>
          <w:szCs w:val="20"/>
          <w:color w:val="auto"/>
        </w:rPr>
      </w:pPr>
    </w:p>
    <w:p>
      <w:pPr>
        <w:ind w:left="580" w:right="100" w:hanging="566"/>
        <w:spacing w:after="0" w:line="282"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*10.22 Key Executive Severance Agreement between Ducommun Incorporated and Stephen G. Oswald dated January 23, 2017. Incorporated by reference</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to Exhibit 99.1 to Form 8-K dated January 27, 2017.</w:t>
        </w:r>
      </w:hyperlink>
    </w:p>
    <w:p>
      <w:pPr>
        <w:spacing w:after="0" w:line="40" w:lineRule="exact"/>
        <w:rPr>
          <w:sz w:val="20"/>
          <w:szCs w:val="20"/>
          <w:color w:val="auto"/>
        </w:rPr>
      </w:pPr>
    </w:p>
    <w:p>
      <w:pPr>
        <w:ind w:left="580" w:right="20" w:hanging="566"/>
        <w:spacing w:after="0" w:line="266"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*10.23 Form of Key Executive Severance Agreement between Ducommun Incorporated and each of the individuals listed below. Incorporated by reference</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to Exhibit 99.2 to Form 8-K dated January 27, 2017. All of the Key Executive Severance Agreements are identical except for the name of the</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person, the address for notice, and the date of the Agreement:</w:t>
        </w:r>
      </w:hyperlink>
    </w:p>
    <w:p>
      <w:pPr>
        <w:spacing w:after="0" w:line="68" w:lineRule="exact"/>
        <w:rPr>
          <w:rFonts w:ascii="Times New Roman" w:cs="Times New Roman" w:eastAsia="Times New Roman" w:hAnsi="Times New Roman"/>
          <w:sz w:val="18"/>
          <w:szCs w:val="18"/>
          <w:u w:val="single" w:color="auto"/>
          <w:color w:val="0000FF"/>
        </w:rPr>
      </w:pPr>
    </w:p>
    <w:tbl>
      <w:tblPr>
        <w:tblLayout w:type="fixed"/>
        <w:tblInd w:w="184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Agreement</w:t>
            </w:r>
          </w:p>
        </w:tc>
      </w:tr>
      <w:tr>
        <w:trPr>
          <w:trHeight w:val="20"/>
        </w:trPr>
        <w:tc>
          <w:tcPr>
            <w:tcW w:w="12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Laureen S. Gonzalez</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September 20, 2022</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Suman B. Mookerji</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 2018</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Jerry L. Redondo</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Rajiv A. Tata</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24, 2020</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D. Wampler</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23, 2017</w:t>
            </w:r>
          </w:p>
        </w:tc>
      </w:tr>
    </w:tbl>
    <w:p>
      <w:pPr>
        <w:spacing w:after="0" w:line="252" w:lineRule="exact"/>
        <w:rPr>
          <w:rFonts w:ascii="Times New Roman" w:cs="Times New Roman" w:eastAsia="Times New Roman" w:hAnsi="Times New Roman"/>
          <w:sz w:val="18"/>
          <w:szCs w:val="18"/>
          <w:u w:val="single" w:color="auto"/>
          <w:color w:val="0000FF"/>
        </w:rPr>
      </w:pPr>
    </w:p>
    <w:p>
      <w:pPr>
        <w:ind w:left="580" w:right="440" w:hanging="566"/>
        <w:spacing w:after="0" w:line="282"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*10.24 Employment Letter Agreement dated January 3, 2017 between Ducommun Incorporated and Stephen G. Oswald. Incorporated by reference to</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Exhibit 99.1 to Form 8-K dated January 9, 2017.</w:t>
        </w:r>
      </w:hyperlink>
    </w:p>
    <w:p>
      <w:pPr>
        <w:spacing w:after="0" w:line="40" w:lineRule="exact"/>
        <w:rPr>
          <w:sz w:val="20"/>
          <w:szCs w:val="20"/>
          <w:color w:val="auto"/>
        </w:rPr>
      </w:pPr>
    </w:p>
    <w:p>
      <w:pPr>
        <w:ind w:left="580" w:right="160" w:hanging="566"/>
        <w:spacing w:after="0" w:line="282"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*10.25 Retirement and Release Agreement dated November 29, 2021 between Ducommun Incorporated and Rosalie F. Rogers. Incorporated by reference</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to Exhibit 10.24 to Form 10-K for the year ended December 31, 2021.</w:t>
        </w:r>
      </w:hyperlink>
    </w:p>
    <w:p>
      <w:pPr>
        <w:spacing w:after="0" w:line="40" w:lineRule="exact"/>
        <w:rPr>
          <w:sz w:val="20"/>
          <w:szCs w:val="20"/>
          <w:color w:val="auto"/>
        </w:rPr>
      </w:pPr>
    </w:p>
    <w:p>
      <w:pPr>
        <w:ind w:left="580" w:right="20" w:hanging="566"/>
        <w:spacing w:after="0" w:line="282"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*10.26 Transition Services and Separation Agreement dated May 31, 2023 between Ducommun Incorporated and Christopher D. Wampler. Incorporated by</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reference to Exhibit 10.01 to Form 8-K dated June 2, 2023.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52" w:lineRule="exact"/>
        <w:rPr>
          <w:sz w:val="20"/>
          <w:szCs w:val="20"/>
          <w:color w:val="auto"/>
        </w:rPr>
      </w:pPr>
    </w:p>
    <w:p>
      <w:pPr>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10.27</w:t>
        <w:tab/>
        <w:t>Form of Indemnity Agreement entered with all directors and officers of Ducommun. Incorporated by reference to Exhibit 10.8 to Form 10-K for the year ended December 31, 1990. All of the Indemnity Agreements are identical except for the name of the director or officer and the date of the Agreement: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Director/Officer</w:t>
            </w:r>
          </w:p>
        </w:tc>
        <w:tc>
          <w:tcPr>
            <w:tcW w:w="238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Agreement</w:t>
            </w:r>
          </w:p>
        </w:tc>
      </w:tr>
      <w:tr>
        <w:trPr>
          <w:trHeight w:val="20"/>
        </w:trPr>
        <w:tc>
          <w:tcPr>
            <w:tcW w:w="1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1800" w:type="dxa"/>
            <w:vAlign w:val="bottom"/>
          </w:tcPr>
          <w:p>
            <w:pPr>
              <w:spacing w:after="0"/>
              <w:rPr>
                <w:sz w:val="21"/>
                <w:szCs w:val="21"/>
                <w:color w:val="auto"/>
              </w:rPr>
            </w:pPr>
          </w:p>
        </w:tc>
        <w:tc>
          <w:tcPr>
            <w:tcW w:w="3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Richard A. Baldridge</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March 19, 2013</w:t>
            </w:r>
          </w:p>
        </w:tc>
      </w:tr>
      <w:tr>
        <w:trPr>
          <w:trHeight w:val="230"/>
        </w:trPr>
        <w:tc>
          <w:tcPr>
            <w:tcW w:w="180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David B. Carter</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February 1, 2024</w:t>
            </w:r>
          </w:p>
        </w:tc>
      </w:tr>
      <w:tr>
        <w:trPr>
          <w:trHeight w:val="229"/>
        </w:trPr>
        <w:tc>
          <w:tcPr>
            <w:tcW w:w="180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Shirley G. Drazba</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October 18, 2018</w:t>
            </w:r>
          </w:p>
        </w:tc>
      </w:tr>
      <w:tr>
        <w:trPr>
          <w:trHeight w:val="230"/>
        </w:trPr>
        <w:tc>
          <w:tcPr>
            <w:tcW w:w="180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Robert C. Ducommun</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December 31, 1985</w:t>
            </w:r>
          </w:p>
        </w:tc>
      </w:tr>
      <w:tr>
        <w:trPr>
          <w:trHeight w:val="229"/>
        </w:trPr>
        <w:tc>
          <w:tcPr>
            <w:tcW w:w="180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Dean M. Flatt</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November 5, 2009</w:t>
            </w:r>
          </w:p>
        </w:tc>
      </w:tr>
      <w:tr>
        <w:trPr>
          <w:trHeight w:val="229"/>
        </w:trPr>
        <w:tc>
          <w:tcPr>
            <w:tcW w:w="180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Laureen S. Gonzalez</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September 20, 2022</w:t>
            </w:r>
          </w:p>
        </w:tc>
      </w:tr>
      <w:tr>
        <w:trPr>
          <w:trHeight w:val="230"/>
        </w:trPr>
        <w:tc>
          <w:tcPr>
            <w:tcW w:w="180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Jay L. Haberland</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February 2, 2009</w:t>
            </w:r>
          </w:p>
        </w:tc>
      </w:tr>
      <w:tr>
        <w:trPr>
          <w:trHeight w:val="229"/>
        </w:trPr>
        <w:tc>
          <w:tcPr>
            <w:tcW w:w="180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Sheila G. Kramer</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June 1, 2021</w:t>
            </w:r>
          </w:p>
        </w:tc>
      </w:tr>
      <w:tr>
        <w:trPr>
          <w:trHeight w:val="229"/>
        </w:trPr>
        <w:tc>
          <w:tcPr>
            <w:tcW w:w="180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Suman B. Mookerji</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April 27, 2023</w:t>
            </w:r>
          </w:p>
        </w:tc>
      </w:tr>
      <w:tr>
        <w:trPr>
          <w:trHeight w:val="230"/>
        </w:trPr>
        <w:tc>
          <w:tcPr>
            <w:tcW w:w="180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Stephen G. Oswald</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29"/>
        </w:trPr>
        <w:tc>
          <w:tcPr>
            <w:tcW w:w="180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Jerry L. Redondo</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October 1, 2015</w:t>
            </w:r>
          </w:p>
        </w:tc>
      </w:tr>
      <w:tr>
        <w:trPr>
          <w:trHeight w:val="230"/>
        </w:trPr>
        <w:tc>
          <w:tcPr>
            <w:tcW w:w="180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Samara A. Strycker</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December 30, 2021</w:t>
            </w:r>
          </w:p>
        </w:tc>
      </w:tr>
      <w:tr>
        <w:trPr>
          <w:trHeight w:val="229"/>
        </w:trPr>
        <w:tc>
          <w:tcPr>
            <w:tcW w:w="180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Rajiv A. Tata</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January 24, 2020</w:t>
            </w:r>
          </w:p>
        </w:tc>
      </w:tr>
      <w:tr>
        <w:trPr>
          <w:trHeight w:val="234"/>
        </w:trPr>
        <w:tc>
          <w:tcPr>
            <w:tcW w:w="1800" w:type="dxa"/>
            <w:vAlign w:val="bottom"/>
          </w:tcPr>
          <w:p>
            <w:pPr>
              <w:spacing w:after="0"/>
              <w:rPr>
                <w:sz w:val="20"/>
                <w:szCs w:val="20"/>
                <w:color w:val="auto"/>
              </w:rPr>
            </w:pPr>
          </w:p>
        </w:tc>
        <w:tc>
          <w:tcPr>
            <w:tcW w:w="3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Christopher D. Wampler</w:t>
            </w:r>
          </w:p>
        </w:tc>
        <w:tc>
          <w:tcPr>
            <w:tcW w:w="2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January 1, 2016</w:t>
            </w:r>
          </w:p>
        </w:tc>
      </w:tr>
      <w:tr>
        <w:trPr>
          <w:trHeight w:val="446"/>
        </w:trPr>
        <w:tc>
          <w:tcPr>
            <w:tcW w:w="2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19.</w:t>
            </w:r>
            <w:r>
              <w:rPr>
                <w:rFonts w:ascii="Times New Roman" w:cs="Times New Roman" w:eastAsia="Times New Roman" w:hAnsi="Times New Roman"/>
                <w:sz w:val="18"/>
                <w:szCs w:val="18"/>
                <w:u w:val="single" w:color="auto"/>
                <w:color w:val="0000FF"/>
                <w:w w:val="98"/>
              </w:rPr>
              <w:t>1</w:t>
            </w:r>
            <w:r>
              <w:rPr>
                <w:rFonts w:ascii="Times New Roman" w:cs="Times New Roman" w:eastAsia="Times New Roman" w:hAnsi="Times New Roman"/>
                <w:sz w:val="18"/>
                <w:szCs w:val="18"/>
                <w:color w:val="0000FF"/>
                <w:w w:val="98"/>
              </w:rPr>
              <w:t xml:space="preserve"> Insider Trading Policy.</w:t>
            </w:r>
          </w:p>
        </w:tc>
        <w:tc>
          <w:tcPr>
            <w:tcW w:w="334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0"/>
        </w:trPr>
        <w:tc>
          <w:tcPr>
            <w:tcW w:w="53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21 Subsidiaries of the registrant.</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340" w:type="dxa"/>
            <w:vAlign w:val="bottom"/>
            <w:gridSpan w:val="3"/>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4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23 Consent of Independent Registered Public Accounting Firm.</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53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Certification of Principal Executive Officer.</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0"/>
        </w:trPr>
        <w:tc>
          <w:tcPr>
            <w:tcW w:w="34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31.</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Certification of Principal Financial Officer.</w:t>
            </w:r>
          </w:p>
        </w:tc>
        <w:tc>
          <w:tcPr>
            <w:tcW w:w="40" w:type="dxa"/>
            <w:vAlign w:val="bottom"/>
            <w:tcBorders>
              <w:top w:val="single" w:sz="8" w:color="0000FF"/>
            </w:tcBorders>
          </w:tcPr>
          <w:p>
            <w:pPr>
              <w:spacing w:after="0"/>
              <w:rPr>
                <w:sz w:val="24"/>
                <w:szCs w:val="24"/>
                <w:color w:val="auto"/>
              </w:rPr>
            </w:pPr>
          </w:p>
        </w:tc>
        <w:tc>
          <w:tcPr>
            <w:tcW w:w="184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 Certification Pursuant to 18 U.S.C. Section 1350, as Adopted Pursuant to Section 906 of the Sarbanes-Oxley Act of 2002.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97.1 Clawback Policy.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740" w:type="dxa"/>
            <w:vAlign w:val="bottom"/>
          </w:tcPr>
          <w:p>
            <w:pPr>
              <w:spacing w:after="0"/>
              <w:rPr>
                <w:sz w:val="20"/>
                <w:szCs w:val="20"/>
                <w:color w:val="auto"/>
              </w:rPr>
            </w:pPr>
          </w:p>
        </w:tc>
        <w:tc>
          <w:tcPr>
            <w:tcW w:w="10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within the Inline XBRL</w:t>
            </w:r>
          </w:p>
        </w:tc>
      </w:tr>
      <w:tr>
        <w:trPr>
          <w:trHeight w:val="3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9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3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3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9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right="8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INCORPORATED</w:t>
            </w:r>
          </w:p>
        </w:tc>
      </w:tr>
      <w:tr>
        <w:trPr>
          <w:trHeight w:val="28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37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34"/>
        </w:trPr>
        <w:tc>
          <w:tcPr>
            <w:tcW w:w="3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238" w:lineRule="exact"/>
        <w:rPr>
          <w:sz w:val="20"/>
          <w:szCs w:val="20"/>
          <w:color w:val="auto"/>
        </w:rPr>
      </w:pPr>
    </w:p>
    <w:p>
      <w:pPr>
        <w:ind w:right="240" w:firstLine="445"/>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duly signed below by the following persons on behalf of the registrant and in the capacities indicated on February 22, 2024.</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740" w:type="dxa"/>
            <w:vAlign w:val="bottom"/>
          </w:tcPr>
          <w:p>
            <w:pPr>
              <w:spacing w:after="0"/>
              <w:rPr>
                <w:sz w:val="20"/>
                <w:szCs w:val="20"/>
                <w:color w:val="auto"/>
              </w:rPr>
            </w:pPr>
          </w:p>
        </w:tc>
        <w:tc>
          <w:tcPr>
            <w:tcW w:w="530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79"/>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c>
          <w:tcPr>
            <w:tcW w:w="7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Suman B. Mookerji</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Suman B. Mookerji</w:t>
            </w:r>
          </w:p>
        </w:tc>
        <w:tc>
          <w:tcPr>
            <w:tcW w:w="7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A. Baldridge</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A. Baldridge</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B. Carter</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B. Carter</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Shirley G. Drazba</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Shirley G. Drazba</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C. Ducommun</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C. Ducommun</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Dean M. Flatt</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Dean M. Flatt</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Haberland</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Haberland</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Sheila G. Kramer</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Sheila G. Kramer</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Samara A. Strycker</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Samara A. Strycker</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17" w:right="339" w:bottom="1440" w:gutter="0" w:footer="0" w:header="0"/>
        </w:sectPr>
      </w:pPr>
    </w:p>
    <w:bookmarkStart w:id="87" w:name="page88"/>
    <w:bookmarkEnd w:id="87"/>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4.1</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DESCRIPTION OF THE REGISTRANT’S SECURITIES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REGISTERED PURSUANT TO SECTION 12 OF THE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ACT OF 1934</w:t>
      </w:r>
    </w:p>
    <w:p>
      <w:pPr>
        <w:spacing w:after="0" w:line="75"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8"/>
          <w:szCs w:val="18"/>
          <w:i w:val="1"/>
          <w:iCs w:val="1"/>
          <w:color w:val="auto"/>
        </w:rPr>
        <w:t>The following summary of Ducommun’s common stock is based on and qualified by the Company’s Amended Certificate of Incorporation. For a complete description of the terms and provisions of the Company’s equity securities, including its common stock, please refer to the Company’s Amended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i w:val="1"/>
          <w:iCs w:val="1"/>
          <w:color w:val="auto"/>
        </w:rPr>
        <w:t>”) and Amended and Restated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i w:val="1"/>
          <w:iCs w:val="1"/>
          <w:color w:val="auto"/>
        </w:rPr>
        <w:t>”), which are filed as Exhibits 3.1, 3.2 and, 3.3to our Annual Report on Form 10-K for the year ended December 31, 2023, of which this Exhibit 4.1 is a part. References to “</w:t>
      </w:r>
      <w:r>
        <w:rPr>
          <w:rFonts w:ascii="Times New Roman" w:cs="Times New Roman" w:eastAsia="Times New Roman" w:hAnsi="Times New Roman"/>
          <w:sz w:val="18"/>
          <w:szCs w:val="18"/>
          <w:b w:val="1"/>
          <w:bCs w:val="1"/>
          <w:i w:val="1"/>
          <w:iCs w:val="1"/>
          <w:color w:val="auto"/>
        </w:rPr>
        <w:t>Ducommun</w:t>
      </w:r>
      <w:r>
        <w:rPr>
          <w:rFonts w:ascii="Times New Roman" w:cs="Times New Roman" w:eastAsia="Times New Roman" w:hAnsi="Times New Roman"/>
          <w:sz w:val="18"/>
          <w:szCs w:val="18"/>
          <w:i w:val="1"/>
          <w:iCs w:val="1"/>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herein are only to Ducommun Incorporated and not to any of its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Stock</w:t>
      </w:r>
    </w:p>
    <w:p>
      <w:pPr>
        <w:spacing w:after="0" w:line="193" w:lineRule="exact"/>
        <w:rPr>
          <w:sz w:val="20"/>
          <w:szCs w:val="20"/>
          <w:color w:val="auto"/>
        </w:rPr>
      </w:pPr>
    </w:p>
    <w:p>
      <w:pPr>
        <w:ind w:right="240"/>
        <w:spacing w:after="0" w:line="344" w:lineRule="auto"/>
        <w:rPr>
          <w:sz w:val="20"/>
          <w:szCs w:val="20"/>
          <w:color w:val="auto"/>
        </w:rPr>
      </w:pPr>
      <w:r>
        <w:rPr>
          <w:rFonts w:ascii="Times New Roman" w:cs="Times New Roman" w:eastAsia="Times New Roman" w:hAnsi="Times New Roman"/>
          <w:sz w:val="18"/>
          <w:szCs w:val="18"/>
          <w:color w:val="auto"/>
        </w:rPr>
        <w:t>Our authorized capital stock consists of 35,000,000 shares of common stock, par value $.01 per share, and 5,000,000 shares of preferred stock, par value $.01 per share. As of February 5, 2024, 14,636,255 shares of common stock and no shares of preferred stock were outstanding.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stockholders other than the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election of directors. The vote of the holders of a majority of the stock represented at a meeting at which a quorum is present is generally required to take stockholder action, unless a greater vote is required by law, our Charter or Bylaws. The holders are entitled to cumulative voting in the election of directors. Directors are elected by plurality vote. The existence of a classified board along with cumulative voting may make it more difficult for a stockholder</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owning a significant amount of the Company’s common stock to effect a change in the majority of the board than would be the case if cumulative voting did not exist.</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of common stock have no preemptive rights. They are entitled to such dividends as may be declared by our board of directors out of funds</w:t>
      </w:r>
    </w:p>
    <w:p>
      <w:pPr>
        <w:spacing w:after="0" w:line="2" w:lineRule="exact"/>
        <w:rPr>
          <w:sz w:val="20"/>
          <w:szCs w:val="20"/>
          <w:color w:val="auto"/>
        </w:rPr>
      </w:pPr>
    </w:p>
    <w:p>
      <w:pPr>
        <w:ind w:right="520"/>
        <w:spacing w:after="0" w:line="208" w:lineRule="auto"/>
        <w:rPr>
          <w:sz w:val="20"/>
          <w:szCs w:val="20"/>
          <w:color w:val="auto"/>
        </w:rPr>
      </w:pPr>
      <w:r>
        <w:rPr>
          <w:rFonts w:ascii="Times New Roman" w:cs="Times New Roman" w:eastAsia="Times New Roman" w:hAnsi="Times New Roman"/>
          <w:sz w:val="18"/>
          <w:szCs w:val="18"/>
          <w:color w:val="auto"/>
        </w:rPr>
        <w:t>legally available for such purpose. The common stock is not entitled to any sinking fund, redemption or conversion provisions. On our liquidation, dissolution or winding up, the holders of common stock are entitled to share ratably in our net assets remaining after the payment of all creditors and liquidation preferences of preferred stock, if any. The outstanding shares of common stock are duly authorized, validly issued, fully paid and non-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assessable.</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Computershare Limited.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provisions in our Charter or Bylaws may make a takeover of the Company more difficult:</w:t>
      </w:r>
    </w:p>
    <w:p>
      <w:pPr>
        <w:spacing w:after="0" w:line="36" w:lineRule="exact"/>
        <w:rPr>
          <w:sz w:val="20"/>
          <w:szCs w:val="20"/>
          <w:color w:val="auto"/>
        </w:rPr>
      </w:pPr>
    </w:p>
    <w:p>
      <w:pPr>
        <w:ind w:left="1100" w:right="320" w:hanging="507"/>
        <w:spacing w:after="0" w:line="237" w:lineRule="auto"/>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in our Charter that our Bylaws may not be amended by our stockholders except by the affirmative vote of at least 75% of the total voting power of all outstanding shares of our voting stock;</w:t>
      </w:r>
    </w:p>
    <w:p>
      <w:pPr>
        <w:spacing w:after="0" w:line="360" w:lineRule="exact"/>
        <w:rPr>
          <w:rFonts w:ascii="Times New Roman" w:cs="Times New Roman" w:eastAsia="Times New Roman" w:hAnsi="Times New Roman"/>
          <w:sz w:val="18"/>
          <w:szCs w:val="18"/>
          <w:color w:val="auto"/>
        </w:rPr>
      </w:pPr>
    </w:p>
    <w:p>
      <w:pPr>
        <w:ind w:left="1100" w:right="160" w:hanging="507"/>
        <w:spacing w:after="0" w:line="231" w:lineRule="auto"/>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in our Charter that requires the affirmative vote of at least 75% of the total voting power of all outstanding shares of our voting stock to amend the provisions of our Charter relating to our classified board, stockholders’ ability to only act at a meeting, cumulative voting and the approval of certain transactions;</w:t>
      </w:r>
    </w:p>
    <w:p>
      <w:pPr>
        <w:spacing w:after="0" w:line="360" w:lineRule="exact"/>
        <w:rPr>
          <w:rFonts w:ascii="Times New Roman" w:cs="Times New Roman" w:eastAsia="Times New Roman" w:hAnsi="Times New Roman"/>
          <w:sz w:val="18"/>
          <w:szCs w:val="18"/>
          <w:color w:val="auto"/>
        </w:rPr>
      </w:pPr>
    </w:p>
    <w:p>
      <w:pPr>
        <w:ind w:left="1100" w:right="240" w:hanging="507"/>
        <w:spacing w:after="0" w:line="237" w:lineRule="auto"/>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in our Charter that our board of directors will be a classified board pursuant to which one-third of our directors will be elected each year to serve for a three-year term;</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8" w:lineRule="exact"/>
        <w:rPr>
          <w:sz w:val="20"/>
          <w:szCs w:val="20"/>
          <w:color w:val="auto"/>
        </w:rPr>
      </w:pPr>
    </w:p>
    <w:p>
      <w:pPr>
        <w:ind w:left="1100" w:hanging="507"/>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in our Charter prohibiting stockholder action by written consent;</w:t>
      </w:r>
    </w:p>
    <w:p>
      <w:pPr>
        <w:spacing w:after="0" w:line="387" w:lineRule="exact"/>
        <w:rPr>
          <w:rFonts w:ascii="Times New Roman" w:cs="Times New Roman" w:eastAsia="Times New Roman" w:hAnsi="Times New Roman"/>
          <w:sz w:val="18"/>
          <w:szCs w:val="18"/>
          <w:color w:val="auto"/>
        </w:rPr>
      </w:pPr>
    </w:p>
    <w:p>
      <w:pPr>
        <w:ind w:left="1100" w:right="60" w:hanging="507"/>
        <w:spacing w:after="0" w:line="229" w:lineRule="auto"/>
        <w:tabs>
          <w:tab w:leader="none" w:pos="11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in our Charter requiring that any proposal for (i) the merger or consolidation of our company and another company that owns (together with its affiliates), directly or indirectly, 10% of more of our outstanding shares of common stock (a “significant stockholder”), or (ii) our sale to a significant stockholder of substantially all of our assets or business, be approved by the affirmative vote of at least 75% of</w:t>
      </w:r>
    </w:p>
    <w:p>
      <w:pPr>
        <w:ind w:left="1100" w:right="300"/>
        <w:spacing w:after="0" w:line="226" w:lineRule="auto"/>
        <w:rPr>
          <w:sz w:val="20"/>
          <w:szCs w:val="20"/>
          <w:color w:val="auto"/>
        </w:rPr>
      </w:pPr>
      <w:r>
        <w:rPr>
          <w:rFonts w:ascii="Times New Roman" w:cs="Times New Roman" w:eastAsia="Times New Roman" w:hAnsi="Times New Roman"/>
          <w:sz w:val="18"/>
          <w:szCs w:val="18"/>
          <w:color w:val="auto"/>
        </w:rPr>
        <w:t>the total voting power of all outstanding shares of our stock, unless (a) our board of directors approved the merger, consolidation or sale prior to the other company’s acquisition of 10% of our outstanding shares or (b) we own 50% or more of the other company;</w:t>
      </w:r>
    </w:p>
    <w:p>
      <w:pPr>
        <w:spacing w:after="0" w:line="360" w:lineRule="exact"/>
        <w:rPr>
          <w:sz w:val="20"/>
          <w:szCs w:val="20"/>
          <w:color w:val="auto"/>
        </w:rPr>
      </w:pPr>
    </w:p>
    <w:p>
      <w:pPr>
        <w:ind w:left="1100" w:hanging="507"/>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in our Bylaws limiting the persons who may call special meetings of stockholders to our board of directors; and</w:t>
      </w:r>
    </w:p>
    <w:p>
      <w:pPr>
        <w:spacing w:after="0" w:line="387" w:lineRule="exact"/>
        <w:rPr>
          <w:rFonts w:ascii="Times New Roman" w:cs="Times New Roman" w:eastAsia="Times New Roman" w:hAnsi="Times New Roman"/>
          <w:sz w:val="18"/>
          <w:szCs w:val="18"/>
          <w:color w:val="auto"/>
        </w:rPr>
      </w:pPr>
    </w:p>
    <w:p>
      <w:pPr>
        <w:ind w:left="1100" w:right="160" w:hanging="507"/>
        <w:spacing w:after="0" w:line="237" w:lineRule="auto"/>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Bylaws establishing an advance written notice procedure for stockholders seeking to nominate candidates for election to the board of directors or for proposing matters which can be acted upon at stockholders’ meetings.</w:t>
      </w:r>
    </w:p>
    <w:p>
      <w:pPr>
        <w:spacing w:after="0" w:line="293" w:lineRule="exact"/>
        <w:rPr>
          <w:sz w:val="20"/>
          <w:szCs w:val="20"/>
          <w:color w:val="auto"/>
        </w:rPr>
      </w:pPr>
    </w:p>
    <w:p>
      <w:pPr>
        <w:ind w:firstLine="441"/>
        <w:spacing w:after="0" w:line="216" w:lineRule="auto"/>
        <w:rPr>
          <w:sz w:val="20"/>
          <w:szCs w:val="20"/>
          <w:color w:val="auto"/>
        </w:rPr>
      </w:pPr>
      <w:r>
        <w:rPr>
          <w:rFonts w:ascii="Times New Roman" w:cs="Times New Roman" w:eastAsia="Times New Roman" w:hAnsi="Times New Roman"/>
          <w:sz w:val="18"/>
          <w:szCs w:val="18"/>
          <w:color w:val="auto"/>
        </w:rPr>
        <w:t>These provisions may delay stockholder actions with respect to business combinations and the election of new members to our board of directors. As such, the provisions could discourage open market purchases of our common stock because a stockholder who desires to participate in a business combination or elect a new director may consider them disadvantageous. Additionally, the issuance of preferred stock could delay or prevent a change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or other corporate action.</w:t>
      </w:r>
    </w:p>
    <w:p>
      <w:pPr>
        <w:spacing w:after="0" w:line="190" w:lineRule="exact"/>
        <w:rPr>
          <w:sz w:val="20"/>
          <w:szCs w:val="20"/>
          <w:color w:val="auto"/>
        </w:rPr>
      </w:pPr>
    </w:p>
    <w:p>
      <w:pPr>
        <w:ind w:right="40" w:firstLine="441"/>
        <w:spacing w:after="0" w:line="224"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As a Delaware corporation, we are subject to Section 203 of the Delaware General Corporation Law. In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203 prevents an “interested stockholder” from engaging in a “business combination” with us for three years following the date that person became</w:t>
      </w:r>
    </w:p>
    <w:p>
      <w:pPr>
        <w:spacing w:after="0"/>
        <w:rPr>
          <w:sz w:val="20"/>
          <w:szCs w:val="20"/>
          <w:color w:val="auto"/>
        </w:rPr>
      </w:pPr>
      <w:r>
        <w:rPr>
          <w:rFonts w:ascii="Times New Roman" w:cs="Times New Roman" w:eastAsia="Times New Roman" w:hAnsi="Times New Roman"/>
          <w:sz w:val="18"/>
          <w:szCs w:val="18"/>
          <w:color w:val="auto"/>
        </w:rPr>
        <w:t>an interested stockholder, unless:</w:t>
      </w:r>
    </w:p>
    <w:p>
      <w:pPr>
        <w:spacing w:after="0" w:line="7" w:lineRule="exact"/>
        <w:rPr>
          <w:sz w:val="20"/>
          <w:szCs w:val="20"/>
          <w:color w:val="auto"/>
        </w:rPr>
      </w:pPr>
    </w:p>
    <w:p>
      <w:pPr>
        <w:ind w:left="1100" w:right="320" w:hanging="507"/>
        <w:spacing w:after="0" w:line="234" w:lineRule="auto"/>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374" w:lineRule="exact"/>
        <w:rPr>
          <w:rFonts w:ascii="Times New Roman" w:cs="Times New Roman" w:eastAsia="Times New Roman" w:hAnsi="Times New Roman"/>
          <w:sz w:val="18"/>
          <w:szCs w:val="18"/>
          <w:color w:val="auto"/>
        </w:rPr>
      </w:pPr>
    </w:p>
    <w:p>
      <w:pPr>
        <w:ind w:left="1100" w:right="40" w:hanging="507"/>
        <w:spacing w:after="0" w:line="226" w:lineRule="auto"/>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interested stockholder becoming an interested stockholder, the interested stockholder owned at least 85% of our voting stock outstanding at the time the transaction commenced, excluding stock held by persons who are both directors and officers of our corporation and by certain employee stock plans; or</w:t>
      </w:r>
    </w:p>
    <w:p>
      <w:pPr>
        <w:spacing w:after="0" w:line="360" w:lineRule="exact"/>
        <w:rPr>
          <w:rFonts w:ascii="Times New Roman" w:cs="Times New Roman" w:eastAsia="Times New Roman" w:hAnsi="Times New Roman"/>
          <w:sz w:val="18"/>
          <w:szCs w:val="18"/>
          <w:color w:val="auto"/>
        </w:rPr>
      </w:pPr>
    </w:p>
    <w:p>
      <w:pPr>
        <w:ind w:left="1100" w:right="300" w:hanging="507"/>
        <w:spacing w:after="0" w:line="231" w:lineRule="auto"/>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following the date on which that person became an interested stockholder, the business combination is approved by our board of directors and authorized at a meeting of stockholders by the affirmative vote of the holders of at least 66 2/3% of our outstanding voting stock excluding shares held by the interested stockholder.</w:t>
      </w:r>
    </w:p>
    <w:p>
      <w:pPr>
        <w:spacing w:after="0" w:line="280" w:lineRule="exact"/>
        <w:rPr>
          <w:sz w:val="20"/>
          <w:szCs w:val="20"/>
          <w:color w:val="auto"/>
        </w:rPr>
      </w:pPr>
    </w:p>
    <w:p>
      <w:pPr>
        <w:ind w:right="40" w:firstLine="441"/>
        <w:spacing w:after="0" w:line="237" w:lineRule="auto"/>
        <w:rPr>
          <w:sz w:val="20"/>
          <w:szCs w:val="20"/>
          <w:color w:val="auto"/>
        </w:rPr>
      </w:pPr>
      <w:r>
        <w:rPr>
          <w:rFonts w:ascii="Times New Roman" w:cs="Times New Roman" w:eastAsia="Times New Roman" w:hAnsi="Times New Roman"/>
          <w:sz w:val="18"/>
          <w:szCs w:val="18"/>
          <w:color w:val="auto"/>
        </w:rPr>
        <w:t>An “interested stockholder” is generally a person owning 15% or more of our outstanding voting stock. A “business combination” includes mergers, asset sales and other transactions resulting in a financial benefit to the interested stockholder.</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81" w:lineRule="exact"/>
        <w:rPr>
          <w:sz w:val="20"/>
          <w:szCs w:val="20"/>
          <w:color w:val="auto"/>
        </w:rPr>
      </w:pPr>
    </w:p>
    <w:p>
      <w:pPr>
        <w:ind w:right="20" w:firstLine="441"/>
        <w:spacing w:after="0" w:line="236" w:lineRule="auto"/>
        <w:rPr>
          <w:sz w:val="20"/>
          <w:szCs w:val="20"/>
          <w:color w:val="auto"/>
        </w:rPr>
      </w:pPr>
      <w:r>
        <w:rPr>
          <w:rFonts w:ascii="Times New Roman" w:cs="Times New Roman" w:eastAsia="Times New Roman" w:hAnsi="Times New Roman"/>
          <w:sz w:val="17"/>
          <w:szCs w:val="17"/>
          <w:color w:val="auto"/>
        </w:rPr>
        <w:t>We may issue preferred stock in series with any rights and preferences that may be authorized by our board of directors. We will distribute a prospectus supplement with regard to each particular series of preferred stock. Each prospectus supplement will describe, as to the series of preferred stock</w:t>
      </w:r>
    </w:p>
    <w:p>
      <w:pPr>
        <w:spacing w:after="0"/>
        <w:rPr>
          <w:sz w:val="20"/>
          <w:szCs w:val="20"/>
          <w:color w:val="auto"/>
        </w:rPr>
      </w:pPr>
      <w:r>
        <w:rPr>
          <w:rFonts w:ascii="Times New Roman" w:cs="Times New Roman" w:eastAsia="Times New Roman" w:hAnsi="Times New Roman"/>
          <w:sz w:val="18"/>
          <w:szCs w:val="18"/>
          <w:color w:val="auto"/>
        </w:rPr>
        <w:t>to which it relates:</w:t>
      </w:r>
    </w:p>
    <w:p>
      <w:pPr>
        <w:spacing w:after="0" w:line="7" w:lineRule="exact"/>
        <w:rPr>
          <w:sz w:val="20"/>
          <w:szCs w:val="20"/>
          <w:color w:val="auto"/>
        </w:rPr>
      </w:pPr>
    </w:p>
    <w:p>
      <w:pPr>
        <w:ind w:left="1100" w:hanging="50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preferred stock;</w:t>
      </w:r>
    </w:p>
    <w:p>
      <w:pPr>
        <w:spacing w:after="0" w:line="382" w:lineRule="exact"/>
        <w:rPr>
          <w:rFonts w:ascii="Times New Roman" w:cs="Times New Roman" w:eastAsia="Times New Roman" w:hAnsi="Times New Roman"/>
          <w:sz w:val="18"/>
          <w:szCs w:val="18"/>
          <w:color w:val="auto"/>
        </w:rPr>
      </w:pPr>
    </w:p>
    <w:p>
      <w:pPr>
        <w:ind w:left="1100" w:hanging="507"/>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number of shares of the series of preferred stock that may be issued;</w:t>
      </w:r>
    </w:p>
    <w:p>
      <w:pPr>
        <w:sectPr>
          <w:pgSz w:w="11900" w:h="16838" w:orient="portrait"/>
          <w:cols w:equalWidth="0" w:num="1">
            <w:col w:w="11180"/>
          </w:cols>
          <w:pgMar w:left="320" w:top="1440" w:right="399" w:bottom="1440" w:gutter="0" w:footer="0" w:header="0"/>
        </w:sectPr>
      </w:pPr>
    </w:p>
    <w:bookmarkStart w:id="89" w:name="page90"/>
    <w:bookmarkEnd w:id="89"/>
    <w:p>
      <w:pPr>
        <w:spacing w:after="0" w:line="18" w:lineRule="exact"/>
        <w:rPr>
          <w:sz w:val="20"/>
          <w:szCs w:val="20"/>
          <w:color w:val="auto"/>
        </w:rPr>
      </w:pPr>
    </w:p>
    <w:p>
      <w:pPr>
        <w:ind w:left="660" w:hanging="507"/>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preference, if any, to which holders of the series of preferred stock will be entitled upon our liquidation;</w:t>
      </w:r>
    </w:p>
    <w:p>
      <w:pPr>
        <w:spacing w:after="0" w:line="387"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we will be required or permitted to redeem the preferred stock;</w:t>
      </w:r>
    </w:p>
    <w:p>
      <w:pPr>
        <w:spacing w:after="0" w:line="373" w:lineRule="exact"/>
        <w:rPr>
          <w:rFonts w:ascii="Times New Roman" w:cs="Times New Roman" w:eastAsia="Times New Roman" w:hAnsi="Times New Roman"/>
          <w:sz w:val="18"/>
          <w:szCs w:val="18"/>
          <w:color w:val="auto"/>
        </w:rPr>
      </w:pPr>
    </w:p>
    <w:p>
      <w:pPr>
        <w:ind w:left="660" w:right="580" w:hanging="507"/>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we or holders of the preferred stock will have the option to cause the preferred stock to be redeemed or purchased;</w:t>
      </w:r>
    </w:p>
    <w:p>
      <w:pPr>
        <w:spacing w:after="0" w:line="35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preferred stock;</w:t>
      </w:r>
    </w:p>
    <w:p>
      <w:pPr>
        <w:spacing w:after="0" w:line="387" w:lineRule="exact"/>
        <w:rPr>
          <w:rFonts w:ascii="Times New Roman" w:cs="Times New Roman" w:eastAsia="Times New Roman" w:hAnsi="Times New Roman"/>
          <w:sz w:val="18"/>
          <w:szCs w:val="18"/>
          <w:color w:val="auto"/>
        </w:rPr>
      </w:pPr>
    </w:p>
    <w:p>
      <w:pPr>
        <w:ind w:left="660" w:right="480" w:hanging="507"/>
        <w:spacing w:after="0" w:line="237"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that will be payable with regard to the series of preferred stock, which may be fixed dividends or participating dividends and may be cumulative or non-cumulative;</w:t>
      </w:r>
    </w:p>
    <w:p>
      <w:pPr>
        <w:spacing w:after="0" w:line="360" w:lineRule="exact"/>
        <w:rPr>
          <w:rFonts w:ascii="Times New Roman" w:cs="Times New Roman" w:eastAsia="Times New Roman" w:hAnsi="Times New Roman"/>
          <w:sz w:val="18"/>
          <w:szCs w:val="18"/>
          <w:color w:val="auto"/>
        </w:rPr>
      </w:pPr>
    </w:p>
    <w:p>
      <w:pPr>
        <w:ind w:left="660" w:hanging="507"/>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of holders of the preferred stock to convert it into another class of our stock or securities, including provisions intended to prevent dilution of those conversion rights;</w:t>
      </w:r>
    </w:p>
    <w:p>
      <w:pPr>
        <w:spacing w:after="0" w:line="351" w:lineRule="exact"/>
        <w:rPr>
          <w:rFonts w:ascii="Times New Roman" w:cs="Times New Roman" w:eastAsia="Times New Roman" w:hAnsi="Times New Roman"/>
          <w:sz w:val="18"/>
          <w:szCs w:val="18"/>
          <w:color w:val="auto"/>
        </w:rPr>
      </w:pPr>
    </w:p>
    <w:p>
      <w:pPr>
        <w:ind w:left="660" w:right="220" w:hanging="507"/>
        <w:spacing w:after="0" w:line="237"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by which we will be required or permitted to make payments to a sinking fund to be used to redeem preferred stock or a purchase fund to be used to purchase preferred stock; and</w:t>
      </w:r>
    </w:p>
    <w:p>
      <w:pPr>
        <w:spacing w:after="0" w:line="374"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preferred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shares of preferred stock will not have preemptive rights.</w:t>
      </w:r>
    </w:p>
    <w:p>
      <w:pPr>
        <w:sectPr>
          <w:pgSz w:w="11900" w:h="16838" w:orient="portrait"/>
          <w:cols w:equalWidth="0" w:num="1">
            <w:col w:w="10600"/>
          </w:cols>
          <w:pgMar w:left="760" w:top="1440" w:right="5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40" w:right="2720" w:firstLine="380"/>
        <w:spacing w:after="0" w:line="300" w:lineRule="auto"/>
        <w:rPr>
          <w:sz w:val="20"/>
          <w:szCs w:val="20"/>
          <w:color w:val="auto"/>
        </w:rPr>
      </w:pPr>
      <w:r>
        <w:rPr>
          <w:rFonts w:ascii="Times New Roman" w:cs="Times New Roman" w:eastAsia="Times New Roman" w:hAnsi="Times New Roman"/>
          <w:sz w:val="22"/>
          <w:szCs w:val="22"/>
          <w:b w:val="1"/>
          <w:bCs w:val="1"/>
          <w:color w:val="auto"/>
        </w:rPr>
        <w:t>DUCOMMUN INCORPORATED POLICY ON TRADING IN SECURITIES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318" w:lineRule="exact"/>
        <w:rPr>
          <w:sz w:val="20"/>
          <w:szCs w:val="20"/>
          <w:color w:val="auto"/>
        </w:rPr>
      </w:pPr>
    </w:p>
    <w:p>
      <w:pPr>
        <w:jc w:val="both"/>
        <w:ind w:right="100" w:firstLine="648"/>
        <w:spacing w:after="0" w:line="292" w:lineRule="auto"/>
        <w:rPr>
          <w:sz w:val="20"/>
          <w:szCs w:val="20"/>
          <w:color w:val="auto"/>
        </w:rPr>
      </w:pPr>
      <w:r>
        <w:rPr>
          <w:rFonts w:ascii="Times New Roman" w:cs="Times New Roman" w:eastAsia="Times New Roman" w:hAnsi="Times New Roman"/>
          <w:sz w:val="21"/>
          <w:szCs w:val="21"/>
          <w:color w:val="auto"/>
        </w:rPr>
        <w:t>Directors, officers and employees of Ducommun Incorporated (“Ducommun”) and its subsidiaries (collectively, the “Company”) shall not trade in Ducommun securities while in possession of material nonpublic information. Further, directors, officers and employees of the Company shall not disclose any such information to others who might use it for trading, or might pass it on to others who might use it for trading. Likewise, directors, officers and employees of the Company shall not trade in securities of any other company while in possession of material nonpublic information about that company which they obtained in the course of their employment or in the course of their service as a director within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Blackout Policy</w:t>
      </w:r>
    </w:p>
    <w:p>
      <w:pPr>
        <w:spacing w:after="0" w:line="332" w:lineRule="exact"/>
        <w:rPr>
          <w:sz w:val="20"/>
          <w:szCs w:val="20"/>
          <w:color w:val="auto"/>
        </w:rPr>
      </w:pPr>
    </w:p>
    <w:p>
      <w:pPr>
        <w:jc w:val="both"/>
        <w:ind w:right="100" w:firstLine="648"/>
        <w:spacing w:after="0" w:line="296" w:lineRule="auto"/>
        <w:rPr>
          <w:sz w:val="20"/>
          <w:szCs w:val="20"/>
          <w:color w:val="auto"/>
        </w:rPr>
      </w:pPr>
      <w:r>
        <w:rPr>
          <w:rFonts w:ascii="Times New Roman" w:cs="Times New Roman" w:eastAsia="Times New Roman" w:hAnsi="Times New Roman"/>
          <w:sz w:val="22"/>
          <w:szCs w:val="22"/>
          <w:color w:val="auto"/>
        </w:rPr>
        <w:t>Directors and officers of Ducommun, and the persons designated by the Board of Directors of Ducommun as listed on Exhibit A attached hereto shall not trade in the securities of Ducommun during any blackout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Preclearance Policy</w:t>
      </w:r>
    </w:p>
    <w:p>
      <w:pPr>
        <w:spacing w:after="0" w:line="318"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22"/>
          <w:szCs w:val="22"/>
          <w:color w:val="auto"/>
        </w:rPr>
        <w:t>Directors and officers of Ducommun shall obtain preclearance of any trade in Ducommun securities. Preclearance shall be obtained from the general counsel of Ducommun, or if he/she is not available, from either the chief executive officer, president, chief financial officer or controller of Ducommun. Preclearance must be provided in writing.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Hedging and Pledging Restrictions</w:t>
      </w:r>
    </w:p>
    <w:p>
      <w:pPr>
        <w:spacing w:after="0" w:line="318"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22"/>
          <w:szCs w:val="22"/>
          <w:color w:val="auto"/>
        </w:rPr>
        <w:t>Directors, officers and employees of the Company are prohibited from engaging in any hedging transactions involving Ducommun securities. Directors, officers and employees of the Company are also prohibited from margining Ducommun securities or pledging Ducommun securities as collateral for a loan.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As used herein, the following definitions apply:</w:t>
      </w:r>
    </w:p>
    <w:p>
      <w:pPr>
        <w:sectPr>
          <w:pgSz w:w="11900" w:h="16838" w:orient="portrait"/>
          <w:cols w:equalWidth="0" w:num="1">
            <w:col w:w="11140"/>
          </w:cols>
          <w:pgMar w:left="420" w:top="58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60" w:right="140" w:hanging="107"/>
        <w:spacing w:after="0" w:line="279" w:lineRule="auto"/>
        <w:rPr>
          <w:sz w:val="20"/>
          <w:szCs w:val="20"/>
          <w:color w:val="auto"/>
        </w:rPr>
      </w:pPr>
      <w:r>
        <w:rPr>
          <w:rFonts w:ascii="Times New Roman" w:cs="Times New Roman" w:eastAsia="Times New Roman" w:hAnsi="Times New Roman"/>
          <w:sz w:val="22"/>
          <w:szCs w:val="22"/>
          <w:color w:val="auto"/>
        </w:rPr>
        <w:t>“Blackout Period” is the period beginning on the first day of a fiscal quarter of Ducommun and ending either (i) 72 hours after the issuance of a press release reporting Ducommun’s full-year financial results, or (ii) 48 hours after the issuance of a press release reporting Ducommun’s quarterly results. In addition to the standard end-of-quarter blackout period, Ducommun may, from time to time, impose other blackout periods upon notice to those persons who are affected.</w:t>
      </w:r>
    </w:p>
    <w:p>
      <w:pPr>
        <w:spacing w:after="0" w:line="244" w:lineRule="exact"/>
        <w:rPr>
          <w:sz w:val="20"/>
          <w:szCs w:val="20"/>
          <w:color w:val="auto"/>
        </w:rPr>
      </w:pPr>
    </w:p>
    <w:p>
      <w:pPr>
        <w:ind w:left="960" w:right="260" w:hanging="107"/>
        <w:spacing w:after="0" w:line="322" w:lineRule="auto"/>
        <w:rPr>
          <w:sz w:val="20"/>
          <w:szCs w:val="20"/>
          <w:color w:val="auto"/>
        </w:rPr>
      </w:pPr>
      <w:r>
        <w:rPr>
          <w:rFonts w:ascii="Times New Roman" w:cs="Times New Roman" w:eastAsia="Times New Roman" w:hAnsi="Times New Roman"/>
          <w:sz w:val="21"/>
          <w:szCs w:val="21"/>
          <w:color w:val="auto"/>
        </w:rPr>
        <w:t>“Hedging” is the purchase or sale of financial instruments that are designed to hedge or offset any decrease in the market value of securities, including prepaid variable forward contracts, equity swaps, collars and exchange funds.</w:t>
      </w:r>
    </w:p>
    <w:p>
      <w:pPr>
        <w:spacing w:after="0" w:line="203" w:lineRule="exact"/>
        <w:rPr>
          <w:sz w:val="20"/>
          <w:szCs w:val="20"/>
          <w:color w:val="auto"/>
        </w:rPr>
      </w:pPr>
    </w:p>
    <w:p>
      <w:pPr>
        <w:ind w:left="960" w:right="480" w:hanging="107"/>
        <w:spacing w:after="0" w:line="296" w:lineRule="auto"/>
        <w:rPr>
          <w:sz w:val="20"/>
          <w:szCs w:val="20"/>
          <w:color w:val="auto"/>
        </w:rPr>
      </w:pPr>
      <w:r>
        <w:rPr>
          <w:rFonts w:ascii="Times New Roman" w:cs="Times New Roman" w:eastAsia="Times New Roman" w:hAnsi="Times New Roman"/>
          <w:sz w:val="22"/>
          <w:szCs w:val="22"/>
          <w:color w:val="auto"/>
        </w:rPr>
        <w:t>“Material” information is information that a reasonable investor would very likely consider important in deciding whether to purchase or sell a security and that could affect the price of the security.</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“Nonpublic” information is information that is not publicly available.</w:t>
      </w:r>
    </w:p>
    <w:p>
      <w:pPr>
        <w:spacing w:after="0" w:line="328" w:lineRule="exact"/>
        <w:rPr>
          <w:sz w:val="20"/>
          <w:szCs w:val="20"/>
          <w:color w:val="auto"/>
        </w:rPr>
      </w:pPr>
    </w:p>
    <w:p>
      <w:pPr>
        <w:ind w:left="960" w:right="220" w:hanging="107"/>
        <w:spacing w:after="0" w:line="296" w:lineRule="auto"/>
        <w:rPr>
          <w:sz w:val="20"/>
          <w:szCs w:val="20"/>
          <w:color w:val="auto"/>
        </w:rPr>
      </w:pPr>
      <w:r>
        <w:rPr>
          <w:rFonts w:ascii="Times New Roman" w:cs="Times New Roman" w:eastAsia="Times New Roman" w:hAnsi="Times New Roman"/>
          <w:sz w:val="22"/>
          <w:szCs w:val="22"/>
          <w:color w:val="auto"/>
        </w:rPr>
        <w:t>“Securities” include common stock, preferred stock, put and call options, convertible debentures, and debt securities such as bonds and notes.</w:t>
      </w:r>
    </w:p>
    <w:p>
      <w:pPr>
        <w:spacing w:after="0" w:line="226" w:lineRule="exact"/>
        <w:rPr>
          <w:sz w:val="20"/>
          <w:szCs w:val="20"/>
          <w:color w:val="auto"/>
        </w:rPr>
      </w:pPr>
    </w:p>
    <w:p>
      <w:pPr>
        <w:ind w:left="960" w:right="240" w:hanging="107"/>
        <w:spacing w:after="0" w:line="282" w:lineRule="auto"/>
        <w:rPr>
          <w:sz w:val="20"/>
          <w:szCs w:val="20"/>
          <w:color w:val="auto"/>
        </w:rPr>
      </w:pPr>
      <w:r>
        <w:rPr>
          <w:rFonts w:ascii="Times New Roman" w:cs="Times New Roman" w:eastAsia="Times New Roman" w:hAnsi="Times New Roman"/>
          <w:sz w:val="22"/>
          <w:szCs w:val="22"/>
          <w:color w:val="auto"/>
        </w:rPr>
        <w:t>“Trading” includes buying or selling, as well as writing options. Trading does not include purchasing stock under an employee stock option, even if the exercise price is paid in Ducommun stock and stock is withheld to pay an employee’s employment- related taxes in connection therewith, provided that no Ducommun stock is sold in the public markets in connection with the stock option exercise.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Guidance</w:t>
      </w:r>
    </w:p>
    <w:p>
      <w:pPr>
        <w:spacing w:after="0" w:line="318" w:lineRule="exact"/>
        <w:rPr>
          <w:sz w:val="20"/>
          <w:szCs w:val="20"/>
          <w:color w:val="auto"/>
        </w:rPr>
      </w:pPr>
    </w:p>
    <w:p>
      <w:pPr>
        <w:jc w:val="both"/>
        <w:ind w:right="100" w:firstLine="648"/>
        <w:spacing w:after="0" w:line="296" w:lineRule="auto"/>
        <w:rPr>
          <w:sz w:val="20"/>
          <w:szCs w:val="20"/>
          <w:color w:val="auto"/>
        </w:rPr>
      </w:pPr>
      <w:r>
        <w:rPr>
          <w:rFonts w:ascii="Times New Roman" w:cs="Times New Roman" w:eastAsia="Times New Roman" w:hAnsi="Times New Roman"/>
          <w:sz w:val="22"/>
          <w:szCs w:val="22"/>
          <w:color w:val="auto"/>
        </w:rPr>
        <w:t>Short sales of Ducommun securities (a sale of securities which are not then owned), including a “sale against the box” (a sale with delayed delivery) are prohibited.</w:t>
      </w:r>
    </w:p>
    <w:p>
      <w:pPr>
        <w:spacing w:after="0" w:line="226"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22"/>
          <w:szCs w:val="22"/>
          <w:color w:val="auto"/>
        </w:rPr>
        <w:t>Rule 10b5-1 provides a defense from insider trading liability under Securities and Exchange Commission Rule 10b-5. If a plan meets the requirements of Rule 10b5-1, Ducommun stock may be purchased or sold without regard to certain of the trading in securities restrictions. To comply with the Company’s policy on trading in securities, a 10b5-1 plan must be approved by the general counsel and meet the requirements of Rule 10b5-1.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BY THE BOARD OF DIRECTORS ON OCTOBER 29, 2016.</w:t>
      </w:r>
    </w:p>
    <w:p>
      <w:pPr>
        <w:sectPr>
          <w:pgSz w:w="11900" w:h="16838" w:orient="portrait"/>
          <w:cols w:equalWidth="0" w:num="1">
            <w:col w:w="11140"/>
          </w:cols>
          <w:pgMar w:left="420" w:top="585"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b w:val="1"/>
          <w:bCs w:val="1"/>
          <w:color w:val="auto"/>
        </w:rPr>
        <w:t>POLICY ON TRADING IN SECURITIES EXHIBIT A</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Persons Designated by the Board of Directors as Subject to Blackout Periods</w:t>
      </w:r>
    </w:p>
    <w:p>
      <w:pPr>
        <w:spacing w:after="0" w:line="318" w:lineRule="exact"/>
        <w:rPr>
          <w:sz w:val="20"/>
          <w:szCs w:val="20"/>
          <w:color w:val="auto"/>
        </w:rPr>
      </w:pPr>
    </w:p>
    <w:p>
      <w:pPr>
        <w:ind w:left="640" w:right="1440" w:hanging="119"/>
        <w:spacing w:after="0" w:line="296" w:lineRule="auto"/>
        <w:rPr>
          <w:sz w:val="20"/>
          <w:szCs w:val="20"/>
          <w:color w:val="auto"/>
        </w:rPr>
      </w:pPr>
      <w:r>
        <w:rPr>
          <w:rFonts w:ascii="Times New Roman" w:cs="Times New Roman" w:eastAsia="Times New Roman" w:hAnsi="Times New Roman"/>
          <w:sz w:val="22"/>
          <w:szCs w:val="22"/>
          <w:color w:val="auto"/>
        </w:rPr>
        <w:t>All officers and general managers of any direct or indirect subsidiary or other business unit of Ducommun Incorporated</w:t>
      </w:r>
    </w:p>
    <w:p>
      <w:pPr>
        <w:spacing w:after="0" w:line="226" w:lineRule="exact"/>
        <w:rPr>
          <w:sz w:val="20"/>
          <w:szCs w:val="20"/>
          <w:color w:val="auto"/>
        </w:rPr>
      </w:pPr>
    </w:p>
    <w:p>
      <w:pPr>
        <w:ind w:left="640" w:right="880" w:hanging="119"/>
        <w:spacing w:after="0" w:line="296" w:lineRule="auto"/>
        <w:rPr>
          <w:sz w:val="20"/>
          <w:szCs w:val="20"/>
          <w:color w:val="auto"/>
        </w:rPr>
      </w:pPr>
      <w:r>
        <w:rPr>
          <w:rFonts w:ascii="Times New Roman" w:cs="Times New Roman" w:eastAsia="Times New Roman" w:hAnsi="Times New Roman"/>
          <w:sz w:val="22"/>
          <w:szCs w:val="22"/>
          <w:color w:val="auto"/>
        </w:rPr>
        <w:t>All employees considered to be in the corporate office of Ducommun Incorporated, as determined by the general counsel from time to time.</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Such other persons as the general counsel may designate from time to time.</w:t>
      </w:r>
    </w:p>
    <w:p>
      <w:pPr>
        <w:sectPr>
          <w:pgSz w:w="11900" w:h="16838" w:orient="portrait"/>
          <w:cols w:equalWidth="0" w:num="1">
            <w:col w:w="11140"/>
          </w:cols>
          <w:pgMar w:left="420" w:top="585"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w w:val="97"/>
              </w:rPr>
              <w:t>EXHIBIT 21</w:t>
            </w:r>
          </w:p>
        </w:tc>
      </w:tr>
      <w:tr>
        <w:trPr>
          <w:trHeight w:val="37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400"/>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Following is a list of the subsidiaries of the Company</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18"/>
                <w:szCs w:val="18"/>
                <w:color w:val="auto"/>
                <w:w w:val="99"/>
              </w:rPr>
              <w:t>:</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0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Name of Subsidiary</w:t>
            </w:r>
          </w:p>
        </w:tc>
        <w:tc>
          <w:tcPr>
            <w:tcW w:w="1160" w:type="dxa"/>
            <w:vAlign w:val="bottom"/>
            <w:tcBorders>
              <w:bottom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2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20" w:type="dxa"/>
            <w:vAlign w:val="bottom"/>
          </w:tcPr>
          <w:p>
            <w:pPr>
              <w:spacing w:after="0"/>
              <w:rPr>
                <w:sz w:val="20"/>
                <w:szCs w:val="20"/>
                <w:color w:val="auto"/>
              </w:rPr>
            </w:pPr>
          </w:p>
        </w:tc>
      </w:tr>
      <w:tr>
        <w:trPr>
          <w:trHeight w:val="385"/>
        </w:trPr>
        <w:tc>
          <w:tcPr>
            <w:tcW w:w="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BLR Aerospace, L.L.C.</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w:t>
            </w:r>
          </w:p>
        </w:tc>
      </w:tr>
      <w:tr>
        <w:trPr>
          <w:trHeight w:val="391"/>
        </w:trPr>
        <w:tc>
          <w:tcPr>
            <w:tcW w:w="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Certified Thermoplastics Co., LLC</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87"/>
        </w:trPr>
        <w:tc>
          <w:tcPr>
            <w:tcW w:w="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CMP Display Systems, Inc.</w:t>
            </w:r>
            <w:r>
              <w:rPr>
                <w:rFonts w:ascii="Times New Roman" w:cs="Times New Roman" w:eastAsia="Times New Roman" w:hAnsi="Times New Roman"/>
                <w:sz w:val="23"/>
                <w:szCs w:val="23"/>
                <w:color w:val="auto"/>
                <w:vertAlign w:val="superscript"/>
              </w:rPr>
              <w:t>(2)</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Composite Structures,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AeroStructures,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AeroStructures Mexico,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AeroStructures New York,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(England) LTD</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LaBarge Technologies,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LaBarge Technologies,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Technologies (Thailand) Co., Ltd.</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26"/>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LaBarge Acquisition Company,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Missouri</w:t>
            </w:r>
          </w:p>
        </w:tc>
      </w:tr>
      <w:tr>
        <w:trPr>
          <w:trHeight w:val="233"/>
        </w:trPr>
        <w:tc>
          <w:tcPr>
            <w:tcW w:w="20" w:type="dxa"/>
            <w:vAlign w:val="bottom"/>
          </w:tcPr>
          <w:p>
            <w:pPr>
              <w:spacing w:after="0"/>
              <w:rPr>
                <w:sz w:val="20"/>
                <w:szCs w:val="20"/>
                <w:color w:val="auto"/>
              </w:rPr>
            </w:pPr>
          </w:p>
        </w:tc>
        <w:tc>
          <w:tcPr>
            <w:tcW w:w="406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LaBarge/STC, Inc.</w:t>
            </w:r>
            <w:r>
              <w:rPr>
                <w:rFonts w:ascii="Times New Roman" w:cs="Times New Roman" w:eastAsia="Times New Roman" w:hAnsi="Times New Roman"/>
                <w:sz w:val="23"/>
                <w:szCs w:val="23"/>
                <w:color w:val="auto"/>
                <w:vertAlign w:val="superscript"/>
              </w:rPr>
              <w:t>(2)</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Lightning Diversion Systems,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 Holdings Company,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Magnetic Seal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Nobles Holdings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Nobles Parent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Nobles Worldwide, Inc.</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Minnesota</w:t>
            </w:r>
          </w:p>
        </w:tc>
      </w:tr>
      <w:tr>
        <w:trPr>
          <w:trHeight w:val="45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As of December 31, 2023.</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Inactive.</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240"/>
          </w:cols>
          <w:pgMar w:left="320" w:top="89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333-268218) and Form S-8 (Nos. 333-264389, 333-238040, 333-235278, 333-224838, 333-214408, and 333-188460) of Ducommun Incorporated of our report dated February 22, 2024 relating to the financial statements, financial statement schedule and the effectiveness of internal control over financial reporting, which appears in this Form 10-K.</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22, 2024</w:t>
      </w:r>
    </w:p>
    <w:p>
      <w:pPr>
        <w:sectPr>
          <w:pgSz w:w="11900" w:h="16838" w:orient="portrait"/>
          <w:cols w:equalWidth="0" w:num="1">
            <w:col w:w="11240"/>
          </w:cols>
          <w:pgMar w:left="320" w:top="89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Ducommun Incorporated (the “registrant”) on Form 10-K for the period ended December 31, 2023;</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200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91"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Suman B. Mookerji, certify that:</w:t>
      </w:r>
    </w:p>
    <w:p>
      <w:pPr>
        <w:spacing w:after="0" w:line="104"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Ducommun Incorporated (the “registrant”) on Form 10-K for the period ended December 31, 2023;</w:t>
      </w:r>
    </w:p>
    <w:p>
      <w:pPr>
        <w:spacing w:after="0" w:line="9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Suman B. Mookerji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ectPr>
          <w:pgSz w:w="11900" w:h="16838" w:orient="portrait"/>
          <w:cols w:equalWidth="0" w:num="1">
            <w:col w:w="11240"/>
          </w:cols>
          <w:pgMar w:left="320" w:top="891"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ind w:right="20" w:firstLine="445"/>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Ducommun Incorporated (the “Company”) on Form 10-K for the period ending December 31, 2023, as filed with the Securities and Exchange Commission on the date hereof (the “Report”), I, Stephen G. Oswald, Chairman, President and Chief Executive Officer of the Company, certify pursuant to 18 U.S.C. § 1350, as adopted pursuant to § 906 of the Sarbanes-Oxley Act of 2002, that to the best of our knowledge:</w:t>
      </w:r>
    </w:p>
    <w:p>
      <w:pPr>
        <w:spacing w:after="0" w:line="104" w:lineRule="exact"/>
        <w:rPr>
          <w:sz w:val="20"/>
          <w:szCs w:val="20"/>
          <w:color w:val="auto"/>
        </w:rPr>
      </w:pPr>
    </w:p>
    <w:p>
      <w:pPr>
        <w:ind w:left="1160" w:hanging="261"/>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tbl>
      <w:tblPr>
        <w:tblLayout w:type="fixed"/>
        <w:tblInd w:w="408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90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30"/>
        </w:trPr>
        <w:tc>
          <w:tcPr>
            <w:tcW w:w="90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90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22, 2024</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445"/>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Ducommun Incorporated (the “Company”) on Form 10-K for the period ending December 31, 2023, as filed with the Securities and Exchange Commission on the date hereof (the “Report”), I, Suman B. Mookerji, Senior Vice President, Chief Financial Officer of the Company, certify pursuant to 18 U.S.C. § 1350, as adopted pursuant to § 906 of the Sarbanes-Oxley Act of 2002, that to the best of our knowledge:</w:t>
      </w:r>
    </w:p>
    <w:p>
      <w:pPr>
        <w:spacing w:after="0" w:line="104" w:lineRule="exact"/>
        <w:rPr>
          <w:sz w:val="20"/>
          <w:szCs w:val="20"/>
          <w:color w:val="auto"/>
        </w:rPr>
      </w:pPr>
    </w:p>
    <w:p>
      <w:pPr>
        <w:ind w:left="1160" w:hanging="261"/>
        <w:spacing w:after="0"/>
        <w:tabs>
          <w:tab w:leader="none" w:pos="1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tbl>
      <w:tblPr>
        <w:tblLayout w:type="fixed"/>
        <w:tblInd w:w="40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Suman B. Mookerji</w:t>
            </w:r>
          </w:p>
        </w:tc>
      </w:tr>
      <w:tr>
        <w:trPr>
          <w:trHeight w:val="218"/>
        </w:trPr>
        <w:tc>
          <w:tcPr>
            <w:tcW w:w="90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Suman B. Mookerji</w:t>
            </w:r>
          </w:p>
        </w:tc>
      </w:tr>
      <w:tr>
        <w:trPr>
          <w:trHeight w:val="230"/>
        </w:trPr>
        <w:tc>
          <w:tcPr>
            <w:tcW w:w="90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90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22, 2024</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accompanying the Form 10-K solely pursuant to Section 906 of the Sarbanes-Oxley Act of 2002, and is not being filed as part of the Form 10-K or as a separate disclosure document.</w:t>
      </w:r>
    </w:p>
    <w:p>
      <w:pPr>
        <w:sectPr>
          <w:pgSz w:w="11900" w:h="16838" w:orient="portrait"/>
          <w:cols w:equalWidth="0" w:num="1">
            <w:col w:w="11240"/>
          </w:cols>
          <w:pgMar w:left="320" w:top="891"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DUCOMMUN INCORPORATED AMENDED AND RESTATED</w:t>
      </w:r>
    </w:p>
    <w:p>
      <w:pPr>
        <w:spacing w:after="0" w:line="1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Recoupment of Incentive-Based Compensation</w:t>
      </w:r>
    </w:p>
    <w:p>
      <w:pPr>
        <w:spacing w:after="0" w:line="183" w:lineRule="exact"/>
        <w:rPr>
          <w:sz w:val="20"/>
          <w:szCs w:val="20"/>
          <w:color w:val="auto"/>
        </w:rPr>
      </w:pPr>
    </w:p>
    <w:p>
      <w:pPr>
        <w:jc w:val="both"/>
        <w:ind w:right="100" w:firstLine="648"/>
        <w:spacing w:after="0" w:line="213" w:lineRule="auto"/>
        <w:rPr>
          <w:sz w:val="20"/>
          <w:szCs w:val="20"/>
          <w:color w:val="auto"/>
        </w:rPr>
      </w:pPr>
      <w:r>
        <w:rPr>
          <w:rFonts w:ascii="Times New Roman" w:cs="Times New Roman" w:eastAsia="Times New Roman" w:hAnsi="Times New Roman"/>
          <w:sz w:val="22"/>
          <w:szCs w:val="22"/>
          <w:color w:val="auto"/>
        </w:rPr>
        <w:t>It is the policy of Ducommun Incorporated (the “Company”) that, in the event the Company is required to prepare an accounting restatement of the Company’s financial statements due to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Administration and Definitions</w:t>
      </w:r>
    </w:p>
    <w:p>
      <w:pPr>
        <w:spacing w:after="0" w:line="183" w:lineRule="exact"/>
        <w:rPr>
          <w:sz w:val="20"/>
          <w:szCs w:val="20"/>
          <w:color w:val="auto"/>
        </w:rPr>
      </w:pPr>
    </w:p>
    <w:p>
      <w:pPr>
        <w:jc w:val="both"/>
        <w:ind w:right="100" w:firstLine="648"/>
        <w:spacing w:after="0" w:line="220" w:lineRule="auto"/>
        <w:rPr>
          <w:sz w:val="20"/>
          <w:szCs w:val="20"/>
          <w:color w:val="auto"/>
        </w:rPr>
      </w:pPr>
      <w:r>
        <w:rPr>
          <w:rFonts w:ascii="Times New Roman" w:cs="Times New Roman" w:eastAsia="Times New Roman" w:hAnsi="Times New Roman"/>
          <w:sz w:val="22"/>
          <w:szCs w:val="22"/>
          <w:color w:val="auto"/>
        </w:rPr>
        <w:t>This Clawback Policy (this “Policy”) is administered by the Compensation Committee (the “Committee”) of the Company’s Board of Directors and is intended to comply with, and as applicable, to be administered and interpreted consistent with, and subject to the exceptions set forth in, Listing Standard 303A.14 adopted by the New York Stock Exchange to implement Rule 10D-1 under the Securities Exchange Act of 1934, as amended (collectively, “Rule 10D-1”).</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For purposes of this Policy:</w:t>
      </w:r>
    </w:p>
    <w:p>
      <w:pPr>
        <w:spacing w:after="0" w:line="179" w:lineRule="exact"/>
        <w:rPr>
          <w:sz w:val="20"/>
          <w:szCs w:val="20"/>
          <w:color w:val="auto"/>
        </w:rPr>
      </w:pPr>
    </w:p>
    <w:p>
      <w:pPr>
        <w:jc w:val="both"/>
        <w:ind w:left="640" w:right="100"/>
        <w:spacing w:after="0" w:line="213" w:lineRule="auto"/>
        <w:rPr>
          <w:sz w:val="20"/>
          <w:szCs w:val="20"/>
          <w:color w:val="auto"/>
        </w:rPr>
      </w:pPr>
      <w:r>
        <w:rPr>
          <w:rFonts w:ascii="Times New Roman" w:cs="Times New Roman" w:eastAsia="Times New Roman" w:hAnsi="Times New Roman"/>
          <w:sz w:val="22"/>
          <w:szCs w:val="22"/>
          <w:color w:val="auto"/>
        </w:rPr>
        <w:t>“Incentive-Based Compensation” 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w:t>
      </w:r>
    </w:p>
    <w:p>
      <w:pPr>
        <w:spacing w:after="0" w:line="156" w:lineRule="exact"/>
        <w:rPr>
          <w:sz w:val="20"/>
          <w:szCs w:val="20"/>
          <w:color w:val="auto"/>
        </w:rPr>
      </w:pPr>
    </w:p>
    <w:p>
      <w:pPr>
        <w:jc w:val="both"/>
        <w:ind w:left="640" w:right="120"/>
        <w:spacing w:after="0" w:line="236" w:lineRule="auto"/>
        <w:rPr>
          <w:sz w:val="20"/>
          <w:szCs w:val="20"/>
          <w:color w:val="auto"/>
        </w:rPr>
      </w:pPr>
      <w:r>
        <w:rPr>
          <w:rFonts w:ascii="Times New Roman" w:cs="Times New Roman" w:eastAsia="Times New Roman" w:hAnsi="Times New Roman"/>
          <w:sz w:val="22"/>
          <w:szCs w:val="22"/>
          <w:color w:val="auto"/>
        </w:rPr>
        <w:t>Incentive-Based Compensation is deemed to be “Received” in the fiscal period during which the relevant financial reporting measure is attained, regardless of when the compensation is actually paid or awarded.</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“Covered Executive” means any “executive officer” of the Company as defined under Rule 10D-1.</w:t>
      </w:r>
    </w:p>
    <w:p>
      <w:pPr>
        <w:spacing w:after="0" w:line="179" w:lineRule="exact"/>
        <w:rPr>
          <w:sz w:val="20"/>
          <w:szCs w:val="20"/>
          <w:color w:val="auto"/>
        </w:rPr>
      </w:pPr>
    </w:p>
    <w:p>
      <w:pPr>
        <w:jc w:val="both"/>
        <w:ind w:left="640" w:right="120"/>
        <w:spacing w:after="0" w:line="236" w:lineRule="auto"/>
        <w:rPr>
          <w:sz w:val="20"/>
          <w:szCs w:val="20"/>
          <w:color w:val="auto"/>
        </w:rPr>
      </w:pPr>
      <w:r>
        <w:rPr>
          <w:rFonts w:ascii="Times New Roman" w:cs="Times New Roman" w:eastAsia="Times New Roman" w:hAnsi="Times New Roman"/>
          <w:sz w:val="22"/>
          <w:szCs w:val="22"/>
          <w:color w:val="auto"/>
        </w:rPr>
        <w:t>“Recovery Period” means the three completed fiscal years immediately preceding the date that the Company is required to prepare the accounting restatement described in this Policy,</w:t>
      </w:r>
    </w:p>
    <w:p>
      <w:pPr>
        <w:sectPr>
          <w:pgSz w:w="11900" w:h="16838" w:orient="portrait"/>
          <w:cols w:equalWidth="0" w:num="1">
            <w:col w:w="11120"/>
          </w:cols>
          <w:pgMar w:left="440" w:top="100"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right="1080"/>
        <w:spacing w:after="0" w:line="236" w:lineRule="auto"/>
        <w:rPr>
          <w:sz w:val="20"/>
          <w:szCs w:val="20"/>
          <w:color w:val="auto"/>
        </w:rPr>
      </w:pPr>
      <w:r>
        <w:rPr>
          <w:rFonts w:ascii="Times New Roman" w:cs="Times New Roman" w:eastAsia="Times New Roman" w:hAnsi="Times New Roman"/>
          <w:sz w:val="22"/>
          <w:szCs w:val="22"/>
          <w:color w:val="auto"/>
        </w:rPr>
        <w:t>all as determined pursuant to Rule 10D-1, and any transition period of less than nine months that is within or immediately following such three fiscal years.</w:t>
      </w:r>
    </w:p>
    <w:p>
      <w:pPr>
        <w:spacing w:after="0" w:line="150" w:lineRule="exact"/>
        <w:rPr>
          <w:sz w:val="20"/>
          <w:szCs w:val="20"/>
          <w:color w:val="auto"/>
        </w:rPr>
      </w:pPr>
    </w:p>
    <w:p>
      <w:pPr>
        <w:jc w:val="both"/>
        <w:ind w:right="100" w:firstLine="648"/>
        <w:spacing w:after="0" w:line="210" w:lineRule="auto"/>
        <w:rPr>
          <w:sz w:val="20"/>
          <w:szCs w:val="20"/>
          <w:color w:val="auto"/>
        </w:rPr>
      </w:pPr>
      <w:r>
        <w:rPr>
          <w:rFonts w:ascii="Times New Roman" w:cs="Times New Roman" w:eastAsia="Times New Roman" w:hAnsi="Times New Roman"/>
          <w:sz w:val="22"/>
          <w:szCs w:val="22"/>
          <w:color w:val="auto"/>
        </w:rPr>
        <w:t>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where the amount of erroneously awarded compensation is not subject to mathematical recalculation directly from the information in an accounting restatement, the Committee will determine the amount based on a reasonable estimate of the effect of the accounting restatement on the relevant stock price or total shareholder return. The Company will maintain and will provide to the New York Stock Exchange documentation of all determinations and actions taken in complying with this Policy, to the extent required under Rule 10D-1. In all cases, the calculation of the excess amount of Incentive-Based Compensation to be recovered will be determined without regard to any taxes paid with respect to such compensation. Any determinations made by the Committee under this Policy shall be final and binding on all affected individuals.</w:t>
      </w:r>
    </w:p>
    <w:p>
      <w:pPr>
        <w:spacing w:after="0" w:line="157" w:lineRule="exact"/>
        <w:rPr>
          <w:sz w:val="20"/>
          <w:szCs w:val="20"/>
          <w:color w:val="auto"/>
        </w:rPr>
      </w:pPr>
    </w:p>
    <w:p>
      <w:pPr>
        <w:jc w:val="both"/>
        <w:ind w:right="100" w:firstLine="648"/>
        <w:spacing w:after="0" w:line="212" w:lineRule="auto"/>
        <w:rPr>
          <w:sz w:val="20"/>
          <w:szCs w:val="20"/>
          <w:color w:val="auto"/>
        </w:rPr>
      </w:pPr>
      <w:r>
        <w:rPr>
          <w:rFonts w:ascii="Times New Roman" w:cs="Times New Roman" w:eastAsia="Times New Roman" w:hAnsi="Times New Roman"/>
          <w:sz w:val="22"/>
          <w:szCs w:val="22"/>
          <w:color w:val="auto"/>
        </w:rPr>
        <w:t>The Company may effect any recovery pursuant to this Policy by requiring payment of such amount(s) to the Company, by set-off, by reducing future compensation, or by such other means or combination of means as the Committee determines to be appropriate. The Company need not recover the excess amount of Incentive-Based Compensation if and to the extent that the Committee determines that such recovery is impracticable, subject to and in accordance with any applicable exceptions under the New York Stock Exchange listing rules, and not required under 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spacing w:after="0" w:line="156" w:lineRule="exact"/>
        <w:rPr>
          <w:sz w:val="20"/>
          <w:szCs w:val="20"/>
          <w:color w:val="auto"/>
        </w:rPr>
      </w:pPr>
    </w:p>
    <w:p>
      <w:pPr>
        <w:jc w:val="both"/>
        <w:ind w:right="100" w:firstLine="648"/>
        <w:spacing w:after="0" w:line="212" w:lineRule="auto"/>
        <w:rPr>
          <w:sz w:val="20"/>
          <w:szCs w:val="20"/>
          <w:color w:val="auto"/>
        </w:rPr>
      </w:pPr>
      <w:r>
        <w:rPr>
          <w:rFonts w:ascii="Times New Roman" w:cs="Times New Roman" w:eastAsia="Times New Roman" w:hAnsi="Times New Roman"/>
          <w:sz w:val="22"/>
          <w:szCs w:val="22"/>
          <w:color w:val="auto"/>
        </w:rPr>
        <w:t>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 provided that the Company shall not recoup amounts pursuant to such other policy, terms or remedies to the extent it is recovered pursuant to this Policy. For the avoidance of doubt, this Policy does not replace any remedies or rights of recoupment that may be available to the Company with respect to incentive-based compensation Received prior to October 2, 2023, including pursuant to the versions of this Policy as previously in effect with respect to such compensation. The Company shall not indemnify any Covered Executive against the loss of any Incentive-Based Compensation pursuant to this Policy.</w:t>
      </w: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ADOPTED BY THE BOARD OF DIRECTORS ON AUGUST 2, 2023</w:t>
      </w:r>
    </w:p>
    <w:sectPr>
      <w:pgSz w:w="11900" w:h="16838" w:orient="portrait"/>
      <w:cols w:equalWidth="0" w:num="1">
        <w:col w:w="11120"/>
      </w:cols>
      <w:pgMar w:left="440"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Roman"/>
      <w:start w:val="1"/>
    </w:lvl>
  </w:abstractNum>
  <w:abstractNum w:abstractNumId="23">
    <w:nsid w:val="22221A70"/>
    <w:multiLevelType w:val="hybridMultilevel"/>
    <w:lvl w:ilvl="0">
      <w:lvlJc w:val="left"/>
      <w:lvlText w:val="(%1)"/>
      <w:numFmt w:val="lowerRoman"/>
      <w:start w:val="3"/>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07" Type="http://schemas.openxmlformats.org/officeDocument/2006/relationships/hyperlink" Target="http://www.sec.gov/Archives/edgar/data/30305/000119312517281838/d414212dex21.htm" TargetMode="External"/><Relationship Id="rId108" Type="http://schemas.openxmlformats.org/officeDocument/2006/relationships/hyperlink" Target="http://www.sec.gov/Archives/edgar/data/30305/000119312519264787/d817718dex21.htm" TargetMode="External"/><Relationship Id="rId109" Type="http://schemas.openxmlformats.org/officeDocument/2006/relationships/hyperlink" Target="http://www.sec.gov/Archives/edgar/data/30305/000119312521358659/d203605dex21.htm" TargetMode="External"/><Relationship Id="rId110" Type="http://schemas.openxmlformats.org/officeDocument/2006/relationships/hyperlink" Target="http://www.sec.gov/Archives/edgar/data/30305/000119312523075209/d477836dex21.htm" TargetMode="External"/><Relationship Id="rId111" Type="http://schemas.openxmlformats.org/officeDocument/2006/relationships/hyperlink" Target="http://www.sec.gov/Archives/edgar/data/30305/0000892569-99-000620-index.html" TargetMode="External"/><Relationship Id="rId112" Type="http://schemas.openxmlformats.org/officeDocument/2006/relationships/hyperlink" Target="http://www.sec.gov/Archives/edgar/data/30305/000162828023003810/dco10-k2022_ex3x3xbylaws.htm" TargetMode="External"/><Relationship Id="rId113" Type="http://schemas.openxmlformats.org/officeDocument/2006/relationships/hyperlink" Target="http://www.sec.gov/Archives/edgar/data/30305/000119312522195816/d363696dex101.htm" TargetMode="External"/><Relationship Id="rId114" Type="http://schemas.openxmlformats.org/officeDocument/2006/relationships/hyperlink" Target="http://www.sec.gov/Archives/edgar/data/30305/000119312518093774/d536991ddef14a.htm" TargetMode="External"/><Relationship Id="rId115" Type="http://schemas.openxmlformats.org/officeDocument/2006/relationships/hyperlink" Target="http://www.sec.gov/Archives/edgar/data/30305/000119312522111129/d259223dex101.htm" TargetMode="External"/><Relationship Id="rId116" Type="http://schemas.openxmlformats.org/officeDocument/2006/relationships/hyperlink" Target="http://www.sec.gov/Archives/edgar/data/30305/000119312520080692/d859194ddef14a.htm" TargetMode="External"/><Relationship Id="rId117" Type="http://schemas.openxmlformats.org/officeDocument/2006/relationships/hyperlink" Target="http://www.sec.gov/Archives/edgar/data/30305/000119312504034525/dex108.htm" TargetMode="External"/><Relationship Id="rId118" Type="http://schemas.openxmlformats.org/officeDocument/2006/relationships/hyperlink" Target="http://www.sec.gov/Archives/edgar/data/30305/000162828017002221/dco10-k2016_ex105.htm" TargetMode="External"/><Relationship Id="rId119" Type="http://schemas.openxmlformats.org/officeDocument/2006/relationships/hyperlink" Target="http://www.sec.gov/Archives/edgar/data/30305/000119312518159343/d596690dex47.htm" TargetMode="External"/><Relationship Id="rId120" Type="http://schemas.openxmlformats.org/officeDocument/2006/relationships/hyperlink" Target="http://www.sec.gov/Archives/edgar/data/30305/000162828017002221/dco10-k2016_ex109.htm" TargetMode="External"/><Relationship Id="rId121" Type="http://schemas.openxmlformats.org/officeDocument/2006/relationships/hyperlink" Target="http://www.sec.gov/Archives/edgar/data/30305/000162828017002221/dco10-k2016_ex1011.htm" TargetMode="External"/><Relationship Id="rId122" Type="http://schemas.openxmlformats.org/officeDocument/2006/relationships/hyperlink" Target="http://www.sec.gov/Archives/edgar/data/30305/000162828020011005/dco-q2202010xqex1018.htm" TargetMode="External"/><Relationship Id="rId123" Type="http://schemas.openxmlformats.org/officeDocument/2006/relationships/hyperlink" Target="http://www.sec.gov/Archives/edgar/data/30305/000162828020011005/dco-q2202010xqex1019.htm" TargetMode="External"/><Relationship Id="rId126" Type="http://schemas.openxmlformats.org/officeDocument/2006/relationships/hyperlink" Target="http://www.sec.gov/Archives/edgar/data/30305/000162828020011005/dco-q2202010xqex1020.htm" TargetMode="External"/><Relationship Id="rId127" Type="http://schemas.openxmlformats.org/officeDocument/2006/relationships/hyperlink" Target="http://www.sec.gov/Archives/edgar/data/30305/000162828020011005/dco-q2202010xqex1021.htm" TargetMode="External"/><Relationship Id="rId128" Type="http://schemas.openxmlformats.org/officeDocument/2006/relationships/hyperlink" Target="http://www.sec.gov/Archives/edgar/data/30305/000162828020011005/dco-q2202010xqex1022.htm" TargetMode="External"/><Relationship Id="rId129" Type="http://schemas.openxmlformats.org/officeDocument/2006/relationships/hyperlink" Target="http://www.sec.gov/Archives/edgar/data/30305/000162828022020890/exhibit10_20xpsucashltipag.htm" TargetMode="External"/><Relationship Id="rId130" Type="http://schemas.openxmlformats.org/officeDocument/2006/relationships/hyperlink" Target="http://www.sec.gov/Archives/edgar/data/30305/000162828022020890/exhibit10_21xprsucashltipa.htm" TargetMode="External"/><Relationship Id="rId131" Type="http://schemas.openxmlformats.org/officeDocument/2006/relationships/hyperlink" Target="http://www.sec.gov/Archives/edgar/data/30305/000162828023015417/ex10_18xpsuformequityagree.htm" TargetMode="External"/><Relationship Id="rId132" Type="http://schemas.openxmlformats.org/officeDocument/2006/relationships/hyperlink" Target="http://www.sec.gov/Archives/edgar/data/30305/000162828023015417/ex10_19xpsucashagreementfo.htm" TargetMode="External"/><Relationship Id="rId133" Type="http://schemas.openxmlformats.org/officeDocument/2006/relationships/hyperlink" Target="http://www.sec.gov/Archives/edgar/data/30305/000119312510036507/dex1015.htm" TargetMode="External"/><Relationship Id="rId134" Type="http://schemas.openxmlformats.org/officeDocument/2006/relationships/hyperlink" Target="http://www.sec.gov/Archives/edgar/data/30305/000119312519301183/0001193125-19-301183-index.htm" TargetMode="External"/><Relationship Id="rId135" Type="http://schemas.openxmlformats.org/officeDocument/2006/relationships/hyperlink" Target="http://www.sec.gov/Archives/edgar/data/30305/000119312517020975/d284517dex991.htm" TargetMode="External"/><Relationship Id="rId136" Type="http://schemas.openxmlformats.org/officeDocument/2006/relationships/hyperlink" Target="http://www.sec.gov/Archives/edgar/data/30305/000119312517020975/d284517dex992.htm" TargetMode="External"/><Relationship Id="rId137" Type="http://schemas.openxmlformats.org/officeDocument/2006/relationships/hyperlink" Target="http://www.sec.gov/Archives/edgar/data/30305/000119312517005088/d321215dex991.htm" TargetMode="External"/><Relationship Id="rId138" Type="http://schemas.openxmlformats.org/officeDocument/2006/relationships/hyperlink" Target="http://www.sec.gov/Archives/edgar/data/30305/000162828022003518/ex10_24xrrogersagreement.htm" TargetMode="External"/><Relationship Id="rId139" Type="http://schemas.openxmlformats.org/officeDocument/2006/relationships/hyperlink" Target="http://www.sec.gov/Archives/edgar/data/30305/000119312523159842/d467496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2024-02-22T15:39:50Z</dcterms:created>
  <dcterms:modified xsi:type="dcterms:W3CDTF">2024-02-22T15:39:50Z</dcterms:modified>
</cp:coreProperties>
</file>