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Tata Rajiv 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600 ANTON BLVD.</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1100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DUCOMMUN INC /DE/</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DCO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05/14/2026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585"/>
        <w:spacing w:after="0"/>
        <w:rPr>
          <w:sz w:val="20"/>
          <w:szCs w:val="20"/>
          <w:color w:val="auto"/>
        </w:rPr>
      </w:pPr>
      <w:r>
        <w:rPr>
          <w:rFonts w:ascii="Times New Roman" w:cs="Times New Roman" w:eastAsia="Times New Roman" w:hAnsi="Times New Roman"/>
          <w:sz w:val="17"/>
          <w:szCs w:val="17"/>
          <w:color w:val="0000FF"/>
        </w:rPr>
        <w:t>V.P., G.C. &amp; Corp. Secretary</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1960" w:type="dxa"/>
            <w:vAlign w:val="bottom"/>
            <w:tcBorders>
              <w:bottom w:val="single" w:sz="8" w:color="9A9A9A"/>
            </w:tcBorders>
          </w:tcPr>
          <w:p>
            <w:pPr>
              <w:spacing w:after="0"/>
              <w:rPr>
                <w:sz w:val="14"/>
                <w:szCs w:val="14"/>
                <w:color w:val="auto"/>
              </w:rPr>
            </w:pPr>
          </w:p>
        </w:tc>
        <w:tc>
          <w:tcPr>
            <w:tcW w:w="1680" w:type="dxa"/>
            <w:vAlign w:val="bottom"/>
            <w:tcBorders>
              <w:bottom w:val="single" w:sz="8" w:color="9A9A9A"/>
            </w:tcBorders>
          </w:tcPr>
          <w:p>
            <w:pPr>
              <w:spacing w:after="0"/>
              <w:rPr>
                <w:sz w:val="14"/>
                <w:szCs w:val="14"/>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0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68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2000" w:type="dxa"/>
            <w:vAlign w:val="bottom"/>
            <w:gridSpan w:val="2"/>
            <w:vMerge w:val="continue"/>
          </w:tcPr>
          <w:p>
            <w:pPr>
              <w:spacing w:after="0"/>
              <w:rPr>
                <w:sz w:val="8"/>
                <w:szCs w:val="8"/>
                <w:color w:val="auto"/>
              </w:rPr>
            </w:pPr>
          </w:p>
        </w:tc>
        <w:tc>
          <w:tcPr>
            <w:tcW w:w="168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9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COSTA MESA  CA</w:t>
            </w:r>
          </w:p>
        </w:tc>
        <w:tc>
          <w:tcPr>
            <w:tcW w:w="1680" w:type="dxa"/>
            <w:vAlign w:val="bottom"/>
            <w:vMerge w:val="restart"/>
          </w:tcPr>
          <w:p>
            <w:pPr>
              <w:jc w:val="right"/>
              <w:ind w:right="673"/>
              <w:spacing w:after="0"/>
              <w:rPr>
                <w:sz w:val="20"/>
                <w:szCs w:val="20"/>
                <w:color w:val="auto"/>
              </w:rPr>
            </w:pPr>
            <w:r>
              <w:rPr>
                <w:rFonts w:ascii="Times New Roman" w:cs="Times New Roman" w:eastAsia="Times New Roman" w:hAnsi="Times New Roman"/>
                <w:sz w:val="17"/>
                <w:szCs w:val="17"/>
                <w:color w:val="0000FF"/>
              </w:rPr>
              <w:t>92626</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1960" w:type="dxa"/>
            <w:vAlign w:val="bottom"/>
            <w:vMerge w:val="continue"/>
          </w:tcPr>
          <w:p>
            <w:pPr>
              <w:spacing w:after="0"/>
              <w:rPr>
                <w:sz w:val="10"/>
                <w:szCs w:val="10"/>
                <w:color w:val="auto"/>
              </w:rPr>
            </w:pPr>
          </w:p>
        </w:tc>
        <w:tc>
          <w:tcPr>
            <w:tcW w:w="168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960" w:type="dxa"/>
            <w:vAlign w:val="bottom"/>
            <w:tcBorders>
              <w:bottom w:val="single" w:sz="8" w:color="9A9A9A"/>
            </w:tcBorders>
          </w:tcPr>
          <w:p>
            <w:pPr>
              <w:spacing w:after="0"/>
              <w:rPr>
                <w:sz w:val="6"/>
                <w:szCs w:val="6"/>
                <w:color w:val="auto"/>
              </w:rPr>
            </w:pPr>
          </w:p>
        </w:tc>
        <w:tc>
          <w:tcPr>
            <w:tcW w:w="168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05/14/2026</w:t>
            </w:r>
          </w:p>
        </w:tc>
        <w:tc>
          <w:tcPr>
            <w:tcW w:w="112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rPr>
              <w:t>05/14/2026</w:t>
            </w:r>
          </w:p>
        </w:tc>
        <w:tc>
          <w:tcPr>
            <w:tcW w:w="800" w:type="dxa"/>
            <w:vAlign w:val="bottom"/>
            <w:tcBorders>
              <w:bottom w:val="single" w:sz="8" w:color="2C2C2C"/>
            </w:tcBorders>
          </w:tcPr>
          <w:p>
            <w:pPr>
              <w:jc w:val="center"/>
              <w:ind w:right="299"/>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ind w:left="200"/>
              <w:spacing w:after="0" w:line="320" w:lineRule="exact"/>
              <w:rPr>
                <w:sz w:val="20"/>
                <w:szCs w:val="20"/>
                <w:color w:val="auto"/>
              </w:rPr>
            </w:pPr>
            <w:r>
              <w:rPr>
                <w:rFonts w:ascii="Times New Roman" w:cs="Times New Roman" w:eastAsia="Times New Roman" w:hAnsi="Times New Roman"/>
                <w:sz w:val="34"/>
                <w:szCs w:val="34"/>
                <w:color w:val="0000FF"/>
                <w:vertAlign w:val="subscript"/>
              </w:rPr>
              <w:t>549</w:t>
            </w:r>
            <w:r>
              <w:rPr>
                <w:rFonts w:ascii="Times New Roman" w:cs="Times New Roman" w:eastAsia="Times New Roman" w:hAnsi="Times New Roman"/>
                <w:sz w:val="11"/>
                <w:szCs w:val="11"/>
                <w:color w:val="008000"/>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151.59</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35,341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05/14/2026</w:t>
            </w:r>
          </w:p>
        </w:tc>
        <w:tc>
          <w:tcPr>
            <w:tcW w:w="112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rPr>
              <w:t>05/14/2026</w:t>
            </w:r>
          </w:p>
        </w:tc>
        <w:tc>
          <w:tcPr>
            <w:tcW w:w="800" w:type="dxa"/>
            <w:vAlign w:val="bottom"/>
            <w:tcBorders>
              <w:bottom w:val="single" w:sz="8" w:color="2C2C2C"/>
            </w:tcBorders>
          </w:tcPr>
          <w:p>
            <w:pPr>
              <w:jc w:val="center"/>
              <w:ind w:right="279"/>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Borders>
              <w:bottom w:val="single" w:sz="8" w:color="2C2C2C"/>
            </w:tcBorders>
          </w:tcPr>
          <w:p>
            <w:pPr>
              <w:ind w:left="200"/>
              <w:spacing w:after="0" w:line="320" w:lineRule="exact"/>
              <w:rPr>
                <w:sz w:val="20"/>
                <w:szCs w:val="20"/>
                <w:color w:val="auto"/>
              </w:rPr>
            </w:pPr>
            <w:r>
              <w:rPr>
                <w:rFonts w:ascii="Times New Roman" w:cs="Times New Roman" w:eastAsia="Times New Roman" w:hAnsi="Times New Roman"/>
                <w:sz w:val="34"/>
                <w:szCs w:val="34"/>
                <w:color w:val="0000FF"/>
                <w:vertAlign w:val="subscript"/>
              </w:rPr>
              <w:t>558</w:t>
            </w:r>
            <w:r>
              <w:rPr>
                <w:rFonts w:ascii="Times New Roman" w:cs="Times New Roman" w:eastAsia="Times New Roman" w:hAnsi="Times New Roman"/>
                <w:sz w:val="11"/>
                <w:szCs w:val="11"/>
                <w:color w:val="008000"/>
              </w:rPr>
              <w:t>(2)</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1"/>
                <w:szCs w:val="11"/>
                <w:color w:val="008000"/>
              </w:rPr>
              <w:t>(2)</w:t>
            </w: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34,783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jc w:val="center"/>
              <w:ind w:left="1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reduction in shares to satisfy the tax withholding obligations of the Issuer with respect to the settlement, on May 14, 2026, of 1,107 restricted stock units.</w:t>
      </w:r>
    </w:p>
    <w:p>
      <w:pPr>
        <w:spacing w:after="0" w:line="50" w:lineRule="exact"/>
        <w:rPr>
          <w:rFonts w:ascii="Times New Roman" w:cs="Times New Roman" w:eastAsia="Times New Roman" w:hAnsi="Times New Roman"/>
          <w:sz w:val="13"/>
          <w:szCs w:val="13"/>
          <w:color w:val="008000"/>
        </w:rPr>
      </w:pPr>
    </w:p>
    <w:p>
      <w:pPr>
        <w:ind w:left="40" w:right="26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connection with the operation of the Issuer's Second Amended and Restated Clawback Policy (the "Clawback Policy") with respect to the restatement and revision of the Issuer's previously issued financial statements, as reported in the Issuer's Form 8-K filed on May 1, 2026, the Issuer determined that the Reporting Person would not have earned certain compensation had such compensation been determined based on the restated financial statements. As a result, 1,107 restricted stock units that vested on May 14, 2026 were not delivered to the Reporting Person and 558 shares of the Issuer's common stock were returned to the Issuer in accordance with the Issuer's Clawback Policy.</w:t>
      </w:r>
    </w:p>
    <w:p>
      <w:pPr>
        <w:spacing w:after="0" w:line="41"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9"/>
              </w:rPr>
              <w:t>Rajiv A. Tata</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05/15/2026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01226" TargetMode="External"/><Relationship Id="rId14" Type="http://schemas.openxmlformats.org/officeDocument/2006/relationships/hyperlink" Target="http://www.sec.gov/cgi-bin/browse-edgar?action=getcompany&amp;CIK=000003030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2026-05-15T16:16:07Z</dcterms:created>
  <dcterms:modified xsi:type="dcterms:W3CDTF">2026-05-15T16:16:07Z</dcterms:modified>
</cp:coreProperties>
</file>