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0" w:lineRule="auto"/>
        <w:tabs>
          <w:tab w:leader="none" w:pos="940" w:val="left"/>
        </w:tabs>
        <w:numPr>
          <w:ilvl w:val="0"/>
          <w:numId w:val="1"/>
        </w:numPr>
        <w:rPr>
          <w:rFonts w:ascii="Arial" w:cs="Arial" w:eastAsia="Arial" w:hAnsi="Arial"/>
          <w:sz w:val="38"/>
          <w:szCs w:val="38"/>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As of July 27, 2022, the registrant had 12,072,734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0"/>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July 2, 2022 and December 31,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July 2, 2022 and July 3, 2021</w:t>
            </w:r>
          </w:p>
        </w:tc>
        <w:tc>
          <w:tcPr>
            <w:tcW w:w="360" w:type="dxa"/>
            <w:vAlign w:val="bottom"/>
            <w:gridSpan w:val="3"/>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July 2, 2022 and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July 3, 2021</w:t>
            </w:r>
          </w:p>
        </w:tc>
        <w:tc>
          <w:tcPr>
            <w:tcW w:w="760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July 2,</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2022 and July 3, 2021</w:t>
            </w:r>
          </w:p>
        </w:tc>
        <w:tc>
          <w:tcPr>
            <w:tcW w:w="18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gridSpan w:val="2"/>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2, 2022 and July 3,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780" w:type="dxa"/>
            <w:vAlign w:val="bottom"/>
            <w:gridSpan w:val="4"/>
          </w:tcPr>
          <w:p>
            <w:pPr>
              <w:spacing w:after="0"/>
              <w:rPr>
                <w:sz w:val="22"/>
                <w:szCs w:val="22"/>
                <w:color w:val="auto"/>
              </w:rPr>
            </w:pPr>
          </w:p>
        </w:tc>
        <w:tc>
          <w:tcPr>
            <w:tcW w:w="840" w:type="dxa"/>
            <w:vAlign w:val="bottom"/>
            <w:gridSpan w:val="4"/>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3"/>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840" w:type="dxa"/>
            <w:vAlign w:val="bottom"/>
            <w:gridSpan w:val="10"/>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July 2,</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(allowance for credit losses of $649 and $1,098 at July 2, 2022 and December</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2021, respectively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$175,465 and $168,132 at July 2, 2022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12,067,868 and 11,925,087 shares issued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July 2, 2022 and December 31, 2021, respectively</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474,602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w:t>
            </w: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3,</w:t>
            </w: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2,</w:t>
            </w:r>
          </w:p>
        </w:tc>
        <w:tc>
          <w:tcPr>
            <w:tcW w:w="260" w:type="dxa"/>
            <w:vAlign w:val="bottom"/>
          </w:tcPr>
          <w:p>
            <w:pPr>
              <w:spacing w:after="0"/>
              <w:rPr>
                <w:sz w:val="14"/>
                <w:szCs w:val="14"/>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July 3,</w:t>
            </w:r>
          </w:p>
        </w:tc>
        <w:tc>
          <w:tcPr>
            <w:tcW w:w="0" w:type="dxa"/>
            <w:vAlign w:val="bottom"/>
          </w:tcPr>
          <w:p>
            <w:pPr>
              <w:spacing w:after="0"/>
              <w:rPr>
                <w:sz w:val="1"/>
                <w:szCs w:val="1"/>
                <w:color w:val="auto"/>
              </w:rPr>
            </w:pPr>
          </w:p>
        </w:tc>
      </w:tr>
      <w:tr>
        <w:trPr>
          <w:trHeight w:val="193"/>
        </w:trPr>
        <w:tc>
          <w:tcPr>
            <w:tcW w:w="6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317,343</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247,461</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2,</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3,</w:t>
            </w: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 2,</w:t>
            </w:r>
          </w:p>
        </w:tc>
        <w:tc>
          <w:tcPr>
            <w:tcW w:w="260" w:type="dxa"/>
            <w:vAlign w:val="bottom"/>
          </w:tcPr>
          <w:p>
            <w:pPr>
              <w:spacing w:after="0"/>
              <w:rPr>
                <w:sz w:val="14"/>
                <w:szCs w:val="14"/>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July 3,</w:t>
            </w:r>
          </w:p>
        </w:tc>
        <w:tc>
          <w:tcPr>
            <w:tcW w:w="0" w:type="dxa"/>
            <w:vAlign w:val="bottom"/>
          </w:tcPr>
          <w:p>
            <w:pPr>
              <w:spacing w:after="0"/>
              <w:rPr>
                <w:sz w:val="1"/>
                <w:szCs w:val="1"/>
                <w:color w:val="auto"/>
              </w:rPr>
            </w:pPr>
          </w:p>
        </w:tc>
      </w:tr>
      <w:tr>
        <w:trPr>
          <w:trHeight w:val="193"/>
        </w:trPr>
        <w:tc>
          <w:tcPr>
            <w:tcW w:w="6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 and prior service costs, net of tax of $35 and $77</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for the three months ended July 2, 2022 and July 3, 2021, respectively and $71</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$153 for the six months ended July 2, 2022 and July 3, 2021, respectively</w:t>
            </w: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Change in unrealized gains on cash flow hedges, net of tax of $777 and zero for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the three months ended July 2, 2022 and July 3, 2021, respectively and $2,286</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zero for the six months ended July 2, 2022 and July 3, 2021, respectively</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11,728,212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11,849,597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335,570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 2021</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11,894,807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256,845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345,470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 2022</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12,032,945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104,244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385,362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487,706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2,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12,067,868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496,545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1000" w:type="dxa"/>
            <w:vAlign w:val="bottom"/>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July 2,</w:t>
            </w:r>
          </w:p>
        </w:tc>
        <w:tc>
          <w:tcPr>
            <w:tcW w:w="520" w:type="dxa"/>
            <w:vAlign w:val="bottom"/>
          </w:tcPr>
          <w:p>
            <w:pPr>
              <w:spacing w:after="0"/>
              <w:rPr>
                <w:sz w:val="14"/>
                <w:szCs w:val="14"/>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July 3,</w:t>
            </w:r>
          </w:p>
        </w:tc>
      </w:tr>
      <w:tr>
        <w:trPr>
          <w:trHeight w:val="193"/>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(17,818)</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Post closing cash received from the acquisition of Magnetic Seal LLC, net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(6,836)</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2021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2021. The financial information included in this Quarterly Report on Form 10-Q should be read in conjunction with our Annual Report on Form 10-K for the year ended December 31, 2021.</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Quarterly Report on Form 10-Q. The results of operations for the three and six months ended July 2, 2022 are not necessarily indicative of the results to be expected for the full year ending December 31, 2022.</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 At closing, we utilized the entire amount of the 2022 Term Loan and combined with cash on hand, extinguished the existing 2019 term loan and the existing 2018 term loan. There was no balance outstanding on the 2019 revolving credit facility. At the same leverage ratio, the interest rate spread in our 2022 Credit Facilities is lower then the interest rate spread in our credit facilities that were in effect as of July 2, 2022.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as a result of completing a refinancing of our existing debt, we were required to complete an amendment to our derivative contracts with an aggregate notional amount of $150.0 million we had entered into in November 2021. The existing derivative contracts were based on U.S. dollar-one month LIBOR, which was required to be amended to one month Term SOFR, as borrowings using LIBOR are no longer available under the 2022 Credit Facilities. We have elected to apply certain hedge accounting optional expedients under ASC 848 that will allow us to continue the method of assessing hedge effectiveness as documented in the original hedge documentation and allows the reference rate on the hypothetical derivative to match the reference rate on the hedging instrument. These derivative contracts are forward interest rate swaps, all with an effective date of January 1, 2024 and terminating on January 1, 2031.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4"/>
                <w:szCs w:val="14"/>
                <w:color w:val="auto"/>
              </w:rPr>
            </w:pP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July 3,</w:t>
            </w:r>
          </w:p>
        </w:tc>
      </w:tr>
      <w:tr>
        <w:trPr>
          <w:trHeight w:val="193"/>
        </w:trPr>
        <w:tc>
          <w:tcPr>
            <w:tcW w:w="8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3"/>
                <w:szCs w:val="13"/>
                <w:color w:val="auto"/>
              </w:rPr>
            </w:pPr>
          </w:p>
        </w:tc>
        <w:tc>
          <w:tcPr>
            <w:tcW w:w="246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except per share data)</w:t>
            </w:r>
          </w:p>
        </w:tc>
        <w:tc>
          <w:tcPr>
            <w:tcW w:w="280" w:type="dxa"/>
            <w:vAlign w:val="bottom"/>
          </w:tcPr>
          <w:p>
            <w:pPr>
              <w:spacing w:after="0"/>
              <w:rPr>
                <w:sz w:val="16"/>
                <w:szCs w:val="16"/>
                <w:color w:val="auto"/>
              </w:rPr>
            </w:pPr>
          </w:p>
        </w:tc>
        <w:tc>
          <w:tcPr>
            <w:tcW w:w="246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color w:val="auto"/>
              </w:rPr>
              <w:t>except per share data)</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3,</w:t>
            </w: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4"/>
                <w:szCs w:val="14"/>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July 3,</w:t>
            </w:r>
          </w:p>
        </w:tc>
        <w:tc>
          <w:tcPr>
            <w:tcW w:w="0" w:type="dxa"/>
            <w:vAlign w:val="bottom"/>
          </w:tcPr>
          <w:p>
            <w:pPr>
              <w:spacing w:after="0"/>
              <w:rPr>
                <w:sz w:val="1"/>
                <w:szCs w:val="1"/>
                <w:color w:val="auto"/>
              </w:rPr>
            </w:pPr>
          </w:p>
        </w:tc>
      </w:tr>
      <w:tr>
        <w:trPr>
          <w:trHeight w:val="193"/>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5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3"/>
          </w:tcPr>
          <w:p>
            <w:pPr>
              <w:jc w:val="center"/>
              <w:ind w:right="468"/>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r>
      <w:tr>
        <w:trPr>
          <w:trHeight w:val="203"/>
        </w:trPr>
        <w:tc>
          <w:tcPr>
            <w:tcW w:w="5680" w:type="dxa"/>
            <w:vAlign w:val="bottom"/>
          </w:tcPr>
          <w:p>
            <w:pPr>
              <w:spacing w:after="0"/>
              <w:rPr>
                <w:sz w:val="17"/>
                <w:szCs w:val="17"/>
                <w:color w:val="auto"/>
              </w:rPr>
            </w:pPr>
          </w:p>
        </w:tc>
        <w:tc>
          <w:tcPr>
            <w:tcW w:w="242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Six Months Ended</w:t>
            </w:r>
          </w:p>
        </w:tc>
        <w:tc>
          <w:tcPr>
            <w:tcW w:w="360" w:type="dxa"/>
            <w:vAlign w:val="bottom"/>
          </w:tcPr>
          <w:p>
            <w:pPr>
              <w:spacing w:after="0"/>
              <w:rPr>
                <w:sz w:val="17"/>
                <w:szCs w:val="17"/>
                <w:color w:val="auto"/>
              </w:rPr>
            </w:pPr>
          </w:p>
        </w:tc>
      </w:tr>
      <w:tr>
        <w:trPr>
          <w:trHeight w:val="158"/>
        </w:trPr>
        <w:tc>
          <w:tcPr>
            <w:tcW w:w="5680" w:type="dxa"/>
            <w:vAlign w:val="bottom"/>
          </w:tcPr>
          <w:p>
            <w:pPr>
              <w:spacing w:after="0"/>
              <w:rPr>
                <w:sz w:val="13"/>
                <w:szCs w:val="13"/>
                <w:color w:val="auto"/>
              </w:rPr>
            </w:pPr>
          </w:p>
        </w:tc>
        <w:tc>
          <w:tcPr>
            <w:tcW w:w="900" w:type="dxa"/>
            <w:vAlign w:val="bottom"/>
          </w:tcPr>
          <w:p>
            <w:pPr>
              <w:jc w:val="center"/>
              <w:ind w:left="328"/>
              <w:spacing w:after="0" w:line="159" w:lineRule="exact"/>
              <w:rPr>
                <w:sz w:val="20"/>
                <w:szCs w:val="20"/>
                <w:color w:val="auto"/>
              </w:rPr>
            </w:pPr>
            <w:r>
              <w:rPr>
                <w:rFonts w:ascii="Times New Roman" w:cs="Times New Roman" w:eastAsia="Times New Roman" w:hAnsi="Times New Roman"/>
                <w:sz w:val="14"/>
                <w:szCs w:val="14"/>
                <w:color w:val="auto"/>
              </w:rPr>
              <w:t>July 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left="228"/>
              <w:spacing w:after="0" w:line="159" w:lineRule="exact"/>
              <w:rPr>
                <w:sz w:val="20"/>
                <w:szCs w:val="20"/>
                <w:color w:val="auto"/>
              </w:rPr>
            </w:pPr>
            <w:r>
              <w:rPr>
                <w:rFonts w:ascii="Times New Roman" w:cs="Times New Roman" w:eastAsia="Times New Roman" w:hAnsi="Times New Roman"/>
                <w:sz w:val="14"/>
                <w:szCs w:val="14"/>
                <w:color w:val="auto"/>
              </w:rPr>
              <w:t>July 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328"/>
              <w:spacing w:after="0" w:line="159" w:lineRule="exact"/>
              <w:rPr>
                <w:sz w:val="20"/>
                <w:szCs w:val="20"/>
                <w:color w:val="auto"/>
              </w:rPr>
            </w:pPr>
            <w:r>
              <w:rPr>
                <w:rFonts w:ascii="Times New Roman" w:cs="Times New Roman" w:eastAsia="Times New Roman" w:hAnsi="Times New Roman"/>
                <w:sz w:val="14"/>
                <w:szCs w:val="14"/>
                <w:color w:val="auto"/>
              </w:rPr>
              <w:t>July 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288"/>
              <w:spacing w:after="0" w:line="159" w:lineRule="exact"/>
              <w:rPr>
                <w:sz w:val="20"/>
                <w:szCs w:val="20"/>
                <w:color w:val="auto"/>
              </w:rPr>
            </w:pPr>
            <w:r>
              <w:rPr>
                <w:rFonts w:ascii="Times New Roman" w:cs="Times New Roman" w:eastAsia="Times New Roman" w:hAnsi="Times New Roman"/>
                <w:sz w:val="14"/>
                <w:szCs w:val="14"/>
                <w:color w:val="auto"/>
              </w:rPr>
              <w:t>July 3,</w:t>
            </w:r>
          </w:p>
        </w:tc>
        <w:tc>
          <w:tcPr>
            <w:tcW w:w="360" w:type="dxa"/>
            <w:vAlign w:val="bottom"/>
          </w:tcPr>
          <w:p>
            <w:pPr>
              <w:spacing w:after="0"/>
              <w:rPr>
                <w:sz w:val="13"/>
                <w:szCs w:val="13"/>
                <w:color w:val="auto"/>
              </w:rPr>
            </w:pPr>
          </w:p>
        </w:tc>
      </w:tr>
      <w:tr>
        <w:trPr>
          <w:trHeight w:val="196"/>
        </w:trPr>
        <w:tc>
          <w:tcPr>
            <w:tcW w:w="65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5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360" w:type="dxa"/>
            <w:vAlign w:val="bottom"/>
          </w:tcPr>
          <w:p>
            <w:pPr>
              <w:spacing w:after="0"/>
              <w:rPr>
                <w:sz w:val="17"/>
                <w:szCs w:val="17"/>
                <w:color w:val="auto"/>
              </w:rPr>
            </w:pPr>
          </w:p>
        </w:tc>
      </w:tr>
      <w:tr>
        <w:trPr>
          <w:trHeight w:val="22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July 2,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all with an effective date of January 1, 2024 (“Forward Interest Rate Swaps”) to manage our exposure to interest rate movements on a portion of our debt. As such, we have made the following cash flow hedging relationship elections to qualify for hedge accounting treatment related to the Forward Interest Rate Swaps as our current term loans mature before the expiration of the Forward Interest Rate Swaps: 1) Probability of forecasted transactions, and 2) Assessment of effectiveness. See Note 7. As of July 2, 2022, all of our derivative instruments were designated as cash flow hedges.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Forward Interest Rate Swaps are not effective until January 1, 2024, in both the three and six months ended July 2, 2022, we only recorded the changes in the fair value of the derivative instruments that were highly effective and that were designated and qualified as cash flow hedges of $3.3 million and $9.7 million, respectively, in other long term assets, other long term liabilities, and accumulated other comprehensive income (loss). During the three and six months ended July 3, 2021, we had no derivative instruments.</w:t>
      </w:r>
    </w:p>
    <w:p>
      <w:pPr>
        <w:spacing w:after="0" w:line="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long-term agreements and programs that can span several years. We recognize revenue under Accounting Standards Codification 606, “Revenue from Contracts with Customers” (“ASC 606”), which utilizes a five-step model.</w:t>
      </w:r>
    </w:p>
    <w:p>
      <w:pPr>
        <w:spacing w:after="0" w:line="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4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catch up adjustments on gross profit recorded were not material for both the three and six months ended July 2, 2022 and July 3, 2021.</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July 2, 2022 and December 31, 2021, provision for estimated losses on contracts were $3.6 million and $2.8 million, respectively.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July 2, 2022 and December 31, 2021, production cost of contracts were $6.0 million and $8.0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8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July 2,</w:t>
            </w:r>
          </w:p>
        </w:tc>
        <w:tc>
          <w:tcPr>
            <w:tcW w:w="180" w:type="dxa"/>
            <w:vAlign w:val="bottom"/>
          </w:tcPr>
          <w:p>
            <w:pPr>
              <w:spacing w:after="0"/>
              <w:rPr>
                <w:sz w:val="13"/>
                <w:szCs w:val="13"/>
                <w:color w:val="auto"/>
              </w:rPr>
            </w:pPr>
          </w:p>
        </w:tc>
        <w:tc>
          <w:tcPr>
            <w:tcW w:w="1140" w:type="dxa"/>
            <w:vAlign w:val="bottom"/>
          </w:tcPr>
          <w:p>
            <w:pPr>
              <w:jc w:val="right"/>
              <w:ind w:right="17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w:t>
            </w:r>
          </w:p>
        </w:tc>
      </w:tr>
    </w:tbl>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July 2, 2022 compared to December 31, 2021 was primarily due to a net increase of products in work in process in the current period.</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July 2, 2022 compared to December 31, 2021 was primarily due to a net decrease of advance or progress payments received from our customers in the current period. We recognized $16.1 million of the contract liabilities as of December 31, 2021 as revenues during the six months ended July 2, 2022.</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July 2, 2022 totaled $879.4 million. We anticipate recognizing an estimated 70% of our remaining performance obligations as revenue during the next 12 months with the remaining performance obligations being recognized in the remainder of 2023 and beyond.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6"/>
                <w:szCs w:val="16"/>
                <w:color w:val="auto"/>
              </w:rPr>
            </w:pPr>
          </w:p>
        </w:tc>
        <w:tc>
          <w:tcPr>
            <w:tcW w:w="24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July 2</w:t>
            </w:r>
          </w:p>
        </w:tc>
        <w:tc>
          <w:tcPr>
            <w:tcW w:w="30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July 3,</w:t>
            </w:r>
          </w:p>
        </w:tc>
        <w:tc>
          <w:tcPr>
            <w:tcW w:w="3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July 3,</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194"/>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106,680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113,008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206,014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227,135</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72,954</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162,488</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64,647</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50,795</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115,442</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9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(“AMJPP Grant”) of $4.0 million. As part of the award, we had to meet certain requirements over a six month performance period from November 15, 2021 to May 14, 2022, and as of our quarter ended July 2, 2022, we have completed all such requirements. As of July 2, 2022, we have received $2.0 million of the AMJPP Grant, all during 2021, with the remaining $2.0 million expected to be received during 2022 and included as other current assets. We recorded $0.9 million and $2.7 million as a reduction of cost of sales during the three and six months ended July 2, 2022, respectively, and $0.1 million and</w:t>
      </w:r>
    </w:p>
    <w:p>
      <w:pPr>
        <w:spacing w:after="0" w:line="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$0.3 million as a reduction of general and administrative expenses during the three and six months ended July 2, 2022, respectively. Cumulative through July 2, 2022, we have recorded $3.6 million and $0.4 million as a reduction of cost of sales and selling, general and administrative expenses,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2022</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was our interim period beginning January 1, 2022. The adoption of this standard did not have a material impact on our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have made the following elections related to our current cash flow hedging relationships as our current term loans mature before the expiration of the Forward Interest Rate Swaps: 1) Probability of forecasted transactions, and 2) Assessment of effectiveness. See Note 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will continue to advance our strategy to diversify and offer more customized, value-driven engineered products with aftermarket opportunities.</w:t>
      </w:r>
    </w:p>
    <w:p>
      <w:pPr>
        <w:spacing w:after="0" w:line="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original purchase price for MagSeal was $69.5 million, net of cash acquired, all payable in cash. We paid a gross aggregate of $71.3 million in cash upon the closing of the transaction. Subsequent to the closing of the transaction, during the three months ended July 2, 2022, as part of finalizing the working capital adjustment, we received $0.4 million back from the seller which lowered the purchase price to $69.1 million, net of cash acquired. We allocated the final gross purchase price of $70.9 million to the assets acquired and liabilities assumed at their estimated fair values. The excess of the purchase price over the aggregate fair values of the net assets was recorded as goodwill.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estimated fair value of the assets acquired and liabilities assumed at the date of acquisition (in thousands):</w:t>
      </w:r>
    </w:p>
    <w:p>
      <w:pPr>
        <w:spacing w:after="0" w:line="1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4"/>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Backlog</w:t>
            </w:r>
          </w:p>
        </w:tc>
        <w:tc>
          <w:tcPr>
            <w:tcW w:w="12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3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intangible assets acquired of $30.1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 for customer relationships and backlog were estimated based on a multi-period excess earnings approach, while the value for trade name was assessed using the relief from royalty methodology. Inputs to the income approach models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goodwill of $32.6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MagSeal acquisition, for tax purposes, is deemed an asset acquisition and thus, is deductible for income tax purposes.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$0.9 million during 2021 and charged to selling, general and administrative expenses.</w:t>
      </w:r>
    </w:p>
    <w:p>
      <w:pPr>
        <w:spacing w:after="0" w:line="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MagSeal’s results of operations have been included in our condensed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months ended July 2, 2022, we recorded total charges of $3.2 million. As of July 2, 2022, we estimate the remaining amount of charges related to this initiative will be $3.0 million to $5.0 million in total pre-tax restructuring charges through 2023. Of these charges, we estimate $2.0 million to $3.0 million to be cash payments for employee separation and other facility consolidation related expenses, and $1.0 million to $2.0 million to be non-cash charges for impairment of long-lived assets.</w:t>
      </w:r>
    </w:p>
    <w:p>
      <w:pPr>
        <w:spacing w:after="0" w:line="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Electronics Systems segment, we recorded $1.3 million during the three months ended July 2, 2022 for severance and benefits that were classified as restructuring charges.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Structural Systems segment, we recorded $0.5 million, $1.1 million, and $0.3 million during the three months ended July 2, 2022 for inventory write down that was classified as cost of sales, severance and benefits that were classified as restructuring charges, and impairment of property and equipment that were classified as restructuring charges,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six months ended July 2, 2022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Six Months Ended July 2, 2022</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July 2, 2022</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33"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184"/>
        </w:trPr>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impairment due to</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20"/>
                <w:szCs w:val="20"/>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 down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activities accrual for severance and benefits of $1.5 million as of July 2, 2022 was included as part of accrued and other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7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74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125,334</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150,938</w:t>
            </w:r>
          </w:p>
        </w:tc>
      </w:tr>
      <w:tr>
        <w:trPr>
          <w:trHeight w:val="20"/>
        </w:trPr>
        <w:tc>
          <w:tcPr>
            <w:tcW w:w="7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right="28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While our business continues to be negatively impacted during the three and six months ended July 2, 2022 as a result of the COVID-19 pandemic, no material adverse factors/changes have occurred since the fourth quarter of 2021 that would require us to perform another qualitative or quantitative assessment. As such, for the second quarter of 2022, it was also not more likely than not that the fair values of the reporting units were less than their carrying amounts and thus, the respective goodwill amounts were not deemed to be impaired.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285,416</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allocation refinements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985" w:right="37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0628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as part of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28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20" w:type="dxa"/>
            <w:vAlign w:val="bottom"/>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July 2,</w:t>
            </w:r>
          </w:p>
        </w:tc>
        <w:tc>
          <w:tcPr>
            <w:tcW w:w="300" w:type="dxa"/>
            <w:vAlign w:val="bottom"/>
          </w:tcPr>
          <w:p>
            <w:pPr>
              <w:spacing w:after="0"/>
              <w:rPr>
                <w:sz w:val="14"/>
                <w:szCs w:val="14"/>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2021</w:t>
            </w:r>
          </w:p>
        </w:tc>
      </w:tr>
      <w:tr>
        <w:trPr>
          <w:trHeight w:val="223"/>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r>
      <w:tr>
        <w:trPr>
          <w:trHeight w:val="229"/>
        </w:trPr>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4"/>
        </w:trPr>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3560" w:type="dxa"/>
            <w:vAlign w:val="bottom"/>
            <w:gridSpan w:val="4"/>
          </w:tcPr>
          <w:p>
            <w:pPr>
              <w:jc w:val="right"/>
              <w:ind w:right="1274"/>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40" w:type="dxa"/>
            <w:vAlign w:val="bottom"/>
          </w:tcPr>
          <w:p>
            <w:pPr>
              <w:spacing w:after="0"/>
              <w:rPr>
                <w:sz w:val="14"/>
                <w:szCs w:val="14"/>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July 2,</w:t>
            </w:r>
          </w:p>
        </w:tc>
        <w:tc>
          <w:tcPr>
            <w:tcW w:w="340" w:type="dxa"/>
            <w:vAlign w:val="bottom"/>
          </w:tcPr>
          <w:p>
            <w:pPr>
              <w:spacing w:after="0"/>
              <w:rPr>
                <w:sz w:val="14"/>
                <w:szCs w:val="14"/>
                <w:color w:val="auto"/>
              </w:rPr>
            </w:pP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254,212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18"/>
        </w:trPr>
        <w:tc>
          <w:tcPr>
            <w:tcW w:w="440" w:type="dxa"/>
            <w:vAlign w:val="bottom"/>
          </w:tcPr>
          <w:p>
            <w:pPr>
              <w:spacing w:after="0"/>
              <w:rPr>
                <w:sz w:val="18"/>
                <w:szCs w:val="18"/>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254,212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34"/>
        </w:trPr>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(7,000)</w:t>
            </w:r>
          </w:p>
        </w:tc>
      </w:tr>
      <w:tr>
        <w:trPr>
          <w:trHeight w:val="218"/>
        </w:trPr>
        <w:tc>
          <w:tcPr>
            <w:tcW w:w="440" w:type="dxa"/>
            <w:vAlign w:val="bottom"/>
          </w:tcPr>
          <w:p>
            <w:pPr>
              <w:spacing w:after="0"/>
              <w:rPr>
                <w:sz w:val="18"/>
                <w:szCs w:val="18"/>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247,212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280,712</w:t>
            </w:r>
          </w:p>
        </w:tc>
      </w:tr>
      <w:tr>
        <w:trPr>
          <w:trHeight w:val="234"/>
        </w:trPr>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246,074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279,384</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1,136</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bl>
    <w:p>
      <w:pPr>
        <w:spacing w:after="0" w:line="478" w:lineRule="exact"/>
        <w:rPr>
          <w:sz w:val="20"/>
          <w:szCs w:val="20"/>
          <w:color w:val="auto"/>
        </w:rPr>
      </w:pPr>
    </w:p>
    <w:p>
      <w:pPr>
        <w:sectPr>
          <w:pgSz w:w="11900" w:h="16838" w:orient="portrait"/>
          <w:cols w:equalWidth="0" w:num="2">
            <w:col w:w="6480" w:space="720"/>
            <w:col w:w="4000"/>
          </w:cols>
          <w:pgMar w:left="320" w:top="985" w:right="37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 At the same leverage ratio, the interest rate spread in our 2022 Credit Facilities is lower then the interest rate spread in our credit facilities that were in effect as of July 2, 2022. See Note 1 for further information.</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 original amounts available under the 2019 Revolving Credit Facility, 2019 Term Loan, and 2018 Term Loan (collectively, the “Credit Facilities”) in aggregate, totaled $480.0 million.</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53" w:lineRule="auto"/>
        <w:rPr>
          <w:sz w:val="20"/>
          <w:szCs w:val="20"/>
          <w:color w:val="auto"/>
        </w:rPr>
      </w:pPr>
      <w:r>
        <w:rPr>
          <w:rFonts w:ascii="Times New Roman" w:cs="Times New Roman" w:eastAsia="Times New Roman" w:hAnsi="Times New Roman"/>
          <w:sz w:val="18"/>
          <w:szCs w:val="18"/>
          <w:color w:val="auto"/>
        </w:rPr>
        <w:t>0.50%, [b] Bank of America’s prime rate, and [c] the Eurodollar Rate plus 1.00%) plus an applicable margin ranging from 0.50% to 1.50% per year, in each case based upon the consolidated total net adjusted leverage ratio, typically payable quarterly. In addition, the 2019 Term Loan requires installment payments of 1.25% of the original outstanding principal balance of the 2019 Term Loan amount on a quarterly basis, on the last day of the calendar quarter. For the three and six months ended July 2, 2022, we made the required quarterly payments of $1.8 million and $3.5 million, respectively.</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spacing w:after="0" w:line="4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1.0 but greater than 2.50 to 1.0, and (iii) zero percent of the excess cash flow amount if the consolidated adjusted leverage ratio is less than or equal to 2.50 to 1.0. We did not exceed the annual excess cash flow threshold for 2021 and thus, no annual excess cash flow payment was required to be paid during the first quarter of 2022. As of July 2, 2022, we were in compliance with all covenants required under the Credit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entering into the 2019 Revolving Credit Facility and the 2019 Term Loan, we drew down the entire $140.0 million on the 2019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used those proceeds to pay off and close the 2018 Revolving Credit Facility of $58.5 million, paid down a portion of the 2018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 million, paid the accrued interest associated with the amounts being paid down on the 2018 Revolving Credit Facility and 2018 Term Loan, paid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related to this transaction, and the remainder available for general corporate purposes. The $56.0 million pay down on the 2018 Term Loan paid 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quarterly installment payments on the 2018 Term Loan until maturity.</w:t>
      </w:r>
    </w:p>
    <w:p>
      <w:pPr>
        <w:spacing w:after="0" w:line="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We made no voluntary prepayments on either the 2019 Term Loan or the 2018 Term Loan during the three months ended July 2,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as of the modification date will also be amortized over its remaining life.</w:t>
      </w:r>
    </w:p>
    <w:p>
      <w:pPr>
        <w:spacing w:after="0" w:line="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July 2, 2022, we had $99.8 million of unused borrowing capacity under the 2019 Revolving Credit Facility, after deducting $0.2 million for standby letters of credit.</w:t>
      </w:r>
    </w:p>
    <w:p>
      <w:pPr>
        <w:spacing w:after="0" w:line="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Credit Facilities were entered into by us (“Parent Company”) and guaranteed by all of our domestic subsidiaries, other than two subsidiaries that were considered minor (“Subsidiary Guarantors”). The Subsidiary Guarantors jointly and severally guarantee the Credit Facilities. The Parent Company has no independent assets or operations and therefore, no consolidating financial information for the Parent Company and its subsidiaries is presented.</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Forward Interest Rate Swaps are not effective until January 1, 2024, we only recorded the changes in the fair value of the Forward Interest Rate Swaps that were highly effective and that were designated and qualified as cash flow hedges. As such, we recorded the change of $3.3 million in other long term assets, other long term liabilities, and other comprehensive income (loss) for the three months ended July 2, 2022. See Note 1 for further information.</w:t>
      </w:r>
    </w:p>
    <w:p>
      <w:pPr>
        <w:spacing w:after="0" w:line="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as a result of completing a refinancing of our existing debt, we were required to complete an amendment of our derivative contracts with an aggregate notional amount of $150.0 million we had entered into in November 2021. The existing derivative contracts were based on U.S. dollar-one month LIBOR, which was required to be amended to one month Term SOFR, as borrowings using LIBOR are no longer available under the 2022 Credit Facilities. See Note 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Indemnifications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$1.0 million for the three months ended July 2, 2022 compared to $1.8 million for the three months ended July 3, 2021. The decrease in income tax expense for the second quarter of 2022 compared to the second quarter of 2021 was primarily due to lower pre-tax income for the second quarter of 2022 compared to the second quarter of 2021. The decrease in income tax expense was partially offset by lower discrete income tax benefits recognized in the second quarter of 2022 for net tax windfalls related to stock-based compensation.</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$2.6 million for the six months ended July 2, 2022 compared to $2.9 million for the six months ended July 3, 2021. The decrease in income tax expense for the first six months of 2022 compared to the first six months of 2021 was primarily due to lower pre-tax income for the first six months of 2022 compared to the first six months of 2021 and higher income tax benefits recognized in the first six months of 2022 related to the U.S. Federal research and development tax credit. The decrease in income tax expense was partially offset by lower discrete income tax benefits recognized in the first six months of 2022 for net tax windfalls related to stock-based compensation.</w:t>
      </w:r>
    </w:p>
    <w:p>
      <w:pPr>
        <w:spacing w:after="0" w:line="6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$4.6 million and $4.4 million as of July 2, 2022 and December 31, 2021, respectively. If recognized, $2.8 million would affect the effective tax rate. We record interest and penalty charges, if any, related to uncertain tax positions as a component of tax expense and unrecognized tax benefits. The amounts accrued for interest and penalty charges as of July 2, 2022 and December 31, 2021 were not significant. As a result of statute of limitations set to expire in the fourth quarter of 2022, we expect decreases to our unrecognized tax benefits of approximately $0.7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Although there is proposed legislation to temporarily reinstate the current deduction of the expenditures after 2021 through 2025, we must consider the changes under the TCJA. As of July 2, 2022, we recorded an increase to current income taxes payable by approximately $5.3 million and a decrease to net deferred tax liabilities by a similar amount. We are monitoring legislation for any further changes to Section 174 and the impact to the financial statements in 2022.</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of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County of San Bernardino. We received service of process of this complaint on January 28, 2021. The complaint alleges violations of California’s wage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 laws relating to our current and former employees and seeks attorney’s fees and penalties. We vigorously refuted and defended these claims,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reached a tentative settlement of $0.8 million during the fourth quarter 2021, which is subject to court approval. Thus, we recorded accrued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as of December 31, 2021. During the three months ended July 2, 2022, additional factual information was identified resulting in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the tentative settlement to $0.9 million. Therefore, we recorded an additional accrued liabilities of $0.1 million for a total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$0.9 million as of July 2, 2022. We are awaiting final court approval of this settlement.</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July 2, 2022 and December 31, 2021, which is reflected in other long-term liabilities on our condensed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July 2, 2022 and December 31, 2021,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was being absorbed by our other existing performance centers, however, we have reestablished and are in the process of ramping up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5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During the three and six months ended July 2, 2022, we received insurance recoveries of zero and $3.0 million, respectively, for business interruption and since the contingencies related to this amount are deemed to be resolved, we recorded this amount as other income. In addition, as of July 2, 2022, we have received $13.5 million of general insurance recoveries, all during 2020. The timing of and the remaining amounts of insurance recoveries, including for business interruption, are not known at this time.</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and claims, and receive certain demands and inquiries, in both cases, including but not limited to matters relating to environmental laws. In addition, Ducommun makes various commitments, grants indemnities,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 Information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3"/>
                <w:szCs w:val="13"/>
                <w:color w:val="auto"/>
              </w:rPr>
            </w:pPr>
          </w:p>
        </w:tc>
        <w:tc>
          <w:tcPr>
            <w:tcW w:w="24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July 3,</w:t>
            </w:r>
          </w:p>
        </w:tc>
        <w:tc>
          <w:tcPr>
            <w:tcW w:w="28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2"/>
                <w:szCs w:val="12"/>
                <w:color w:val="auto"/>
              </w:rPr>
            </w:pPr>
          </w:p>
        </w:tc>
        <w:tc>
          <w:tcPr>
            <w:tcW w:w="104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July 3,</w:t>
            </w:r>
          </w:p>
        </w:tc>
        <w:tc>
          <w:tcPr>
            <w:tcW w:w="0" w:type="dxa"/>
            <w:vAlign w:val="bottom"/>
          </w:tcPr>
          <w:p>
            <w:pPr>
              <w:spacing w:after="0"/>
              <w:rPr>
                <w:sz w:val="1"/>
                <w:szCs w:val="1"/>
                <w:color w:val="auto"/>
              </w:rPr>
            </w:pPr>
          </w:p>
        </w:tc>
      </w:tr>
      <w:tr>
        <w:trPr>
          <w:trHeight w:val="193"/>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115,442</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317,343</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780" w:firstLine="251"/>
        <w:spacing w:after="0" w:line="365" w:lineRule="auto"/>
        <w:tabs>
          <w:tab w:leader="none" w:pos="5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Segment assets include assets directly identifiable to or allocated to each segment. Our segment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2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490,814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191,789</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80" w:right="14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COVID-19 pandemic has had a significant impact on our overall business during both the three and six months ended July 2, 2022 and July 3, 2021.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safety of our employees remains our highest priority. The well-being and safety protocols that were already in place at all of our facilities were further enhanced at the onset of the COVID-19 pandemic. We continue to follow safety protocols consistent with guidelines provided by state and local governments and the Centers for Disease Control and Prevention (“CDC”). These measures included social distancing, provision of personal protective equipment, enhanced cleaning, and flexible work arrangements wherever possible. We have also offered enhanced leave and benefits to our employees and provided frequent updates to ensure our workforce is kept apprised of evolving regulations and safety measures.</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was required to be paid and was paid by December 31, 2021, with the remaining 50% to be paid by December 31, 2022. As of July 2, 2022, we have deferred $3.1 million, which is included as part of accrued and other liabilities on the condensed consolidated balance sheets.</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COVID-19 pandemic has and continues to contribute to a general slowdown in the global economy and most significantly, the commercial aerospace end-use market. While both major large aircraft manufacturers, The Boeing Company (“Boeing”) and Airbus SE, have announced increases in build rates for 2022, it is well below pre-pandemic levels. In its 2021 Annual Report on Form 10-K, Boeing indicated it expects commercial air travel to return to 2019 levels in 2023 to 2024, and a few years beyond that for the industry to return to the long-term trend growth.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2022 and beyond.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recap:</w:t>
      </w:r>
    </w:p>
    <w:p>
      <w:pPr>
        <w:spacing w:after="0" w:line="12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$174.2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$4.1 million, or $0.34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$24.1 million, or 13.8%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insurance recoveries related to business interruption, and inventory purchase accounting adjustments (“Adjusted EBITDA”) were $24.1 million and $23.4 million for the three months ended July 2, 2022 and July 3, 2021, respectively.</w:t>
      </w:r>
    </w:p>
    <w:p>
      <w:pPr>
        <w:spacing w:after="0" w:line="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as measures of our liquidity. The presentation of these measures should not be interpreted to mean that our future results will be unaffected by unusual or nonrecurring items.</w:t>
      </w:r>
    </w:p>
    <w:p>
      <w:pPr>
        <w:spacing w:after="0" w:line="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24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7"/>
                <w:szCs w:val="17"/>
                <w:color w:val="auto"/>
              </w:rPr>
            </w:pPr>
          </w:p>
        </w:tc>
        <w:tc>
          <w:tcPr>
            <w:tcW w:w="24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3"/>
                <w:szCs w:val="13"/>
                <w:color w:val="auto"/>
              </w:rPr>
            </w:pPr>
          </w:p>
        </w:tc>
        <w:tc>
          <w:tcPr>
            <w:tcW w:w="110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July 3,</w:t>
            </w:r>
          </w:p>
        </w:tc>
        <w:tc>
          <w:tcPr>
            <w:tcW w:w="280" w:type="dxa"/>
            <w:vAlign w:val="bottom"/>
          </w:tcPr>
          <w:p>
            <w:pPr>
              <w:spacing w:after="0"/>
              <w:rPr>
                <w:sz w:val="13"/>
                <w:szCs w:val="13"/>
                <w:color w:val="auto"/>
              </w:rPr>
            </w:pPr>
          </w:p>
        </w:tc>
        <w:tc>
          <w:tcPr>
            <w:tcW w:w="11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July 2,</w:t>
            </w:r>
          </w:p>
        </w:tc>
        <w:tc>
          <w:tcPr>
            <w:tcW w:w="280" w:type="dxa"/>
            <w:vAlign w:val="bottom"/>
          </w:tcPr>
          <w:p>
            <w:pPr>
              <w:spacing w:after="0"/>
              <w:rPr>
                <w:sz w:val="13"/>
                <w:szCs w:val="13"/>
                <w:color w:val="auto"/>
              </w:rPr>
            </w:pPr>
          </w:p>
        </w:tc>
        <w:tc>
          <w:tcPr>
            <w:tcW w:w="1000" w:type="dxa"/>
            <w:vAlign w:val="bottom"/>
          </w:tcPr>
          <w:p>
            <w:pPr>
              <w:jc w:val="right"/>
              <w:ind w:right="353"/>
              <w:spacing w:after="0" w:line="159" w:lineRule="exact"/>
              <w:rPr>
                <w:sz w:val="20"/>
                <w:szCs w:val="20"/>
                <w:color w:val="auto"/>
              </w:rPr>
            </w:pPr>
            <w:r>
              <w:rPr>
                <w:rFonts w:ascii="Times New Roman" w:cs="Times New Roman" w:eastAsia="Times New Roman" w:hAnsi="Times New Roman"/>
                <w:sz w:val="14"/>
                <w:szCs w:val="14"/>
                <w:color w:val="auto"/>
              </w:rPr>
              <w:t>July 3,</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44,519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540"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three and six months ended July 2, 2022 included $0.5 million of stock-based compensation expense for awards with both performance and market conditions that will be settled in cash.</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three and six months ended July 2, 2022 included $0.5 million of restructuring charges that were recorded as cost of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of 2022 Compared to Second Quarter of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80" w:type="dxa"/>
            <w:vAlign w:val="bottom"/>
            <w:gridSpan w:val="7"/>
          </w:tcPr>
          <w:p>
            <w:pPr>
              <w:jc w:val="center"/>
              <w:ind w:left="59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00" w:type="dxa"/>
            <w:vAlign w:val="bottom"/>
            <w:gridSpan w:val="7"/>
          </w:tcPr>
          <w:p>
            <w:pPr>
              <w:jc w:val="center"/>
              <w:ind w:left="5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Six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July 2,</w:t>
            </w:r>
          </w:p>
        </w:tc>
        <w:tc>
          <w:tcPr>
            <w:tcW w:w="1000" w:type="dxa"/>
            <w:vAlign w:val="bottom"/>
            <w:gridSpan w:val="2"/>
          </w:tcPr>
          <w:p>
            <w:pPr>
              <w:jc w:val="center"/>
              <w:ind w:left="3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July 3,</w:t>
            </w: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July 2,</w:t>
            </w:r>
          </w:p>
        </w:tc>
        <w:tc>
          <w:tcPr>
            <w:tcW w:w="1020" w:type="dxa"/>
            <w:vAlign w:val="bottom"/>
            <w:gridSpan w:val="2"/>
          </w:tcPr>
          <w:p>
            <w:pPr>
              <w:jc w:val="center"/>
              <w:ind w:left="1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July 3,</w:t>
            </w: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174,198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160,192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337,679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317,343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139,556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123,410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270,562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247,461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34,642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36,782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67,117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69,882</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24,185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23,690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47,537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46,180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7,754</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23,702</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(5,058)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10,235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18,039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4,147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and six months ended July 2, 2022 and July 3, 2021,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Six Months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680" w:type="dxa"/>
            <w:vAlign w:val="bottom"/>
            <w:tcBorders>
              <w:top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74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July 2,</w:t>
            </w:r>
          </w:p>
        </w:tc>
        <w:tc>
          <w:tcPr>
            <w:tcW w:w="18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July 3,</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July 2,</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July 3,</w:t>
            </w: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July 2</w:t>
            </w:r>
          </w:p>
        </w:tc>
        <w:tc>
          <w:tcPr>
            <w:tcW w:w="120" w:type="dxa"/>
            <w:vAlign w:val="bottom"/>
          </w:tcPr>
          <w:p>
            <w:pPr>
              <w:spacing w:after="0"/>
              <w:rPr>
                <w:sz w:val="11"/>
                <w:szCs w:val="11"/>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July 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July 2</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July 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9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106,680</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113,008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70.5 %</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(21,121)</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206,014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227,135</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61.0 %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82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80,187</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80,755</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78.6 %</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152,007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162,488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26,493</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64,466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130,481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115,442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July 2, 2022 were $174.2 million, compared to $160.2 million for the three months ended July 3, 2021. The year-over-year increase was primarily due to the following:</w:t>
      </w:r>
    </w:p>
    <w:p>
      <w:pPr>
        <w:spacing w:after="0" w:line="40"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million higher revenues in our commercial aerospace end-use markets due to higher build rates on large aircraft platforms, other commercial aerospace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lower revenues in our military and space end-use markets due to lower build rates on military rotary-wing aircraft platforms and various missile platforms, partially offset by higher build rates on other military and space platforms.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revenues for the six months ended July 2, 2022 were $337.7 million, compared to $317.3 million for the six months ended July 3, 2021. The year-over-year increase was primarily due to the following:</w:t>
      </w:r>
    </w:p>
    <w:p>
      <w:pPr>
        <w:spacing w:after="0" w:line="27" w:lineRule="exact"/>
        <w:rPr>
          <w:sz w:val="20"/>
          <w:szCs w:val="20"/>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 million higher revenues in our commercial aerospace end-use markets due to higher build rates on large aircraft platforms, other commercial aerospace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million lower revenues in our military and space end-use markets due to lower build rates on military rotary-wing aircraft platforms, various missile platforms, and military fixed-wing aircraft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52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c>
          <w:tcPr>
            <w:tcW w:w="406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r>
      <w:tr>
        <w:trPr>
          <w:trHeight w:val="133"/>
        </w:trPr>
        <w:tc>
          <w:tcPr>
            <w:tcW w:w="1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60" w:type="dxa"/>
            <w:vAlign w:val="bottom"/>
            <w:tcBorders>
              <w:top w:val="single" w:sz="8" w:color="auto"/>
            </w:tcBorders>
            <w:gridSpan w:val="2"/>
          </w:tcPr>
          <w:p>
            <w:pPr>
              <w:ind w:left="380"/>
              <w:spacing w:after="0" w:line="133" w:lineRule="exact"/>
              <w:rPr>
                <w:sz w:val="20"/>
                <w:szCs w:val="20"/>
                <w:color w:val="auto"/>
              </w:rPr>
            </w:pPr>
            <w:r>
              <w:rPr>
                <w:rFonts w:ascii="Times New Roman" w:cs="Times New Roman" w:eastAsia="Times New Roman" w:hAnsi="Times New Roman"/>
                <w:sz w:val="14"/>
                <w:szCs w:val="14"/>
                <w:color w:val="auto"/>
              </w:rPr>
              <w:t>July 2,</w:t>
            </w:r>
          </w:p>
        </w:tc>
        <w:tc>
          <w:tcPr>
            <w:tcW w:w="1140" w:type="dxa"/>
            <w:vAlign w:val="bottom"/>
            <w:tcBorders>
              <w:top w:val="single" w:sz="8" w:color="auto"/>
            </w:tcBorders>
          </w:tcPr>
          <w:p>
            <w:pPr>
              <w:jc w:val="right"/>
              <w:ind w:right="295"/>
              <w:spacing w:after="0" w:line="133" w:lineRule="exact"/>
              <w:rPr>
                <w:sz w:val="20"/>
                <w:szCs w:val="20"/>
                <w:color w:val="auto"/>
              </w:rPr>
            </w:pPr>
            <w:r>
              <w:rPr>
                <w:rFonts w:ascii="Times New Roman" w:cs="Times New Roman" w:eastAsia="Times New Roman" w:hAnsi="Times New Roman"/>
                <w:sz w:val="14"/>
                <w:szCs w:val="14"/>
                <w:color w:val="auto"/>
              </w:rPr>
              <w:t>July 3,</w:t>
            </w:r>
          </w:p>
        </w:tc>
        <w:tc>
          <w:tcPr>
            <w:tcW w:w="120" w:type="dxa"/>
            <w:vAlign w:val="bottom"/>
          </w:tcPr>
          <w:p>
            <w:pPr>
              <w:spacing w:after="0"/>
              <w:rPr>
                <w:sz w:val="11"/>
                <w:szCs w:val="11"/>
                <w:color w:val="auto"/>
              </w:rPr>
            </w:pPr>
          </w:p>
        </w:tc>
        <w:tc>
          <w:tcPr>
            <w:tcW w:w="1260" w:type="dxa"/>
            <w:vAlign w:val="bottom"/>
            <w:tcBorders>
              <w:top w:val="single" w:sz="8" w:color="auto"/>
            </w:tcBorders>
            <w:gridSpan w:val="2"/>
          </w:tcPr>
          <w:p>
            <w:pPr>
              <w:ind w:left="380"/>
              <w:spacing w:after="0" w:line="133" w:lineRule="exact"/>
              <w:rPr>
                <w:sz w:val="20"/>
                <w:szCs w:val="20"/>
                <w:color w:val="auto"/>
              </w:rPr>
            </w:pPr>
            <w:r>
              <w:rPr>
                <w:rFonts w:ascii="Times New Roman" w:cs="Times New Roman" w:eastAsia="Times New Roman" w:hAnsi="Times New Roman"/>
                <w:sz w:val="14"/>
                <w:szCs w:val="14"/>
                <w:color w:val="auto"/>
              </w:rPr>
              <w:t>July 2,</w:t>
            </w:r>
          </w:p>
        </w:tc>
        <w:tc>
          <w:tcPr>
            <w:tcW w:w="1140" w:type="dxa"/>
            <w:vAlign w:val="bottom"/>
            <w:tcBorders>
              <w:top w:val="single" w:sz="8" w:color="auto"/>
            </w:tcBorders>
          </w:tcPr>
          <w:p>
            <w:pPr>
              <w:jc w:val="right"/>
              <w:ind w:right="295"/>
              <w:spacing w:after="0" w:line="133" w:lineRule="exact"/>
              <w:rPr>
                <w:sz w:val="20"/>
                <w:szCs w:val="20"/>
                <w:color w:val="auto"/>
              </w:rPr>
            </w:pPr>
            <w:r>
              <w:rPr>
                <w:rFonts w:ascii="Times New Roman" w:cs="Times New Roman" w:eastAsia="Times New Roman" w:hAnsi="Times New Roman"/>
                <w:sz w:val="14"/>
                <w:szCs w:val="14"/>
                <w:color w:val="auto"/>
              </w:rPr>
              <w:t>July 3,</w:t>
            </w:r>
          </w:p>
        </w:tc>
        <w:tc>
          <w:tcPr>
            <w:tcW w:w="1660" w:type="dxa"/>
            <w:vAlign w:val="bottom"/>
          </w:tcPr>
          <w:p>
            <w:pPr>
              <w:spacing w:after="0"/>
              <w:rPr>
                <w:sz w:val="11"/>
                <w:szCs w:val="11"/>
                <w:color w:val="auto"/>
              </w:rPr>
            </w:pPr>
          </w:p>
        </w:tc>
      </w:tr>
      <w:tr>
        <w:trPr>
          <w:trHeight w:val="193"/>
        </w:trPr>
        <w:tc>
          <w:tcPr>
            <w:tcW w:w="1680" w:type="dxa"/>
            <w:vAlign w:val="bottom"/>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c>
          <w:tcPr>
            <w:tcW w:w="1660" w:type="dxa"/>
            <w:vAlign w:val="bottom"/>
          </w:tcPr>
          <w:p>
            <w:pPr>
              <w:spacing w:after="0"/>
              <w:rPr>
                <w:sz w:val="16"/>
                <w:szCs w:val="16"/>
                <w:color w:val="auto"/>
              </w:rPr>
            </w:pPr>
          </w:p>
        </w:tc>
      </w:tr>
      <w:tr>
        <w:trPr>
          <w:trHeight w:val="228"/>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66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60" w:type="dxa"/>
            <w:vAlign w:val="bottom"/>
          </w:tcPr>
          <w:p>
            <w:pPr>
              <w:spacing w:after="0"/>
              <w:rPr>
                <w:sz w:val="19"/>
                <w:szCs w:val="19"/>
                <w:color w:val="auto"/>
              </w:rPr>
            </w:pPr>
          </w:p>
        </w:tc>
      </w:tr>
      <w:tr>
        <w:trPr>
          <w:trHeight w:val="306"/>
        </w:trPr>
        <w:tc>
          <w:tcPr>
            <w:tcW w:w="1680" w:type="dxa"/>
            <w:vAlign w:val="bottom"/>
          </w:tcPr>
          <w:p>
            <w:pPr>
              <w:spacing w:after="0"/>
              <w:rPr>
                <w:sz w:val="24"/>
                <w:szCs w:val="24"/>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660" w:type="dxa"/>
            <w:vAlign w:val="bottom"/>
          </w:tcPr>
          <w:p>
            <w:pPr>
              <w:spacing w:after="0"/>
              <w:rPr>
                <w:sz w:val="24"/>
                <w:szCs w:val="24"/>
                <w:color w:val="auto"/>
              </w:rPr>
            </w:pPr>
          </w:p>
        </w:tc>
      </w:tr>
      <w:tr>
        <w:trPr>
          <w:trHeight w:val="787"/>
        </w:trPr>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40" w:hanging="332"/>
        <w:spacing w:after="0" w:line="266"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General Dynamics Corporation (“GD”), Northrop Grumman Corporation (“Northrop”), Raytheon Technologies Corporation (“Raytheon”), and Spirit AeroSystems Holdings, Inc. (“Spirit”) for the three and six months ended July 2, 2022 and July 3,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Northrop, Raytheon, and Spirit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July 2,</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1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GD, Northrop, Raytheon, and Spirit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decreased year-over-year with the three months ended July 2, 2022 of 19.9%, compared to the three months ended July 3, 2021 of 23.0% primarily due to unfavorable product mix, partially offset by favorable manufacturing volume and lower compensation and benefits costs.</w:t>
      </w:r>
    </w:p>
    <w:p>
      <w:pPr>
        <w:spacing w:after="0" w:line="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revenues decreased year-over-year with the six months ended July 2, 2022 of 19.9%, compared to the six months ended July 3, 2021 of 22.0% primarily due to unfavorable product mix, partially offset by lower compensation and benefits costs and favorable manufacturing volume.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SG&amp;A expenses increased $0.5 million year-over-year in the three months ended July 2, 2022 compared to the three months ended July 3, 2021 primarily due to higher other general and administrative expenses of $0.9 million, partially offset by lower compensation and benefits costs of $0.3 million.</w:t>
      </w:r>
    </w:p>
    <w:p>
      <w:pPr>
        <w:spacing w:after="0" w:line="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SG&amp;A expenses increased $1.4 million year-over-year in the six months ended July 2, 2022 compared to the six months ended July 3, 2021 primarily due to higher other general and administrative expenses of $1.6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Restructuring charges increased $3.2 million (of which $0.5 million was included in cost of sales) year-over-year in both the three and six months ended July 2, 2022 compared to both the three and six months ended July 3, 2021 primarily due to the restructuring plan that was approved and commenced in April 2022 that is expected to better position us for stronger performance. See Note 3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expense decreased $0.2 million and $0.6 million year-over-year in the three and six months ended July 2, 2022 compared to the three and six months ended July 3, 2021, respectively, primarily due to a lower outstanding debt balance, partially offset by higher interest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$1.0 million for the three months ended July 2, 2022, compared to $1.8 million for the three months ended July 3, 2021. The decrease in income tax expense for the second quarter of 2022 compared to the second quarter of 2021 was primarily due to lower pre-tax income for the second quarter of 2022 compared to the second quarter of 2021. The decrease in income tax expense was partially offset by lower discrete income tax benefits recognized in the second quarter of 2022 for net tax windfalls related to stock-based compensation.</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$2.6 million for the six months ended July 2, 2022, compared to $2.9 million for the six months ended July 3, 2021. The decrease in income tax expense for the first six months of 2022 compared to the first six months of 2021 was primarily due to lower pre-tax income for the first six months of 2022 compared to the first six months of 2021 and higher income tax benefits recognized in the first six months of 2022 related to the U.S. Federal research and development tax credit. The decrease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income tax expense was partially offset by lower discrete income tax benefits recognized in the first six months of 2022 for net tax windfalls related to stock-based compensation.</w:t>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$4.6 million and $4.4 million as of July 2, 2022 and December 31, 2021, respectively. If recognized, $2.8 million would affect the effective tax rate. We record interest and penalty charges, if any, related to uncertain tax positions as a component of tax expense and unrecognized tax benefits. The amounts accrued for interest and penalty charges as of July 2, 2022 and December 31, 2021 were not significant. As a result of statute of limitations set to expire in the fourth quarter of 2022, we expect decreases to our unrecognized tax benefits of approximately $0.7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Although there is proposed legislation to temporarily reinstate the current deduction of the expenditures after 2021 through 2025, we must consider the changes under the TCJA. As of July 2, 2022, we recorded an increase to current income taxes payable by approximately $5.3 million and a decrease to net deferred tax liabilities by a similar amount. We are monitoring legislation for any further changes to Section 174 and the impact to the financial statements in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and earnings per share for the three months ended July 2, 2022 were $4.1 million, or $0.34 per diluted share, compared to $8.4 million, or</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$0.69 per diluted share, for the three months ended July 3, 2021. The decrease in net income for the three months ended July 2, 2022 compared to the three months ended July 3, 2021 was primarily due to lower gross profit of $2.1 million and higher restructuring charges of $3.2 million.</w:t>
      </w:r>
    </w:p>
    <w:p>
      <w:pPr>
        <w:spacing w:after="0" w:line="6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Net income and earnings per share for the six months ended July 2, 2022 were $12.2 million, or $0.99 per diluted share, compared to $15.1 million, or $1.23 per diluted share, for the six months ended July 3, 2021. The decrease in net income for the six months ended July 2, 2022 compared to the six months ended July 3, 2021 was primarily due to lower gross profit of $2.8 million and higher restructuring charges of $3.2 million, partially offset by higher other income of $3.0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six months ended July 2, 2022 and July 3,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Three Months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Six 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68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640" w:type="dxa"/>
            <w:vAlign w:val="bottom"/>
            <w:tcBorders>
              <w:top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1"/>
                <w:szCs w:val="11"/>
                <w:color w:val="auto"/>
              </w:rPr>
              <w:t>(Dollars in thousands)</w:t>
            </w:r>
          </w:p>
        </w:tc>
        <w:tc>
          <w:tcPr>
            <w:tcW w:w="1700" w:type="dxa"/>
            <w:vAlign w:val="bottom"/>
            <w:tcBorders>
              <w:top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July 2,</w:t>
            </w:r>
          </w:p>
        </w:tc>
        <w:tc>
          <w:tcPr>
            <w:tcW w:w="18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July 3,</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July 2,</w:t>
            </w: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1"/>
                <w:szCs w:val="11"/>
                <w:color w:val="auto"/>
              </w:rPr>
              <w:t>July 3,</w:t>
            </w:r>
          </w:p>
        </w:tc>
        <w:tc>
          <w:tcPr>
            <w:tcW w:w="12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July 2,</w:t>
            </w:r>
          </w:p>
        </w:tc>
        <w:tc>
          <w:tcPr>
            <w:tcW w:w="100" w:type="dxa"/>
            <w:vAlign w:val="bottom"/>
          </w:tcPr>
          <w:p>
            <w:pPr>
              <w:spacing w:after="0"/>
              <w:rPr>
                <w:sz w:val="11"/>
                <w:szCs w:val="11"/>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July 3,</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July 2,</w:t>
            </w: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auto"/>
              </w:rPr>
              <w:t>July 3,</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109,732</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207,198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63.6 %</w:t>
            </w: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64,466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37.0 %</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130,481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115,442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38.6 %</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36.4 %</w:t>
            </w:r>
          </w:p>
        </w:tc>
        <w:tc>
          <w:tcPr>
            <w:tcW w:w="0" w:type="dxa"/>
            <w:vAlign w:val="bottom"/>
          </w:tcPr>
          <w:p>
            <w:pPr>
              <w:spacing w:after="0"/>
              <w:rPr>
                <w:sz w:val="1"/>
                <w:szCs w:val="1"/>
                <w:color w:val="auto"/>
              </w:rPr>
            </w:pPr>
          </w:p>
        </w:tc>
      </w:tr>
      <w:tr>
        <w:trPr>
          <w:trHeight w:val="169"/>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Net 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174,198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160,192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337,679</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317,343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13,610</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rPr>
              <w:t>Corporate General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Administrative Expenses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9"/>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Operating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16,877</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17.3 %</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31,295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16.7 %</w:t>
            </w: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680"/>
              <w:spacing w:after="0" w:line="128"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680"/>
              <w:spacing w:after="0" w:line="128" w:lineRule="exact"/>
              <w:rPr>
                <w:sz w:val="20"/>
                <w:szCs w:val="20"/>
                <w:color w:val="auto"/>
              </w:rPr>
            </w:pPr>
            <w:r>
              <w:rPr>
                <w:rFonts w:ascii="Times New Roman" w:cs="Times New Roman" w:eastAsia="Times New Roman" w:hAnsi="Times New Roman"/>
                <w:sz w:val="13"/>
                <w:szCs w:val="13"/>
                <w:color w:val="auto"/>
              </w:rPr>
              <w:t>Guaymas fire related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expenses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Inventory Purchase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Accounting Adjustments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15.2 %</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16.3 %</w:t>
            </w:r>
          </w:p>
        </w:tc>
        <w:tc>
          <w:tcPr>
            <w:tcW w:w="0" w:type="dxa"/>
            <w:vAlign w:val="bottom"/>
          </w:tcPr>
          <w:p>
            <w:pPr>
              <w:spacing w:after="0"/>
              <w:rPr>
                <w:sz w:val="1"/>
                <w:szCs w:val="1"/>
                <w:color w:val="auto"/>
              </w:rPr>
            </w:pPr>
          </w:p>
        </w:tc>
      </w:tr>
      <w:tr>
        <w:trPr>
          <w:trHeight w:val="121"/>
        </w:trPr>
        <w:tc>
          <w:tcPr>
            <w:tcW w:w="224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rPr>
              <w:t>Corporate General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 xml:space="preserve">Administrative Expenses </w:t>
            </w:r>
            <w:r>
              <w:rPr>
                <w:rFonts w:ascii="Times New Roman" w:cs="Times New Roman" w:eastAsia="Times New Roman" w:hAnsi="Times New Roman"/>
                <w:sz w:val="16"/>
                <w:szCs w:val="16"/>
                <w:color w:val="auto"/>
                <w:vertAlign w:val="superscript"/>
              </w:rPr>
              <w:t>(1)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Loss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680"/>
              <w:spacing w:after="0" w:line="122" w:lineRule="exact"/>
              <w:rPr>
                <w:sz w:val="20"/>
                <w:szCs w:val="20"/>
                <w:color w:val="auto"/>
              </w:rPr>
            </w:pPr>
            <w:r>
              <w:rPr>
                <w:rFonts w:ascii="Times New Roman" w:cs="Times New Roman" w:eastAsia="Times New Roman" w:hAnsi="Times New Roman"/>
                <w:sz w:val="13"/>
                <w:szCs w:val="13"/>
                <w:color w:val="auto"/>
              </w:rPr>
              <w:t>Depreciation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Amortization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680"/>
              <w:spacing w:after="0" w:line="129"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shd w:val="clear" w:color="auto" w:fill="CCEEFF"/>
          </w:tcPr>
          <w:p>
            <w:pPr>
              <w:ind w:left="880"/>
              <w:spacing w:after="0" w:line="148" w:lineRule="exact"/>
              <w:rPr>
                <w:sz w:val="20"/>
                <w:szCs w:val="20"/>
                <w:color w:val="auto"/>
              </w:rPr>
            </w:pPr>
            <w:r>
              <w:rPr>
                <w:rFonts w:ascii="Times New Roman" w:cs="Times New Roman" w:eastAsia="Times New Roman" w:hAnsi="Times New Roman"/>
                <w:sz w:val="13"/>
                <w:szCs w:val="13"/>
                <w:color w:val="auto"/>
              </w:rPr>
              <w:t>Adjusted EBITDA</w:t>
            </w: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24,118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8"/>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23,379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13.8 %</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14.6 %</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44,193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44,519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13.1 %</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Corporate Administration</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4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Capital Expenditures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10,497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costs not allocated to either the Electronic Systems or Structural Systems operating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July 2, 2022 compared to the three months ended July 3, 2021 increased $6.9 million primarily due to the following:</w:t>
      </w:r>
    </w:p>
    <w:p>
      <w:pPr>
        <w:spacing w:after="0" w:line="27" w:lineRule="exact"/>
        <w:rPr>
          <w:sz w:val="20"/>
          <w:szCs w:val="20"/>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higher revenues in our commercial aerospace end-use markets due to higher build rates on other commercial aerospace platforms and large aircraft platforms; partially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lower revenues in our military and space end-use markets due to lower build rates on military fixed-wing aircraft platforms and various missile platforms, partially offset by higher build rates on other military and space platforms.</w:t>
      </w:r>
    </w:p>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six months ended July 2, 2022 compared to the six months ended July 3, 2021 increased $5.3 million primarily due to the following:</w:t>
      </w:r>
    </w:p>
    <w:p>
      <w:pPr>
        <w:spacing w:after="0" w:line="40" w:lineRule="exact"/>
        <w:rPr>
          <w:sz w:val="20"/>
          <w:szCs w:val="20"/>
          <w:color w:val="auto"/>
        </w:rPr>
      </w:pPr>
    </w:p>
    <w:p>
      <w:pPr>
        <w:ind w:left="660" w:right="2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higher revenues in our commercial aerospace end-use markets due to higher build rates on other commercial aerospace platforms, large aircraft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lower revenues in our military and space end-use markets due to lower build rates on other military and space platforms, military fixed-wing aircraft platforms, and various missile platforms.</w:t>
      </w:r>
    </w:p>
    <w:p>
      <w:pPr>
        <w:spacing w:after="0" w:line="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July 2, 2022 compared to the three months ended July 3, 2021 decreased $0.8 million primarily due to unfavorable product mix, partially offset by favorable manufacturing volume.</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six months ended July 2, 2022 compared to the six months ended July 3, 2021 decreased $3.8 million primarily due to unfavorable product mix.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July 2, 2022 compared to the three months ended July 3, 2021 increased $7.1 million primarily due to the following:</w:t>
      </w:r>
    </w:p>
    <w:p>
      <w:pPr>
        <w:spacing w:after="0" w:line="40" w:lineRule="exact"/>
        <w:rPr>
          <w:sz w:val="20"/>
          <w:szCs w:val="20"/>
          <w:color w:val="auto"/>
        </w:rPr>
      </w:pPr>
    </w:p>
    <w:p>
      <w:pPr>
        <w:ind w:left="660" w:right="1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million higher revenues in our commercial aerospace end-use markets due to higher build rates on large aircraft platforms; partially offset by</w:t>
      </w:r>
    </w:p>
    <w:p>
      <w:pPr>
        <w:spacing w:after="0" w:line="4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lower revenues in our military and space end-use markets due to lower build rates on military rotary-wing aircraft platforms and various missile platforms.</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six months ended July 2, 2022 compared to the six months ended July 3, 2021 increased $15.0 million primarily due to the following:</w:t>
      </w:r>
    </w:p>
    <w:p>
      <w:pPr>
        <w:spacing w:after="0" w:line="40" w:lineRule="exact"/>
        <w:rPr>
          <w:sz w:val="20"/>
          <w:szCs w:val="20"/>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higher revenues in our commercial aerospace end-use markets due to higher build rates on large aircraft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lower revenues in our military and space end-use markets due to lower build rates on military rotary-wing aircraft platforms and various missile platforms.</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July 2, 2022 compared to the three months ended July 3, 2021 decreased $4.3 million primarily due to unfavorable product mix.</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six months ended July 2, 2022 compared to the six months ended July 3, 2021 decreased $4.6 million primarily due to unfavorable product mix, partially offset by lower compensation and benefits costs and favorable manufacturing volume.</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8 and Note 10 to our condensed consolidated financial statements included in Part I, Item 1 of this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CG&amp;A expenses increased $0.2 million for the three months ended July 2, 2022 compared to the three months ended July 3, 2021.</w:t>
      </w:r>
    </w:p>
    <w:p>
      <w:pPr>
        <w:spacing w:after="0" w:line="10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CG&amp;A expenses decreased $1.6 million for the six months ended July 2, 2022 compared to the six months ended July 3, 2021 primarily due to lower compensation and benefits costs of $1.6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backlog was primarily in the commercial aerospace end-use market, partially offset by a decrease in the military and space end-use market. $686.0 million of total backlog is expected to be delivered over the next 12 months. The following table summarizes our backlog as of July 2, 2022 and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July 2,</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center"/>
              <w:ind w:right="233"/>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center"/>
              <w:ind w:left="372"/>
              <w:spacing w:after="0"/>
              <w:rPr>
                <w:sz w:val="20"/>
                <w:szCs w:val="20"/>
                <w:color w:val="auto"/>
              </w:rPr>
            </w:pPr>
            <w:r>
              <w:rPr>
                <w:rFonts w:ascii="Times New Roman" w:cs="Times New Roman" w:eastAsia="Times New Roman" w:hAnsi="Times New Roman"/>
                <w:sz w:val="18"/>
                <w:szCs w:val="18"/>
                <w:color w:val="auto"/>
              </w:rPr>
              <w:t>(26,358)</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493,920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520,278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86,076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6"/>
              </w:rPr>
              <w:t>11,557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71,275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6"/>
              </w:rPr>
              <w:t>32,822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11,557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6"/>
              </w:rPr>
              <w:t>31,661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rPr>
              <w:t>(13,640)</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53,254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6"/>
              </w:rPr>
              <w:t>39,614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287.7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we completed a refinancing of all our existing debt by entering into a new term loan and a new revolving credit facility. At the same leverage ratio, the interest rate spread in our new credit facilities is lower then the interest rate spread in our credit facilities that were in effect as of July 2, 2022. See Note 1 to our condensed consolidated financial statements included in Part I, Item 1 of this Form 10-Q for further information.</w:t>
      </w:r>
    </w:p>
    <w:p>
      <w:pPr>
        <w:spacing w:after="0" w:line="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We made the mandatory quarterly principal prepayment under the 2019 Term Loan during the three and six months ended July 2, 2022 of $1.8 million and $3.5 million, respectively. In addition, if we meet the annual excess cash flow threshold, we are required to make an annual additional principal payment on the 2018 Term Loan based on the consolidated adjusted leverage ratio. We did not exceed the annual excess cash flow threshold for 2021 and thus, no annual excess cash flow payment was required to be paid during the first quarter of 2022. Further, the undrawn portion of the commitment of the 2019 Revolving Credit Facility is subject to a commitment fee ranging from 0.175% to 0.275%, based upon the consolidated total net adjusted leverage ratio. As of July 2, 2022, we were in compliance with all covenants required under the Credit Facilities. See Note 7 to our condensed consolidated financial statements included in Part I, Item 1 of this Form 10-Q for further information.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4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We made no voluntary prepayments on either the 2019 Term Loan or the 2018 Term Loan during the three months ended July 2, 2022.</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2, 2022, 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July 2, 2022, we estimate the remaining amount of charges related to this initiative to be $3.0 million to $5.0 million in total pre-tax restructuring charges through 2023. Of these charges, we estimate</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 million to $3.0 million to be cash payments for employee separation and other facility consolidation related expenses, and $1.0 million to $2.0 million to be non-cash charges for impairment of long-lived assets. On an annualized basis, we anticipate these restructuring actions will result in total cost savings of $3.0 million to $4.0 million. See Note 3 to our condensed consolidated financial statements included in Part I, Item 1 of this Form 10-Q for further information.</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7 to our condensed consolidated financial statements included in Part I, Item 1 of this Form 10-Q for further information.</w:t>
      </w:r>
    </w:p>
    <w:p>
      <w:pPr>
        <w:spacing w:after="0" w:line="4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as a result of completing a refinancing of the Credit Facilities, we were required to complete an amendment of our derivative contracts with an aggregate notional amount of $150.0 million we had entered into in November 2021. The existing derivative contracts were based on U.S. dollar-one month LIBOR, which was required to be amended to one month Term SOFR, as borrowings using LIBOR are no longer available under the New Credit Facilities. See Note 1 to our condensed consolidated financial statements included in Part I, Item 1 of this Form 10-Q for further information.</w:t>
      </w:r>
    </w:p>
    <w:p>
      <w:pPr>
        <w:spacing w:after="0" w:line="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2021, we acquired MagSeal for a purchase price of $69.5 million, net of cash acquired, all payable in cash. Upon the closing of the transaction, we paid a gross total aggregate of $71.3 million in cash, a portion of which was by drawing down on the 2019 Revolving Credit Facility. This draw down on the 2019 Revolving Credit Facility was paid off by December 31, 2021. See Note 2 to our condensed consolidated financial statements included in Part I, Item 1 of this Form 10-Q for further information.</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$141.3 million and we recognized a gain of $132.5 million. As part of the Sale-Leaseback Agreement, we entered into an initial five year lease for the usage of the just sold building and related land. The future minimum base monthly lease payments during the initial five year period in aggregate total $19.6 million.</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to spend a total of $17.0 million to $19.0 million for capital expenditures in 2022 (excluding capital expenditures we will spend to restore the manufacturing capabilities related to our Guaymas performance center that was severely damaged by fire in June 2020), financed by cash generated from operations, principally to support new contract awards in the Electronic Systems and Structural Systems segments.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July 2, 2022 was $6.1 million, compared to net cash used in operating activities of $17.8 million for the six months ended July 3, 2021. The higher net cash provided by operating activities during the first six months of 2022 was mainly due to higher accounts payable, partially offset by higher contract assets, higher accounts receivable, and lower net income.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$8.7 million for the six months ended July 2, 2022, compared to $6.8 million in the six months ended July 3, 2021. The higher net cash used during the first six months of 2022 compared to the prior year period was mainly due to higher purchases of property and equipment.</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$36.3 million for the six months ended July 2, 2022, compared to $19.8 million for the six months ended July 3, 2021. The higher net cash used in financing activities during the first six months of 2022 was mainly due to the $30.0 million pay down on term loans during the six months ended July 2,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2021 Annual Report on Form 10-K. There have been no material changes in any of our critical accounting policies during the three months ended July 2,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and U.K. interest rates on our outstanding long-term debt. At July 2, 2022, we had total borrowings of $254.2 million under our Credit Facilities.</w:t>
      </w:r>
    </w:p>
    <w:p>
      <w:pPr>
        <w:spacing w:after="0" w:line="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Times New Roman" w:cs="Times New Roman" w:eastAsia="Times New Roman" w:hAnsi="Times New Roman"/>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4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we completed a refinancing of all our existing debt by entering into a new term loan and a new revolving credit facility. See Note 1 to our condensed consolidated financial statements included in Part I, Item 1 of this Form 10-Q for further information.</w:t>
      </w:r>
    </w:p>
    <w:p>
      <w:pPr>
        <w:spacing w:after="0" w:line="5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Subsequent to our quarter ended July 2, 2022, on July 14, 2022, as a result of completing a refinancing of all our existing debt, we were required to complete an amendment of our derivative contracts with an aggregate notional amount of $150.0 million we had entered into in November 2021. The existing derivative contracts were based on U.S. dollar-one month LIBOR, which was required to be amended to one month Term SOFR, as borrowings using LIBOR are no longer available under the New Credit Facilities. See Note 1 to our condensed consolidated financial statements included in Part I, Item 1 of this Form 10-Q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9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July 2, 2022 that have materially affected, or are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included in Part I, Item 1 of this Form 10-Q for a description of our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2021 for a discussion of our risk factors. There have been no material changes during the three months ended July 2, 2022 to the risk factors disclosed in our Form 10-K for the year ended December 31, 2021.</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580" w:hanging="566"/>
        <w:spacing w:after="0" w:line="282"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2.4 Agreement of Purchase and Sale and Agreement to Enter into Lease dated as of December 16, 2021 by and among Ducommun Aerostructures, Inc. and</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Centerpoint 268 Gardena LLC. Incorporated by reference to Exhibit 2.1 to Form 8-K filed on December 20, 2021.</w:t>
        </w:r>
      </w:hyperlink>
    </w:p>
    <w:p>
      <w:pPr>
        <w:spacing w:after="0" w:line="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360" w:hanging="323"/>
        <w:spacing w:after="0" w:line="282"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3.3 Bylaws as amended and restated on March 19, 2013. Incorporated by reference to Exhibit 99.1 to Form 8-K dated March 22, 2013.</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3.4 Amendment to Bylaws dated January 5, 2017. Incorporated by reference to Exhibit 99.2 to Form 8-K dated January 9, 2017.</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3.5 Amendment to Bylaws dated February 21, 2018. Incorporated by reference to Exhibit 3.1 to Form 8-K dated February 26, 2018.</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3.6 Amendment to Bylaws dated March 5, 2021. Incorporated by reference to Exhibit 3.1 to Form 8-K dated March 8, 2021.</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10-K for the year ended December 31, 2019.</w:t>
        </w:r>
      </w:hyperlink>
    </w:p>
    <w:p>
      <w:pPr>
        <w:spacing w:after="0" w:line="99" w:lineRule="exact"/>
        <w:rPr>
          <w:sz w:val="20"/>
          <w:szCs w:val="20"/>
          <w:color w:val="auto"/>
        </w:rPr>
      </w:pPr>
    </w:p>
    <w:p>
      <w:pPr>
        <w:ind w:left="420" w:right="180" w:hanging="404"/>
        <w:spacing w:after="0" w:line="266"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10.1 Credit Agreement, dated as of July 14, 2022, by and among Ducommun Incorporated, as Borrower, the subsidiaries of the Borrower party thereto as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Guarantors, Bank of America, N.A., as Administrative Agent, Swingline Lender and an L/C Issuer, and the lender party thereto. Incorporated by</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reference to Exhibit 10.1 to Form 8-K filed on July 18, 2022.</w:t>
        </w:r>
      </w:hyperlink>
    </w:p>
    <w:p>
      <w:pPr>
        <w:spacing w:after="0" w:line="68" w:lineRule="exact"/>
        <w:rPr>
          <w:rFonts w:ascii="Times New Roman" w:cs="Times New Roman" w:eastAsia="Times New Roman" w:hAnsi="Times New Roman"/>
          <w:sz w:val="18"/>
          <w:szCs w:val="18"/>
          <w:u w:val="single" w:color="auto"/>
          <w:color w:val="0000FF"/>
        </w:rPr>
      </w:pPr>
    </w:p>
    <w:p>
      <w:pPr>
        <w:ind w:left="420" w:right="120" w:hanging="404"/>
        <w:spacing w:after="0" w:line="266"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10.2 Joinder Agreement to Amended and Restated Credit Agreement dated as of April 15, 2022, by and among Magnetic Seal LLC as Subsidiary</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Guarantor, Ducommun Incorporated as Borrower, and Bank of America, N.A. as Administrative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Form 10-Q for the period ended April 2, 2022.</w:t>
        </w:r>
      </w:hyperlink>
    </w:p>
    <w:p>
      <w:pPr>
        <w:spacing w:after="0" w:line="6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10.3 Second Amendment to Amended and Restated Credit Agreement entered into on March 20, 2020. Incorporated by reference to Exhibit 10.1 to Form</w:t>
        </w:r>
      </w:hyperlink>
    </w:p>
    <w:p>
      <w:pPr>
        <w:spacing w:after="0" w:line="27" w:lineRule="exact"/>
        <w:rPr>
          <w:rFonts w:ascii="Times New Roman" w:cs="Times New Roman" w:eastAsia="Times New Roman" w:hAnsi="Times New Roman"/>
          <w:sz w:val="18"/>
          <w:szCs w:val="18"/>
          <w:u w:val="single" w:color="auto"/>
          <w:color w:val="0000FF"/>
        </w:rPr>
      </w:pPr>
    </w:p>
    <w:p>
      <w:pPr>
        <w:ind w:left="42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10-Q for the period ended October 2, 2021.</w:t>
        </w:r>
      </w:hyperlink>
    </w:p>
    <w:p>
      <w:pPr>
        <w:spacing w:after="0" w:line="99" w:lineRule="exact"/>
        <w:rPr>
          <w:rFonts w:ascii="Times New Roman" w:cs="Times New Roman" w:eastAsia="Times New Roman" w:hAnsi="Times New Roman"/>
          <w:sz w:val="18"/>
          <w:szCs w:val="18"/>
          <w:u w:val="single" w:color="auto"/>
          <w:color w:val="0000FF"/>
        </w:rPr>
      </w:pPr>
    </w:p>
    <w:p>
      <w:pPr>
        <w:ind w:left="420" w:right="180" w:hanging="404"/>
        <w:spacing w:after="0" w:line="261"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10.4 Incremental Term Loan Lender Joinder Agreement and Additional Credit Extension Amendment, dated as of December 20, 2019, by and among</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Ducommun Incorporated, as Borrower, the subsidiaries of the Borrower party thereto, as Guarantors, Bank of America, N.A., as Administrative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Agent, Swingline Lender and an L.C. Issuer, and the lender party thereto. Incorporated by reference to Exhibit 10.1 to Form 8-K filed on December</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20, 2019.</w:t>
        </w:r>
      </w:hyperlink>
    </w:p>
    <w:p>
      <w:pPr>
        <w:spacing w:after="0" w:line="72" w:lineRule="exact"/>
        <w:rPr>
          <w:rFonts w:ascii="Times New Roman" w:cs="Times New Roman" w:eastAsia="Times New Roman" w:hAnsi="Times New Roman"/>
          <w:sz w:val="18"/>
          <w:szCs w:val="18"/>
          <w:u w:val="single" w:color="auto"/>
          <w:color w:val="0000FF"/>
        </w:rPr>
      </w:pPr>
    </w:p>
    <w:p>
      <w:pPr>
        <w:ind w:left="420" w:right="100" w:hanging="404"/>
        <w:spacing w:after="0" w:line="26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10.5 Amended and Restated Credit Agreement, dated as of November 21, 2018, among Ducommun Incorporated, certain of its subsidiaries, Bank of</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America, N.A., as administrative agent, swingline lender and issuing bank, and other lenders party thereto. Incorporated by reference to Exhibit 10.1</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to Form 8-K filed on November 26, 2018.</w:t>
        </w:r>
      </w:hyperlink>
    </w:p>
    <w:p>
      <w:pPr>
        <w:spacing w:after="0" w:line="68" w:lineRule="exact"/>
        <w:rPr>
          <w:rFonts w:ascii="Times New Roman" w:cs="Times New Roman" w:eastAsia="Times New Roman" w:hAnsi="Times New Roman"/>
          <w:sz w:val="18"/>
          <w:szCs w:val="18"/>
          <w:u w:val="single" w:color="auto"/>
          <w:color w:val="0000FF"/>
        </w:rPr>
      </w:pPr>
    </w:p>
    <w:p>
      <w:pPr>
        <w:ind w:left="500" w:right="580" w:hanging="485"/>
        <w:spacing w:after="0" w:line="282"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*10.6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Schedule 14a, filed on March 23, 2018.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*10.7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*10.8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2018.</w:t>
        </w:r>
      </w:hyperlink>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*10.9 2020 Employee Stock Purchase Plan. Incorporated by reference to Appendix A of Definitive Proxy Statement on Schedule 14a, filed on March 20,</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2020.</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*10.10 Form of Stock Option Agreement for 2016 and earlier. Incorporated by reference to Exhibit 10.8 to Form 10-K for the year ended December 31,</w:t>
        </w:r>
      </w:hyperlink>
    </w:p>
    <w:p>
      <w:pPr>
        <w:spacing w:after="0" w:line="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2003.</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*10.11 Form of Stock Option Agreement for 2017. Incorporated by reference to Exhibit 10.5 to Form 10-K for the year ended December 31, 2016.</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*10.12 Form of Stock Option Agreement for 2018 and after. Incorporated by reference to Exhibit 4.7 to Form S-8, filed on May 10, 2018.</w:t>
        </w:r>
      </w:hyperlink>
    </w:p>
    <w:p>
      <w:pPr>
        <w:spacing w:after="0" w:line="117" w:lineRule="exact"/>
        <w:rPr>
          <w:sz w:val="20"/>
          <w:szCs w:val="20"/>
          <w:color w:val="auto"/>
        </w:rPr>
      </w:pPr>
    </w:p>
    <w:p>
      <w:pPr>
        <w:ind w:left="580" w:right="540" w:hanging="566"/>
        <w:spacing w:after="0" w:line="282"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*10.13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December 31, 2016.</w:t>
        </w:r>
      </w:hyperlink>
    </w:p>
    <w:p>
      <w:pPr>
        <w:spacing w:after="0" w:line="54"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*10.14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*10.15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27, 2020.</w:t>
        </w:r>
      </w:hyperlink>
    </w:p>
    <w:p>
      <w:pPr>
        <w:spacing w:after="0" w:line="99"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*10.16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5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*10.17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*10.18 Form of Stock Option Agreement for 2020 and after. Incorporated by reference to Exhibit 10.21 to Form 10-Q for the period ended June 27, 2020.</w:t>
        </w:r>
      </w:hyperlink>
    </w:p>
    <w:p>
      <w:pPr>
        <w:spacing w:after="0" w:line="117"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*10.19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June 27, 2020.</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*10.20 Form of Performance Stock Unit Cash-Based Long-Term Incentive Award Agreement for 2022 and 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*10.21 Form of Performance Restricted Stock Unit Cash-Based Long-Term Incentive Award Agreement for 2022 and after.</w:t>
      </w:r>
    </w:p>
    <w:p>
      <w:pPr>
        <w:spacing w:after="0" w:line="117"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*10.22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Form 10-K for the year ended December 31, 2009.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*10.23 Non Qualified Deferred Compensation. Incorporated by reference to Exhibit 4.6 to Form S-8 dated November 26, 2019.</w:t>
        </w:r>
      </w:hyperlink>
    </w:p>
    <w:p>
      <w:pPr>
        <w:spacing w:after="0" w:line="117"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*10.24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to Exhibit 99.1 to Form 8-K dated January 27, 2017.</w:t>
        </w:r>
      </w:hyperlink>
    </w:p>
    <w:p>
      <w:pPr>
        <w:spacing w:after="0" w:line="54"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*10.25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82" w:lineRule="exact"/>
        <w:rPr>
          <w:rFonts w:ascii="Times New Roman" w:cs="Times New Roman" w:eastAsia="Times New Roman" w:hAnsi="Times New Roman"/>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Date of Agreement</w:t>
            </w:r>
          </w:p>
        </w:tc>
      </w:tr>
      <w:tr>
        <w:trPr>
          <w:trHeight w:val="245"/>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312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171"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*10.26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ind w:left="580" w:right="160" w:hanging="566"/>
        <w:spacing w:after="0" w:line="282"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*10.27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10.28</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Director/Officer</w:t>
            </w:r>
          </w:p>
        </w:tc>
        <w:tc>
          <w:tcPr>
            <w:tcW w:w="18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December 31, 1985</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June 1, 2021</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December 30, 2021</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18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378"/>
        </w:trPr>
        <w:tc>
          <w:tcPr>
            <w:tcW w:w="4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0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r>
      <w:tr>
        <w:trPr>
          <w:trHeight w:val="229"/>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7"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PSU CASH-BASED LONG-TERM INCENTIVE AWARD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cash-based long-time incentive award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______, 202_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between Ducommun Incorporated,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 (“</w:t>
      </w:r>
      <w:r>
        <w:rPr>
          <w:rFonts w:ascii="Times New Roman" w:cs="Times New Roman" w:eastAsia="Times New Roman" w:hAnsi="Times New Roman"/>
          <w:sz w:val="22"/>
          <w:szCs w:val="22"/>
          <w:b w:val="1"/>
          <w:bCs w:val="1"/>
          <w:color w:val="auto"/>
        </w:rPr>
        <w:t>Award Holder</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1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This Agreement is subject to and governed by the terms of the Amended and Restated 2020 Stock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175" w:lineRule="exact"/>
        <w:rPr>
          <w:sz w:val="20"/>
          <w:szCs w:val="20"/>
          <w:color w:val="auto"/>
        </w:rPr>
      </w:pPr>
    </w:p>
    <w:p>
      <w:pPr>
        <w:jc w:val="both"/>
        <w:ind w:firstLine="656"/>
        <w:spacing w:after="0" w:line="216"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with a target value (if the Corporation achieves the target 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of $____________ (the “</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and a maximum of up to two hundred fifty percent (250%) of the Target Award (if Corporation achieves the maximum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each case subject to certain adjustments as described herein. The Award granted hereunder represents the right to receive a payment in cash based upon the percentage of the Target Award earned, subject to the conditions set forth in this Agreement and the Plan.</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Agreement, shall have the meanings set forth in this Section 2.</w:t>
      </w:r>
    </w:p>
    <w:p>
      <w:pPr>
        <w:spacing w:after="0" w:line="153" w:lineRule="exact"/>
        <w:rPr>
          <w:sz w:val="20"/>
          <w:szCs w:val="20"/>
          <w:color w:val="auto"/>
        </w:rPr>
      </w:pPr>
    </w:p>
    <w:p>
      <w:pPr>
        <w:jc w:val="both"/>
        <w:ind w:left="660" w:hanging="134"/>
        <w:spacing w:after="0" w:line="225"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Sections 4 or 9 of this cash-based long-time incentive award agreement.</w:t>
      </w:r>
    </w:p>
    <w:p>
      <w:pPr>
        <w:spacing w:after="0" w:line="152"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52" w:lineRule="exact"/>
        <w:rPr>
          <w:sz w:val="20"/>
          <w:szCs w:val="20"/>
          <w:color w:val="auto"/>
        </w:rPr>
      </w:pPr>
    </w:p>
    <w:p>
      <w:pPr>
        <w:ind w:left="660" w:hanging="135"/>
        <w:spacing w:after="0" w:line="236"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pacing w:after="0" w:line="150" w:lineRule="exact"/>
        <w:rPr>
          <w:sz w:val="20"/>
          <w:szCs w:val="20"/>
          <w:color w:val="auto"/>
        </w:rPr>
      </w:pPr>
    </w:p>
    <w:p>
      <w:pPr>
        <w:jc w:val="both"/>
        <w:ind w:firstLine="237"/>
        <w:spacing w:after="0" w:line="212" w:lineRule="auto"/>
        <w:tabs>
          <w:tab w:leader="none" w:pos="62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xml:space="preserve">”). The vesting of the Award shall be subject to the Corporation achieving during the Performance Period the Diluted Earnings Per Share and Relative Total Shareholder Return, as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Following the end of each fiscal year of the Performance Period and the collection of relevant data necessary to determine the extent to which the performance goals set forth in Exhibit A have been satisfied, the Committee will determine: (a) the amount of Diluted Earnings Per Share that was achieved by the Corporation for each fiscal year of the Performance Period, and (b) the percentage of the Target Award for each fiscal year (for each such fiscal year,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 that will become the Vested Award (as defined in</w:t>
      </w:r>
    </w:p>
    <w:p>
      <w:pPr>
        <w:sectPr>
          <w:pgSz w:w="11900" w:h="16838" w:orient="portrait"/>
          <w:cols w:equalWidth="0" w:num="1">
            <w:col w:w="11240"/>
          </w:cols>
          <w:pgMar w:left="320" w:top="100" w:right="339" w:bottom="1440" w:gutter="0" w:footer="0" w:header="0"/>
        </w:sectPr>
      </w:pPr>
    </w:p>
    <w:bookmarkStart w:id="40" w:name="page41"/>
    <w:bookmarkEnd w:id="40"/>
    <w:p>
      <w:pPr>
        <w:jc w:val="both"/>
        <w:spacing w:after="0" w:line="211" w:lineRule="auto"/>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of the last day of the Performance Period or earlier as provided in Section 5(b). Following the end of the Performance Period and collection of relevant data necessary to determine the extent to which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have been satisfied, the Committee will determine: (a) the Relative Total Shareholder Return that was achieved by the Corporation over the Performance Period, and (b) the multiplier that will be applied to the Earned Award to calculate the amount of the Vested Award as of the last day of the Performance Period, as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Committee shall make these determinations in its sole discretion. The level of achievement of Diluted Earnings Per Share and Relative Total Shareholder Return shall be evidenced by the Committee’s written certification. For the avoidance of doubt, any portion of the Target Award that does not vest in accordance with the forgoing shall expire without consideration at the end of the Performance Period.</w:t>
      </w:r>
    </w:p>
    <w:p>
      <w:pPr>
        <w:spacing w:after="0" w:line="158" w:lineRule="exact"/>
        <w:rPr>
          <w:sz w:val="20"/>
          <w:szCs w:val="20"/>
          <w:color w:val="auto"/>
        </w:rPr>
      </w:pPr>
    </w:p>
    <w:p>
      <w:pPr>
        <w:jc w:val="both"/>
        <w:ind w:firstLine="656"/>
        <w:spacing w:after="0" w:line="213" w:lineRule="auto"/>
        <w:tabs>
          <w:tab w:leader="none" w:pos="1120" w:val="left"/>
        </w:tabs>
        <w:numPr>
          <w:ilvl w:val="3"/>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Award</w:t>
      </w:r>
      <w:r>
        <w:rPr>
          <w:rFonts w:ascii="Times New Roman" w:cs="Times New Roman" w:eastAsia="Times New Roman" w:hAnsi="Times New Roman"/>
          <w:sz w:val="22"/>
          <w:szCs w:val="22"/>
          <w:color w:val="auto"/>
        </w:rPr>
        <w:t xml:space="preserve">. Upon the vesting of all or a portion of the Award, the Vested Award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to the Award Holder in cash, subject to any required tax withholding obligations, upon the Committee’s written certification as set forth in Section 3. No shares of Common Stock shall be issued with respect to the Award. The Award Holder shall not acquire or have any rights as a shareholder of the Corporation by virtue of this cash-based long-time incentive award agreement (or the Award evidenced hereby). Notwithstanding the foregoing, the Award Holder may elect, on a form and in a manner prescribed by the Corporation, to defer any payment of the Vested Award, provided that any such deferral of payment must comply with any applicable requirements of Section 409A of the Code.</w:t>
      </w:r>
    </w:p>
    <w:p>
      <w:pPr>
        <w:spacing w:after="0" w:line="15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82"/>
        <w:spacing w:after="0" w:line="221" w:lineRule="auto"/>
        <w:tabs>
          <w:tab w:leader="none" w:pos="78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Holder’s employment with the Corporation or a Subsidiary terminates before the end of the Performance Period for any reason, except as provided in this Section 5, then the Award will be forfeited and cancelled and surrendered to the Corporation without payment of any consideration, effective on the date of the Award Holder’s termination of employment. Upon the termination of the Award Holder’s employment with the Corporation or a Subsidiary as a result of (i) death or “permanent disability” (as defined herein) or (ii) “retirement” (as defined herein), the amount of the Vested Award and the vesting of such Vested Award shall be determined in accordance with Section 5(b) below. As used herein, the term “retirement” shall mean that, on the date on which the Award Holder terminates employment with the Corporation or a Subsidiary, either (x) the Award Holder is sixty-five (65) or more years of age, or (y) the combination of the Award Holder’s age plus years of service equals not less than seventy (70). As used herein, the term “permanent disability” shall mean the date on which the Award Holder has not worked or been able to work due to physical or mental incapacity for a period of one hundred eighty (180) consecutive days.</w:t>
      </w:r>
    </w:p>
    <w:p>
      <w:pPr>
        <w:spacing w:after="0" w:line="152" w:lineRule="exact"/>
        <w:rPr>
          <w:rFonts w:ascii="Times New Roman" w:cs="Times New Roman" w:eastAsia="Times New Roman" w:hAnsi="Times New Roman"/>
          <w:sz w:val="21"/>
          <w:szCs w:val="21"/>
          <w:color w:val="auto"/>
        </w:rPr>
      </w:pPr>
    </w:p>
    <w:p>
      <w:pPr>
        <w:jc w:val="both"/>
        <w:ind w:firstLine="322"/>
        <w:spacing w:after="0" w:line="211" w:lineRule="auto"/>
        <w:tabs>
          <w:tab w:leader="none" w:pos="879"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the Award Holder’s employment with the Corporation or a Subsidiary as a result of death, permanent disability or retirement as provided in Section 5(a), (i) for each full fiscal year that the Award Holder was employed by the Corporation or a Subsidiary, the Earned Award (as defined in Section 3) shall vest immediately, and (ii) for the last fiscal year (if less than a full fiscal year) that the Award Holder was employed by the Corporation or a Subsidiary, the Target Award shall be reduced an amount equal to the Target Award set forth in Section 1 multiplied by a fraction, (x) the numerator of which equals the number of full calendar quarters that have elapsed between January 1 of such fiscal year and the date of termination of employment, and (y) the denominator of which equals four (4), and such Target Award (as reduced) shall then vest at such time as it becomes an Earned Award (as defined in Section 3) provided that the Award Holder has not rendered services, directly or indirectly, to any third party engaged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2</w:t>
      </w:r>
    </w:p>
    <w:p>
      <w:pPr>
        <w:sectPr>
          <w:pgSz w:w="11900" w:h="16838" w:orient="portrait"/>
          <w:cols w:equalWidth="0" w:num="1">
            <w:col w:w="11240"/>
          </w:cols>
          <w:pgMar w:left="320" w:top="1395" w:right="339" w:bottom="1440" w:gutter="0" w:footer="0" w:header="0"/>
        </w:sectPr>
      </w:pPr>
    </w:p>
    <w:bookmarkStart w:id="41" w:name="page42"/>
    <w:bookmarkEnd w:id="41"/>
    <w:p>
      <w:pPr>
        <w:spacing w:after="0" w:line="171" w:lineRule="exact"/>
        <w:rPr>
          <w:sz w:val="20"/>
          <w:szCs w:val="20"/>
          <w:color w:val="auto"/>
        </w:rPr>
      </w:pPr>
    </w:p>
    <w:p>
      <w:pPr>
        <w:ind w:left="88"/>
        <w:spacing w:after="0" w:line="236" w:lineRule="auto"/>
        <w:rPr>
          <w:sz w:val="20"/>
          <w:szCs w:val="20"/>
          <w:color w:val="auto"/>
        </w:rPr>
      </w:pPr>
      <w:r>
        <w:rPr>
          <w:rFonts w:ascii="Times New Roman" w:cs="Times New Roman" w:eastAsia="Times New Roman" w:hAnsi="Times New Roman"/>
          <w:sz w:val="22"/>
          <w:szCs w:val="22"/>
          <w:color w:val="auto"/>
        </w:rPr>
        <w:t xml:space="preserve">competition with the Corporation or its Subsidiaries. For the avoidance of doubt, the Total Vested Award Modifier (as described in Exhibit A)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applied in determining the Vested Award for any Award covered by this Section 5(b).</w:t>
      </w:r>
    </w:p>
    <w:p>
      <w:pPr>
        <w:spacing w:after="0" w:line="150" w:lineRule="exact"/>
        <w:rPr>
          <w:sz w:val="20"/>
          <w:szCs w:val="20"/>
          <w:color w:val="auto"/>
        </w:rPr>
      </w:pPr>
    </w:p>
    <w:p>
      <w:pPr>
        <w:ind w:left="748" w:hanging="652"/>
        <w:spacing w:after="0"/>
        <w:tabs>
          <w:tab w:leader="none" w:pos="74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hanging="88"/>
        <w:spacing w:after="0" w:line="220" w:lineRule="auto"/>
        <w:tabs>
          <w:tab w:leader="none" w:pos="4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52" w:lineRule="exact"/>
        <w:rPr>
          <w:rFonts w:ascii="Times New Roman" w:cs="Times New Roman" w:eastAsia="Times New Roman" w:hAnsi="Times New Roman"/>
          <w:sz w:val="22"/>
          <w:szCs w:val="22"/>
          <w:color w:val="auto"/>
        </w:rPr>
      </w:pPr>
    </w:p>
    <w:p>
      <w:pPr>
        <w:ind w:left="688" w:hanging="376"/>
        <w:spacing w:after="0"/>
        <w:tabs>
          <w:tab w:leader="none" w:pos="688"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firstLine="251"/>
        <w:spacing w:after="0" w:line="225" w:lineRule="auto"/>
        <w:tabs>
          <w:tab w:leader="none" w:pos="736" w:val="left"/>
        </w:tabs>
        <w:numPr>
          <w:ilvl w:val="3"/>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as a result of the Award or this Agreement.</w:t>
      </w:r>
    </w:p>
    <w:p>
      <w:pPr>
        <w:spacing w:after="0" w:line="152" w:lineRule="exact"/>
        <w:rPr>
          <w:rFonts w:ascii="Times New Roman" w:cs="Times New Roman" w:eastAsia="Times New Roman" w:hAnsi="Times New Roman"/>
          <w:sz w:val="22"/>
          <w:szCs w:val="22"/>
          <w:color w:val="auto"/>
        </w:rPr>
      </w:pPr>
    </w:p>
    <w:p>
      <w:pPr>
        <w:jc w:val="both"/>
        <w:ind w:left="88" w:firstLine="379"/>
        <w:spacing w:after="0" w:line="225" w:lineRule="auto"/>
        <w:tabs>
          <w:tab w:leader="none" w:pos="1100" w:val="left"/>
        </w:tabs>
        <w:numPr>
          <w:ilvl w:val="6"/>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cash-based long-time incentive award agreement and the transactions contemplated hereby.</w:t>
      </w:r>
    </w:p>
    <w:p>
      <w:pPr>
        <w:spacing w:after="0" w:line="152" w:lineRule="exact"/>
        <w:rPr>
          <w:rFonts w:ascii="Times New Roman" w:cs="Times New Roman" w:eastAsia="Times New Roman" w:hAnsi="Times New Roman"/>
          <w:sz w:val="22"/>
          <w:szCs w:val="22"/>
          <w:color w:val="auto"/>
        </w:rPr>
      </w:pPr>
    </w:p>
    <w:p>
      <w:pPr>
        <w:jc w:val="both"/>
        <w:ind w:left="88" w:firstLine="298"/>
        <w:spacing w:after="0" w:line="211" w:lineRule="auto"/>
        <w:tabs>
          <w:tab w:leader="none" w:pos="930" w:val="left"/>
        </w:tabs>
        <w:numPr>
          <w:ilvl w:val="5"/>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Agreement, this Award or any other right or privilege granted hereby contrary to the provisions hereof, this Agreement, this Award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w:t>
      </w:r>
      <w:r>
        <w:rPr>
          <w:rFonts w:ascii="Times New Roman" w:cs="Times New Roman" w:eastAsia="Times New Roman" w:hAnsi="Times New Roman"/>
          <w:sz w:val="22"/>
          <w:szCs w:val="22"/>
          <w:b w:val="1"/>
          <w:bCs w:val="1"/>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51" w:lineRule="exact"/>
        <w:rPr>
          <w:rFonts w:ascii="Times New Roman" w:cs="Times New Roman" w:eastAsia="Times New Roman" w:hAnsi="Times New Roman"/>
          <w:sz w:val="22"/>
          <w:szCs w:val="22"/>
          <w:color w:val="auto"/>
        </w:rPr>
      </w:pPr>
    </w:p>
    <w:p>
      <w:pPr>
        <w:jc w:val="both"/>
        <w:ind w:left="88" w:firstLine="264"/>
        <w:spacing w:after="0" w:line="236" w:lineRule="auto"/>
        <w:tabs>
          <w:tab w:leader="none" w:pos="871" w:val="left"/>
        </w:tabs>
        <w:numPr>
          <w:ilvl w:val="4"/>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Programs</w:t>
      </w:r>
      <w:r>
        <w:rPr>
          <w:rFonts w:ascii="Times New Roman" w:cs="Times New Roman" w:eastAsia="Times New Roman" w:hAnsi="Times New Roman"/>
          <w:sz w:val="21"/>
          <w:szCs w:val="21"/>
          <w:color w:val="auto"/>
        </w:rPr>
        <w:t>. Nothing contained in this cash-based long-time incentive award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52" w:lineRule="exact"/>
        <w:rPr>
          <w:sz w:val="20"/>
          <w:szCs w:val="20"/>
          <w:color w:val="auto"/>
        </w:rPr>
      </w:pPr>
    </w:p>
    <w:p>
      <w:pPr>
        <w:jc w:val="both"/>
        <w:ind w:left="88" w:firstLine="231"/>
        <w:spacing w:after="0" w:line="220" w:lineRule="auto"/>
        <w:tabs>
          <w:tab w:leader="none" w:pos="80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Agreement. Award Holder acknowledges receipt of a complete copy of the Plan.</w:t>
      </w:r>
    </w:p>
    <w:p>
      <w:pPr>
        <w:spacing w:after="0" w:line="152" w:lineRule="exact"/>
        <w:rPr>
          <w:rFonts w:ascii="Times New Roman" w:cs="Times New Roman" w:eastAsia="Times New Roman" w:hAnsi="Times New Roman"/>
          <w:sz w:val="22"/>
          <w:szCs w:val="22"/>
          <w:color w:val="auto"/>
        </w:rPr>
      </w:pPr>
    </w:p>
    <w:p>
      <w:pPr>
        <w:jc w:val="both"/>
        <w:ind w:left="88" w:firstLine="231"/>
        <w:spacing w:after="0" w:line="225" w:lineRule="auto"/>
        <w:tabs>
          <w:tab w:leader="none" w:pos="80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Agreement shall be decided by the Committee in its total and absolute discretion. It is expressly understood that the Committee is authorized to administer, construe and make all determinations necessary or appropriate to the administration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7"/>
        <w:spacing w:after="0"/>
        <w:rPr>
          <w:sz w:val="20"/>
          <w:szCs w:val="20"/>
          <w:color w:val="auto"/>
        </w:rPr>
      </w:pPr>
      <w:r>
        <w:rPr>
          <w:rFonts w:ascii="Courier New" w:cs="Courier New" w:eastAsia="Courier New" w:hAnsi="Courier New"/>
          <w:sz w:val="20"/>
          <w:szCs w:val="20"/>
          <w:color w:val="auto"/>
        </w:rPr>
        <w:t>3</w:t>
      </w:r>
    </w:p>
    <w:p>
      <w:pPr>
        <w:sectPr>
          <w:pgSz w:w="11900" w:h="16838" w:orient="portrait"/>
          <w:cols w:equalWidth="0" w:num="1">
            <w:col w:w="11328"/>
          </w:cols>
          <w:pgMar w:left="232" w:top="1440" w:right="339" w:bottom="1440" w:gutter="0" w:footer="0" w:header="0"/>
        </w:sectPr>
      </w:pPr>
    </w:p>
    <w:bookmarkStart w:id="42" w:name="page43"/>
    <w:bookmarkEnd w:id="42"/>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which shall be binding upon the Award Holder to the maximum extent permitted by the Plan.</w:t>
      </w:r>
    </w:p>
    <w:p>
      <w:pPr>
        <w:spacing w:after="0" w:line="179" w:lineRule="exact"/>
        <w:rPr>
          <w:sz w:val="20"/>
          <w:szCs w:val="20"/>
          <w:color w:val="auto"/>
        </w:rPr>
      </w:pPr>
    </w:p>
    <w:p>
      <w:pPr>
        <w:ind w:firstLine="271"/>
        <w:spacing w:after="0" w:line="236" w:lineRule="auto"/>
        <w:tabs>
          <w:tab w:leader="none" w:pos="7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0" w:lineRule="exact"/>
        <w:rPr>
          <w:rFonts w:ascii="Times New Roman" w:cs="Times New Roman" w:eastAsia="Times New Roman" w:hAnsi="Times New Roman"/>
          <w:sz w:val="22"/>
          <w:szCs w:val="22"/>
          <w:color w:val="auto"/>
        </w:rPr>
      </w:pPr>
    </w:p>
    <w:p>
      <w:pPr>
        <w:ind w:firstLine="237"/>
        <w:spacing w:after="0" w:line="236" w:lineRule="auto"/>
        <w:tabs>
          <w:tab w:leader="none" w:pos="7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color w:val="auto"/>
        </w:rPr>
        <w:t>PSU CASH-BASED LONG-TIME INCENTIVE AWARD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both"/>
        <w:ind w:firstLine="725"/>
        <w:spacing w:after="0" w:line="219" w:lineRule="auto"/>
        <w:rPr>
          <w:sz w:val="20"/>
          <w:szCs w:val="20"/>
          <w:color w:val="auto"/>
        </w:rPr>
      </w:pPr>
      <w:r>
        <w:rPr>
          <w:rFonts w:ascii="Times New Roman" w:cs="Times New Roman" w:eastAsia="Times New Roman" w:hAnsi="Times New Roman"/>
          <w:sz w:val="21"/>
          <w:szCs w:val="21"/>
          <w:color w:val="auto"/>
        </w:rPr>
        <w:t>For purposes of this Agreement, the “</w:t>
      </w:r>
      <w:r>
        <w:rPr>
          <w:rFonts w:ascii="Times New Roman" w:cs="Times New Roman" w:eastAsia="Times New Roman" w:hAnsi="Times New Roman"/>
          <w:sz w:val="21"/>
          <w:szCs w:val="21"/>
          <w:b w:val="1"/>
          <w:bCs w:val="1"/>
          <w:color w:val="auto"/>
        </w:rPr>
        <w:t>Diluted Earnings Per Share</w:t>
      </w:r>
      <w:r>
        <w:rPr>
          <w:rFonts w:ascii="Times New Roman" w:cs="Times New Roman" w:eastAsia="Times New Roman" w:hAnsi="Times New Roman"/>
          <w:sz w:val="21"/>
          <w:szCs w:val="21"/>
          <w:color w:val="auto"/>
        </w:rPr>
        <w:t>” means the diluted earnings per share of the Corporation for each of the Corporation’s fiscal years ending December 31, 202_, December 31, 202_ and December 31, 202_ as included in the Corporation’s audited financial statements, subject to adjustment as provided herein. The Diluted Earnings Per Share shall be adjusted (as determined by the Committee) (i) for changes in accounting, (ii) for discontinued operations (including businesses and product lines that are sold), (iii) to exclude gain or loss on the sale of any business or product line, including but not limited to post-closing adjustments to the purchase price, any indemnity or similar payments, and any costs or expenses in connection therewith, (iv) to exclude any asset impairment write-offs or charges (whether of goodwill, intangible or tangible assets), (v) to exclude any transaction-related costs or expenses arising in connection with the purchase or sale of any business or product line, including but not limited to the effects of Financial Accounting Standards Board Accounting Standards Codification Topic 805, (vi) to exclude any costs or expenses arising in connection with the refinancing, restructuring or prepayment of any Debt, including but not limited to the unamortized portion of any original issue discount, the unamortized portion of any original issue costs and expenses, and any prepayment or make-whole payments, costs or expenses and (vii) any restructuring, reorganization or other costs, expenses or charges that the Compensation Committee determines should be adjusted to fairly reflect the operating performance of the Company. An appropriate adjustment in the Diluted Earnings Per Share amounts in the table below also shall be made for any change in capitalization as described in the Plan.</w:t>
      </w:r>
    </w:p>
    <w:p>
      <w:pPr>
        <w:spacing w:after="0" w:line="151" w:lineRule="exact"/>
        <w:rPr>
          <w:sz w:val="20"/>
          <w:szCs w:val="20"/>
          <w:color w:val="auto"/>
        </w:rPr>
      </w:pPr>
    </w:p>
    <w:p>
      <w:pPr>
        <w:jc w:val="both"/>
        <w:ind w:firstLine="725"/>
        <w:spacing w:after="0" w:line="212" w:lineRule="auto"/>
        <w:rPr>
          <w:sz w:val="20"/>
          <w:szCs w:val="20"/>
          <w:color w:val="auto"/>
        </w:rPr>
      </w:pPr>
      <w:r>
        <w:rPr>
          <w:rFonts w:ascii="Times New Roman" w:cs="Times New Roman" w:eastAsia="Times New Roman" w:hAnsi="Times New Roman"/>
          <w:sz w:val="22"/>
          <w:szCs w:val="22"/>
          <w:color w:val="auto"/>
        </w:rPr>
        <w:t>For purposes of this Agreement, the “</w:t>
      </w:r>
      <w:r>
        <w:rPr>
          <w:rFonts w:ascii="Times New Roman" w:cs="Times New Roman" w:eastAsia="Times New Roman" w:hAnsi="Times New Roman"/>
          <w:sz w:val="22"/>
          <w:szCs w:val="22"/>
          <w:b w:val="1"/>
          <w:bCs w:val="1"/>
          <w:color w:val="auto"/>
        </w:rPr>
        <w:t>Relative Total Shareholder Return</w:t>
      </w:r>
      <w:r>
        <w:rPr>
          <w:rFonts w:ascii="Times New Roman" w:cs="Times New Roman" w:eastAsia="Times New Roman" w:hAnsi="Times New Roman"/>
          <w:sz w:val="22"/>
          <w:szCs w:val="22"/>
          <w:color w:val="auto"/>
        </w:rPr>
        <w:t>” means the percentile ranking over the Performance Period of the Corporation’s total shareholder return as compared to the total shareholder return of the companies in the Russell 2000 Index at the beginning of the Performance Period. The determination of the total shareholder return for the Corporation and the companies in the Russell 2000 Index shall include the appreciation or depreciation of stock prices plus dividends paid as if reinvested, and shall be determined based on the average closing price of the Corporation’s common stock and the average closing price of the companies in the Russell 2000 Index over the thirty (30) trading days immediately preceding the Performance Period compared to the last thirty (30) trading days of the Performance Period. If the Russell 2000 Index ceases to be published, the Committee shall, in its discretion, substitute another broad-based stock index that it determines is appropriate.</w:t>
      </w:r>
    </w:p>
    <w:p>
      <w:pPr>
        <w:spacing w:after="0" w:line="153" w:lineRule="exact"/>
        <w:rPr>
          <w:sz w:val="20"/>
          <w:szCs w:val="20"/>
          <w:color w:val="auto"/>
        </w:rPr>
      </w:pPr>
    </w:p>
    <w:p>
      <w:pPr>
        <w:jc w:val="both"/>
        <w:ind w:firstLine="725"/>
        <w:spacing w:after="0" w:line="222" w:lineRule="auto"/>
        <w:rPr>
          <w:sz w:val="20"/>
          <w:szCs w:val="20"/>
          <w:color w:val="auto"/>
        </w:rPr>
      </w:pPr>
      <w:r>
        <w:rPr>
          <w:rFonts w:ascii="Times New Roman" w:cs="Times New Roman" w:eastAsia="Times New Roman" w:hAnsi="Times New Roman"/>
          <w:sz w:val="21"/>
          <w:szCs w:val="21"/>
          <w:color w:val="auto"/>
        </w:rPr>
        <w:t>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If the Diluted Earnings Per Share does not equal or exceed the thresholds in the table below, the Award shall expire without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395" w:right="339" w:bottom="1440" w:gutter="0" w:footer="0" w:header="0"/>
        </w:sectPr>
      </w:pPr>
    </w:p>
    <w:bookmarkStart w:id="44" w:name="page45"/>
    <w:bookmarkEnd w:id="44"/>
    <w:p>
      <w:pPr>
        <w:spacing w:after="0" w:line="3" w:lineRule="exact"/>
        <w:rPr>
          <w:sz w:val="20"/>
          <w:szCs w:val="20"/>
          <w:color w:val="auto"/>
        </w:rPr>
      </w:pPr>
    </w:p>
    <w:tbl>
      <w:tblPr>
        <w:tblLayout w:type="fixed"/>
        <w:tblInd w:w="73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Diluted Earnings Per Share</w:t>
            </w:r>
          </w:p>
        </w:tc>
        <w:tc>
          <w:tcPr>
            <w:tcW w:w="1240" w:type="dxa"/>
            <w:vAlign w:val="bottom"/>
            <w:tcBorders>
              <w:top w:val="single" w:sz="8" w:color="auto"/>
              <w:right w:val="single" w:sz="8" w:color="auto"/>
            </w:tcBorders>
            <w:gridSpan w:val="3"/>
          </w:tcPr>
          <w:p>
            <w:pPr>
              <w:jc w:val="right"/>
              <w:ind w:right="420"/>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94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4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22"/>
                <w:szCs w:val="22"/>
                <w:color w:val="auto"/>
              </w:rPr>
              <w:t>Total @ Target</w:t>
            </w: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740" w:type="dxa"/>
            <w:vAlign w:val="bottom"/>
            <w:tcBorders>
              <w:top w:val="single" w:sz="8" w:color="auto"/>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5"/>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150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22"/>
                <w:szCs w:val="22"/>
                <w:color w:val="auto"/>
                <w:w w:val="99"/>
              </w:rPr>
              <w:t>30%</w:t>
            </w: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34%</w:t>
            </w:r>
          </w:p>
        </w:tc>
        <w:tc>
          <w:tcPr>
            <w:tcW w:w="1500" w:type="dxa"/>
            <w:vAlign w:val="bottom"/>
            <w:tcBorders>
              <w:bottom w:val="single" w:sz="8" w:color="auto"/>
            </w:tcBorders>
            <w:gridSpan w:val="2"/>
          </w:tcPr>
          <w:p>
            <w:pPr>
              <w:jc w:val="center"/>
              <w:ind w:left="92"/>
              <w:spacing w:after="0"/>
              <w:rPr>
                <w:sz w:val="20"/>
                <w:szCs w:val="20"/>
                <w:color w:val="auto"/>
              </w:rPr>
            </w:pPr>
            <w:r>
              <w:rPr>
                <w:rFonts w:ascii="Times New Roman" w:cs="Times New Roman" w:eastAsia="Times New Roman" w:hAnsi="Times New Roman"/>
                <w:sz w:val="22"/>
                <w:szCs w:val="22"/>
                <w:color w:val="auto"/>
                <w:w w:val="97"/>
              </w:rPr>
              <w:t>100%</w:t>
            </w: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50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14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68%</w:t>
            </w:r>
          </w:p>
        </w:tc>
        <w:tc>
          <w:tcPr>
            <w:tcW w:w="1500" w:type="dxa"/>
            <w:vAlign w:val="bottom"/>
            <w:tcBorders>
              <w:bottom w:val="single" w:sz="8" w:color="auto"/>
            </w:tcBorders>
            <w:gridSpan w:val="2"/>
          </w:tcPr>
          <w:p>
            <w:pPr>
              <w:jc w:val="center"/>
              <w:ind w:left="92"/>
              <w:spacing w:after="0"/>
              <w:rPr>
                <w:sz w:val="20"/>
                <w:szCs w:val="20"/>
                <w:color w:val="auto"/>
              </w:rPr>
            </w:pPr>
            <w:r>
              <w:rPr>
                <w:rFonts w:ascii="Times New Roman" w:cs="Times New Roman" w:eastAsia="Times New Roman" w:hAnsi="Times New Roman"/>
                <w:sz w:val="22"/>
                <w:szCs w:val="22"/>
                <w:color w:val="auto"/>
                <w:w w:val="97"/>
              </w:rPr>
              <w:t>200%</w:t>
            </w: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In the event that the Corporation’s Diluted Earnings Per Share for any fiscal year of the Performance Period falls between two of the percentages listed in the table above, the applicable percentage of Target Award earned based on such achievement shall be determined by linear interpolation. The total value of the Award earned based upon the Corporation’s achievement over the Performance Period (as determined by the Committee) will be equal to the sum of (i)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percentage determined by reference to the table above with respect to the Corporation’s Diluted Earnings Per Share for the fiscal year ending December 31, 202_ multiplied by the amount of the Target Award set forth in Section 1 above (collectively,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After the end of the Performance Period, the Committee shall determine the Corporation’s Relative Total Shareholder Return (compared to the companies in the Russell 2000 Index at the beginning of the Performance Period) over the Performance Period. The Committee, in its discretion, shall establish such procedures as it deems appropriate to determine the Corporation’s percentile rank in Relative Total Shareholder Return. The total Vested Award will then be determined by multiplying the Earned Award by the Total Vested Award Modifier in the table below. Notwithstanding the foregoing, the Total Vested Award Modifier shall not be greater than 1.0 unless the Corporation’s Total Shareholder Return over the Performance Period is greater than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Relative Total Shareholder Return v.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628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Shareholder Return Percentile Rank</w:t>
            </w:r>
          </w:p>
        </w:tc>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Vested Award Modifier</w:t>
            </w:r>
          </w:p>
        </w:tc>
      </w:tr>
      <w:tr>
        <w:trPr>
          <w:trHeight w:val="264"/>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81%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- 100%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1.25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71%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- 80%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61%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- 70%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41%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- 60%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31%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- 40%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.90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21%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- 30%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.85</w:t>
            </w:r>
          </w:p>
        </w:tc>
      </w:tr>
      <w:tr>
        <w:trPr>
          <w:trHeight w:val="264"/>
        </w:trPr>
        <w:tc>
          <w:tcPr>
            <w:tcW w:w="56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0% - 20%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.75</w:t>
            </w:r>
          </w:p>
        </w:tc>
      </w:tr>
    </w:tbl>
    <w:p>
      <w:pPr>
        <w:spacing w:after="0" w:line="27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Notwithstanding anything herein to the contrary, in no event will more than two hundred fifty percent (250%) of the Target Award become earned and vested hereunder. The portion of the Award that is not earned and vested and that remains subject to forfeiture are referred to herein as “</w:t>
      </w:r>
      <w:r>
        <w:rPr>
          <w:rFonts w:ascii="Times New Roman" w:cs="Times New Roman" w:eastAsia="Times New Roman" w:hAnsi="Times New Roman"/>
          <w:sz w:val="22"/>
          <w:szCs w:val="22"/>
          <w:b w:val="1"/>
          <w:bCs w:val="1"/>
          <w:color w:val="auto"/>
        </w:rPr>
        <w:t>Unvested Award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60"/>
          </w:cols>
          <w:pgMar w:left="320" w:top="1440"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PRSU CASH-BASED LONG-TERM INCENTIVE AWARD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cash-based long-time incentive award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______, 202_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between Ducommun Incorporated,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 (“</w:t>
      </w:r>
      <w:r>
        <w:rPr>
          <w:rFonts w:ascii="Times New Roman" w:cs="Times New Roman" w:eastAsia="Times New Roman" w:hAnsi="Times New Roman"/>
          <w:sz w:val="22"/>
          <w:szCs w:val="22"/>
          <w:b w:val="1"/>
          <w:bCs w:val="1"/>
          <w:color w:val="auto"/>
        </w:rPr>
        <w:t>Award Holder</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1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This Agreement is subject to and governed by the terms of the Amended and Restated 2020 Stock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175" w:lineRule="exact"/>
        <w:rPr>
          <w:sz w:val="20"/>
          <w:szCs w:val="20"/>
          <w:color w:val="auto"/>
        </w:rPr>
      </w:pPr>
    </w:p>
    <w:p>
      <w:pPr>
        <w:jc w:val="both"/>
        <w:ind w:firstLine="656"/>
        <w:spacing w:after="0" w:line="218"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with a target value (if the Corporation achieves the target 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of $____________ (the “</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subject to certain adjustments as described herein. The Award granted hereunder represents the right to receive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in cash based upon the percentage of the Target Award earned, subject to the conditions set forth in this Agreement and the Plan.</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Agreement, shall have the meanings set forth in this Section 2.</w:t>
      </w:r>
    </w:p>
    <w:p>
      <w:pPr>
        <w:spacing w:after="0" w:line="153" w:lineRule="exact"/>
        <w:rPr>
          <w:sz w:val="20"/>
          <w:szCs w:val="20"/>
          <w:color w:val="auto"/>
        </w:rPr>
      </w:pPr>
    </w:p>
    <w:p>
      <w:pPr>
        <w:ind w:left="660" w:right="20" w:hanging="134"/>
        <w:spacing w:after="0" w:line="236"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Sections 4 and 9 of this Agreement.</w:t>
      </w:r>
    </w:p>
    <w:p>
      <w:pPr>
        <w:spacing w:after="0" w:line="150"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52" w:lineRule="exact"/>
        <w:rPr>
          <w:sz w:val="20"/>
          <w:szCs w:val="20"/>
          <w:color w:val="auto"/>
        </w:rPr>
      </w:pPr>
    </w:p>
    <w:p>
      <w:pPr>
        <w:ind w:left="660" w:hanging="135"/>
        <w:spacing w:after="0" w:line="236"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pacing w:after="0" w:line="150" w:lineRule="exact"/>
        <w:rPr>
          <w:sz w:val="20"/>
          <w:szCs w:val="20"/>
          <w:color w:val="auto"/>
        </w:rPr>
      </w:pPr>
    </w:p>
    <w:p>
      <w:pPr>
        <w:jc w:val="both"/>
        <w:ind w:firstLine="237"/>
        <w:spacing w:after="0" w:line="211" w:lineRule="auto"/>
        <w:tabs>
          <w:tab w:leader="none" w:pos="6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xml:space="preserve">”). The vesting of the Award shall be based upon the Corporation achieving during the last year of the Performance Period, that level of revenue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approved by the Committee at the commencement of the Performance Period. Following the end of each fiscal year of the Performance Period and the collection of relevant data necessary to determine the extent to which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have been satisfied, the Committee will determine: (a) the amount of revenue that was achieved by the Corporation during the Performance Period relative to the level of revenue approved by the Committee, and (b) the percentage of the Target Award earned as a result thereof for the Performance Period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 The Earned Award shall vest (and become the “</w:t>
      </w:r>
      <w:r>
        <w:rPr>
          <w:rFonts w:ascii="Times New Roman" w:cs="Times New Roman" w:eastAsia="Times New Roman" w:hAnsi="Times New Roman"/>
          <w:sz w:val="22"/>
          <w:szCs w:val="22"/>
          <w:b w:val="1"/>
          <w:bCs w:val="1"/>
          <w:color w:val="auto"/>
        </w:rPr>
        <w:t>Vested Award</w:t>
      </w:r>
      <w:r>
        <w:rPr>
          <w:rFonts w:ascii="Times New Roman" w:cs="Times New Roman" w:eastAsia="Times New Roman" w:hAnsi="Times New Roman"/>
          <w:sz w:val="22"/>
          <w:szCs w:val="22"/>
          <w:color w:val="auto"/>
        </w:rPr>
        <w:t>”) as of the last day of the Performance Period, subject to the continued employment of the Award Holder by the Corporation through such date. The Committee shall</w:t>
      </w:r>
    </w:p>
    <w:p>
      <w:pPr>
        <w:sectPr>
          <w:pgSz w:w="11900" w:h="16838" w:orient="portrait"/>
          <w:cols w:equalWidth="0" w:num="1">
            <w:col w:w="11240"/>
          </w:cols>
          <w:pgMar w:left="320" w:top="100" w:right="339" w:bottom="1440" w:gutter="0" w:footer="0" w:header="0"/>
        </w:sectPr>
      </w:pPr>
    </w:p>
    <w:bookmarkStart w:id="47" w:name="page48"/>
    <w:bookmarkEnd w:id="47"/>
    <w:p>
      <w:pPr>
        <w:jc w:val="both"/>
        <w:ind w:left="88"/>
        <w:spacing w:after="0" w:line="225" w:lineRule="auto"/>
        <w:rPr>
          <w:sz w:val="20"/>
          <w:szCs w:val="20"/>
          <w:color w:val="auto"/>
        </w:rPr>
      </w:pPr>
      <w:r>
        <w:rPr>
          <w:rFonts w:ascii="Times New Roman" w:cs="Times New Roman" w:eastAsia="Times New Roman" w:hAnsi="Times New Roman"/>
          <w:sz w:val="22"/>
          <w:szCs w:val="22"/>
          <w:color w:val="auto"/>
        </w:rPr>
        <w:t>make the determination set forth herein in its sole discretion. The level of achievement of revenue shall be evidenced by the Committee’s written certification. For the avoidance of doubt, any portion of the Target Award that does not vest in accordance with the forgoing shall expire without consideration at the end of the Performance Period.</w:t>
      </w:r>
    </w:p>
    <w:p>
      <w:pPr>
        <w:spacing w:after="0" w:line="153" w:lineRule="exact"/>
        <w:rPr>
          <w:sz w:val="20"/>
          <w:szCs w:val="20"/>
          <w:color w:val="auto"/>
        </w:rPr>
      </w:pPr>
    </w:p>
    <w:p>
      <w:pPr>
        <w:jc w:val="both"/>
        <w:ind w:left="88" w:firstLine="656"/>
        <w:spacing w:after="0" w:line="225" w:lineRule="auto"/>
        <w:tabs>
          <w:tab w:leader="none" w:pos="1127" w:val="left"/>
        </w:tabs>
        <w:numPr>
          <w:ilvl w:val="6"/>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Vested Award</w:t>
      </w:r>
      <w:r>
        <w:rPr>
          <w:rFonts w:ascii="Times New Roman" w:cs="Times New Roman" w:eastAsia="Times New Roman" w:hAnsi="Times New Roman"/>
          <w:sz w:val="21"/>
          <w:szCs w:val="21"/>
          <w:color w:val="auto"/>
        </w:rPr>
        <w:t>. Upon the vesting of all or a portion of the Award, the Vested Award shall be paid to the Award Holder in cash, subject to any required tax withholding obligations, upon the Committee’s written certification as set forth in Section 3. No shares of Common Stock shall be issued with respect to the Award. The Award Holder shall not acquire or have any rights as a shareholder of the Corporation by virtue of this Agreement (or the Award evidenced hereby). Notwithstanding the foregoing, the Award Holder may elect, on a form and in a manner prescribed by the Corporation, to defer any payment of Vested Award, provided that any such deferral of payment must comply with any applicable requirements of Section 409A of the Code.</w:t>
      </w:r>
    </w:p>
    <w:p>
      <w:pPr>
        <w:spacing w:after="0" w:line="153" w:lineRule="exact"/>
        <w:rPr>
          <w:rFonts w:ascii="Times New Roman" w:cs="Times New Roman" w:eastAsia="Times New Roman" w:hAnsi="Times New Roman"/>
          <w:sz w:val="21"/>
          <w:szCs w:val="21"/>
          <w:color w:val="auto"/>
        </w:rPr>
      </w:pPr>
    </w:p>
    <w:p>
      <w:pPr>
        <w:jc w:val="both"/>
        <w:ind w:left="88" w:firstLine="8"/>
        <w:spacing w:after="0" w:line="212" w:lineRule="auto"/>
        <w:tabs>
          <w:tab w:leader="none" w:pos="81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If the Award Holder’s employment with the Corporation or a Subsidiary terminates before the end of the Performance Period for any reason, except as provided in this Section 5 or as determined by the Committee in its sole and absolute discretion, then the Award will be forfeited and cancelled and surrendered to the Corporation without payment of any consideration, effective on the date of the Award Holder’s termination of employment. Upon the termination of the Award Holder’s employment with the Corporation or a Subsidiary as a result of the Award Holder’s death or “permanent disability” (as defined herein) the Restricted Stock Units shall become fully vested on the date of such death or “permanent disability”. As used herein, the term “permanent disability” shall mean the date on which the Award Holder has not worked or been able to work due to physical or mental incapacity for a period of one hundred eighty (180) consecutive days.</w:t>
      </w:r>
    </w:p>
    <w:p>
      <w:pPr>
        <w:spacing w:after="0" w:line="156" w:lineRule="exact"/>
        <w:rPr>
          <w:rFonts w:ascii="Times New Roman" w:cs="Times New Roman" w:eastAsia="Times New Roman" w:hAnsi="Times New Roman"/>
          <w:sz w:val="22"/>
          <w:szCs w:val="22"/>
          <w:color w:val="auto"/>
        </w:rPr>
      </w:pPr>
    </w:p>
    <w:p>
      <w:pPr>
        <w:ind w:left="528" w:hanging="432"/>
        <w:spacing w:after="0"/>
        <w:tabs>
          <w:tab w:leader="none" w:pos="52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hanging="88"/>
        <w:spacing w:after="0" w:line="220" w:lineRule="auto"/>
        <w:tabs>
          <w:tab w:leader="none" w:pos="4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52" w:lineRule="exact"/>
        <w:rPr>
          <w:rFonts w:ascii="Times New Roman" w:cs="Times New Roman" w:eastAsia="Times New Roman" w:hAnsi="Times New Roman"/>
          <w:sz w:val="22"/>
          <w:szCs w:val="22"/>
          <w:color w:val="auto"/>
        </w:rPr>
      </w:pPr>
    </w:p>
    <w:p>
      <w:pPr>
        <w:ind w:left="688" w:hanging="376"/>
        <w:spacing w:after="0"/>
        <w:tabs>
          <w:tab w:leader="none" w:pos="688"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firstLine="251"/>
        <w:spacing w:after="0" w:line="225" w:lineRule="auto"/>
        <w:tabs>
          <w:tab w:leader="none" w:pos="736"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as a result of the Award or this Agreement.</w:t>
      </w:r>
    </w:p>
    <w:p>
      <w:pPr>
        <w:spacing w:after="0" w:line="152" w:lineRule="exact"/>
        <w:rPr>
          <w:rFonts w:ascii="Times New Roman" w:cs="Times New Roman" w:eastAsia="Times New Roman" w:hAnsi="Times New Roman"/>
          <w:sz w:val="22"/>
          <w:szCs w:val="22"/>
          <w:color w:val="auto"/>
        </w:rPr>
      </w:pPr>
    </w:p>
    <w:p>
      <w:pPr>
        <w:jc w:val="both"/>
        <w:ind w:left="88" w:firstLine="379"/>
        <w:spacing w:after="0" w:line="225" w:lineRule="auto"/>
        <w:tabs>
          <w:tab w:leader="none" w:pos="1100" w:val="left"/>
        </w:tabs>
        <w:numPr>
          <w:ilvl w:val="5"/>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Agreement and the transactions contemplated hereby.</w:t>
      </w:r>
    </w:p>
    <w:p>
      <w:pPr>
        <w:spacing w:after="0" w:line="152" w:lineRule="exact"/>
        <w:rPr>
          <w:rFonts w:ascii="Times New Roman" w:cs="Times New Roman" w:eastAsia="Times New Roman" w:hAnsi="Times New Roman"/>
          <w:sz w:val="22"/>
          <w:szCs w:val="22"/>
          <w:color w:val="auto"/>
        </w:rPr>
      </w:pPr>
    </w:p>
    <w:p>
      <w:pPr>
        <w:jc w:val="both"/>
        <w:ind w:left="88" w:firstLine="298"/>
        <w:spacing w:after="0" w:line="215" w:lineRule="auto"/>
        <w:tabs>
          <w:tab w:leader="none" w:pos="930" w:val="left"/>
        </w:tabs>
        <w:numPr>
          <w:ilvl w:val="4"/>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Agreement, this Award or any other right or privilege granted hereby contrary to the provisions hereof, this Agreement, this Award and all of such rights and privileges shall immediately become null and void, provided however, that the Award Holder may transfer an Award to any “family member” (as such term is defined in Section A.1(a)(5) of the General Instructions to Form S-8 under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7"/>
        <w:spacing w:after="0"/>
        <w:rPr>
          <w:sz w:val="20"/>
          <w:szCs w:val="20"/>
          <w:color w:val="auto"/>
        </w:rPr>
      </w:pPr>
      <w:r>
        <w:rPr>
          <w:rFonts w:ascii="Courier New" w:cs="Courier New" w:eastAsia="Courier New" w:hAnsi="Courier New"/>
          <w:sz w:val="20"/>
          <w:szCs w:val="20"/>
          <w:color w:val="auto"/>
        </w:rPr>
        <w:t>2</w:t>
      </w:r>
    </w:p>
    <w:p>
      <w:pPr>
        <w:sectPr>
          <w:pgSz w:w="11900" w:h="16838" w:orient="portrait"/>
          <w:cols w:equalWidth="0" w:num="1">
            <w:col w:w="11328"/>
          </w:cols>
          <w:pgMar w:left="232" w:top="1395" w:right="339" w:bottom="1440" w:gutter="0" w:footer="0" w:header="0"/>
        </w:sectPr>
      </w:pPr>
    </w:p>
    <w:bookmarkStart w:id="48" w:name="page49"/>
    <w:bookmarkEnd w:id="48"/>
    <w:p>
      <w:pPr>
        <w:spacing w:after="0" w:line="16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Securities Act of 1933, as amended (“</w:t>
      </w:r>
      <w:r>
        <w:rPr>
          <w:rFonts w:ascii="Times New Roman" w:cs="Times New Roman" w:eastAsia="Times New Roman" w:hAnsi="Times New Roman"/>
          <w:sz w:val="22"/>
          <w:szCs w:val="22"/>
          <w:b w:val="1"/>
          <w:bCs w:val="1"/>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52" w:lineRule="exact"/>
        <w:rPr>
          <w:sz w:val="20"/>
          <w:szCs w:val="20"/>
          <w:color w:val="auto"/>
        </w:rPr>
      </w:pPr>
    </w:p>
    <w:p>
      <w:pPr>
        <w:jc w:val="both"/>
        <w:ind w:firstLine="264"/>
        <w:spacing w:after="0" w:line="236" w:lineRule="auto"/>
        <w:tabs>
          <w:tab w:leader="none" w:pos="783"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Programs</w:t>
      </w:r>
      <w:r>
        <w:rPr>
          <w:rFonts w:ascii="Times New Roman" w:cs="Times New Roman" w:eastAsia="Times New Roman" w:hAnsi="Times New Roman"/>
          <w:sz w:val="21"/>
          <w:szCs w:val="21"/>
          <w:color w:val="auto"/>
        </w:rPr>
        <w:t>. Nothing contained in this cash-based long-time incentive award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51" w:lineRule="exact"/>
        <w:rPr>
          <w:rFonts w:ascii="Times New Roman" w:cs="Times New Roman" w:eastAsia="Times New Roman" w:hAnsi="Times New Roman"/>
          <w:sz w:val="21"/>
          <w:szCs w:val="21"/>
          <w:color w:val="auto"/>
        </w:rPr>
      </w:pPr>
    </w:p>
    <w:p>
      <w:pPr>
        <w:jc w:val="both"/>
        <w:ind w:firstLine="231"/>
        <w:spacing w:after="0" w:line="220" w:lineRule="auto"/>
        <w:tabs>
          <w:tab w:leader="none" w:pos="71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Agreement. Award Holder acknowledges receipt of a complete copy of the Plan.</w:t>
      </w:r>
    </w:p>
    <w:p>
      <w:pPr>
        <w:spacing w:after="0" w:line="152" w:lineRule="exact"/>
        <w:rPr>
          <w:rFonts w:ascii="Times New Roman" w:cs="Times New Roman" w:eastAsia="Times New Roman" w:hAnsi="Times New Roman"/>
          <w:sz w:val="22"/>
          <w:szCs w:val="22"/>
          <w:color w:val="auto"/>
        </w:rPr>
      </w:pPr>
    </w:p>
    <w:p>
      <w:pPr>
        <w:jc w:val="both"/>
        <w:ind w:firstLine="426"/>
        <w:spacing w:after="0" w:line="212" w:lineRule="auto"/>
        <w:tabs>
          <w:tab w:leader="none" w:pos="1107"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 other provisions in the Plan, the Corporation may cancel any Award, require reimbursement of any Award by the Award Holder, and effect any other right of recoupment of compensation provided under the Plan (including under this Agreement) in accordance with the Corporation’s clawback policy as the same may be adopted and/or modified from time to time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In addition, Award Holder acknowledges that any Award granted pursuant to the Plan and this Agreement may be subject to repayment to the Corporation in accordance with the Clawback Policy. By accepting the Award, Award Holder is agreeing to be bound by the Clawback Policy, as in effect on the Effective Date or as may be adopted and/or modified from time to time by the Corporation in its sole discretion (including, without limitation, to comply with applicable law or stock exchange listing requirements).</w:t>
      </w:r>
    </w:p>
    <w:p>
      <w:pPr>
        <w:spacing w:after="0" w:line="156" w:lineRule="exact"/>
        <w:rPr>
          <w:sz w:val="20"/>
          <w:szCs w:val="20"/>
          <w:color w:val="auto"/>
        </w:rPr>
      </w:pPr>
    </w:p>
    <w:p>
      <w:pPr>
        <w:jc w:val="both"/>
        <w:ind w:firstLine="231"/>
        <w:spacing w:after="0" w:line="220" w:lineRule="auto"/>
        <w:tabs>
          <w:tab w:leader="none" w:pos="71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Agreement shall be decided by the Committee in its total and absolute discretion. It is expressly understood that the Committee is authorized to administer, construe and make all determinations necessary or appropriate to the administration of the Plan and this Agreement, all of which shall be binding upon the Award Holder to the maximum extent permitted by the Plan.</w:t>
      </w:r>
    </w:p>
    <w:p>
      <w:pPr>
        <w:spacing w:after="0" w:line="152" w:lineRule="exact"/>
        <w:rPr>
          <w:rFonts w:ascii="Times New Roman" w:cs="Times New Roman" w:eastAsia="Times New Roman" w:hAnsi="Times New Roman"/>
          <w:sz w:val="22"/>
          <w:szCs w:val="22"/>
          <w:color w:val="auto"/>
        </w:rPr>
      </w:pPr>
    </w:p>
    <w:p>
      <w:pPr>
        <w:ind w:firstLine="271"/>
        <w:spacing w:after="0" w:line="236" w:lineRule="auto"/>
        <w:tabs>
          <w:tab w:leader="none" w:pos="796"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0" w:lineRule="exact"/>
        <w:rPr>
          <w:rFonts w:ascii="Times New Roman" w:cs="Times New Roman" w:eastAsia="Times New Roman" w:hAnsi="Times New Roman"/>
          <w:sz w:val="22"/>
          <w:szCs w:val="22"/>
          <w:color w:val="auto"/>
        </w:rPr>
      </w:pPr>
    </w:p>
    <w:p>
      <w:pPr>
        <w:ind w:firstLine="237"/>
        <w:spacing w:after="0" w:line="236" w:lineRule="auto"/>
        <w:tabs>
          <w:tab w:leader="none" w:pos="72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20"/>
          <w:szCs w:val="20"/>
          <w:color w:val="auto"/>
        </w:rPr>
        <w:t>4</w:t>
      </w:r>
    </w:p>
    <w:p>
      <w:pPr>
        <w:sectPr>
          <w:pgSz w:w="11900" w:h="16838" w:orient="portrait"/>
          <w:cols w:equalWidth="0" w:num="1">
            <w:col w:w="10139"/>
          </w:cols>
          <w:pgMar w:left="320" w:top="144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9019"/>
          </w:cols>
          <w:pgMar w:left="1440" w:top="1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9019"/>
          </w:cols>
          <w:pgMar w:left="1440" w:top="1391" w:right="1440"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July 2, 2022;</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July 2, 2022;</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July 2, 2022,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August 4,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July 2, 2022,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21">
    <w:nsid w:val="1E7FF52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22">
    <w:nsid w:val="7C3DBD3D"/>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decimal"/>
      <w:start w:val="1"/>
    </w:lvl>
  </w:abstractNum>
  <w:abstractNum w:abstractNumId="23">
    <w:nsid w:val="737B8DDC"/>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9"/>
    </w:lvl>
    <w:lvl w:ilvl="4">
      <w:lvlJc w:val="left"/>
      <w:lvlText w:val="%5."/>
      <w:numFmt w:val="decimal"/>
      <w:start w:val="11"/>
    </w:lvl>
    <w:lvl w:ilvl="5">
      <w:lvlJc w:val="left"/>
      <w:lvlText w:val="%6."/>
      <w:numFmt w:val="decimal"/>
      <w:start w:val="10"/>
    </w:lvl>
    <w:lvl w:ilvl="6">
      <w:lvlJc w:val="left"/>
      <w:lvlText w:val="%7."/>
      <w:numFmt w:val="decimal"/>
      <w:start w:val="10"/>
    </w:lvl>
  </w:abstractNum>
  <w:abstractNum w:abstractNumId="24">
    <w:nsid w:val="6CEAF087"/>
    <w:multiLevelType w:val="hybridMultilevel"/>
    <w:lvl w:ilvl="0">
      <w:lvlJc w:val="left"/>
      <w:lvlText w:val="%1."/>
      <w:numFmt w:val="decimal"/>
      <w:start w:val="13"/>
    </w:lvl>
  </w:abstractNum>
  <w:abstractNum w:abstractNumId="25">
    <w:nsid w:val="22221A70"/>
    <w:multiLevelType w:val="hybridMultilevel"/>
    <w:lvl w:ilvl="0">
      <w:lvlJc w:val="left"/>
      <w:lvlText w:val="%1"/>
      <w:numFmt w:val="decimal"/>
      <w:start w:val="1"/>
    </w:lvl>
    <w:lvl w:ilvl="1">
      <w:lvlJc w:val="left"/>
      <w:lvlText w:val="%2."/>
      <w:numFmt w:val="decimal"/>
      <w:start w:val="15"/>
    </w:lvl>
  </w:abstractNum>
  <w:abstractNum w:abstractNumId="26">
    <w:nsid w:val="4516DDE9"/>
    <w:multiLevelType w:val="hybridMultilevel"/>
    <w:lvl w:ilvl="0">
      <w:lvlJc w:val="left"/>
      <w:lvlText w:val="%1."/>
      <w:numFmt w:val="decimal"/>
      <w:start w:val="16"/>
    </w:lvl>
    <w:lvl w:ilvl="1">
      <w:lvlJc w:val="left"/>
      <w:lvlText w:val="%2"/>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3"/>
    </w:lvl>
  </w:abstractNum>
  <w:abstractNum w:abstractNumId="29">
    <w:nsid w:val="419AC2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decimal"/>
      <w:start w:val="4"/>
    </w:lvl>
  </w:abstractNum>
  <w:abstractNum w:abstractNumId="30">
    <w:nsid w:val="5577F8E1"/>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decimal"/>
      <w:start w:val="1"/>
    </w:lvl>
  </w:abstractNum>
  <w:abstractNum w:abstractNumId="31">
    <w:nsid w:val="440BADFC"/>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9"/>
    </w:lvl>
    <w:lvl w:ilvl="4">
      <w:lvlJc w:val="left"/>
      <w:lvlText w:val="%5."/>
      <w:numFmt w:val="decimal"/>
      <w:start w:val="10"/>
    </w:lvl>
    <w:lvl w:ilvl="5">
      <w:lvlJc w:val="left"/>
      <w:lvlText w:val="%6."/>
      <w:numFmt w:val="decimal"/>
      <w:start w:val="10"/>
    </w:lvl>
    <w:lvl w:ilvl="6">
      <w:lvlJc w:val="left"/>
      <w:lvlText w:val="%7"/>
      <w:numFmt w:val="decimal"/>
      <w:start w:val="1"/>
    </w:lvl>
  </w:abstractNum>
  <w:abstractNum w:abstractNumId="32">
    <w:nsid w:val="5072367"/>
    <w:multiLevelType w:val="hybridMultilevel"/>
    <w:lvl w:ilvl="0">
      <w:lvlJc w:val="left"/>
      <w:lvlText w:val="%1"/>
      <w:numFmt w:val="decimal"/>
      <w:start w:val="1"/>
    </w:lvl>
    <w:lvl w:ilvl="1">
      <w:lvlJc w:val="left"/>
      <w:lvlText w:val="%2."/>
      <w:numFmt w:val="decimal"/>
      <w:start w:val="12"/>
    </w:lvl>
    <w:lvl w:ilvl="2">
      <w:lvlJc w:val="left"/>
      <w:lvlText w:val="%3"/>
      <w:numFmt w:val="decimal"/>
      <w:start w:val="1"/>
    </w:lvl>
  </w:abstractNum>
  <w:abstractNum w:abstractNumId="33">
    <w:nsid w:val="3804823E"/>
    <w:multiLevelType w:val="hybridMultilevel"/>
    <w:lvl w:ilvl="0">
      <w:lvlJc w:val="left"/>
      <w:lvlText w:val="%1."/>
      <w:numFmt w:val="decimal"/>
      <w:start w:val="13"/>
    </w:lvl>
    <w:lvl w:ilvl="1">
      <w:lvlJc w:val="left"/>
      <w:lvlText w:val="%2"/>
      <w:numFmt w:val="decimal"/>
      <w:start w:val="1"/>
    </w:lvl>
    <w:lvl w:ilvl="2">
      <w:lvlJc w:val="left"/>
      <w:lvlText w:val="%3."/>
      <w:numFmt w:val="decimal"/>
      <w:start w:val="14"/>
    </w:lvl>
  </w:abstractNum>
  <w:abstractNum w:abstractNumId="34">
    <w:nsid w:val="77465F01"/>
    <w:multiLevelType w:val="hybridMultilevel"/>
    <w:lvl w:ilvl="0">
      <w:lvlJc w:val="left"/>
      <w:lvlText w:val="%1."/>
      <w:numFmt w:val="decimal"/>
      <w:start w:val="15"/>
    </w:lvl>
    <w:lvl w:ilvl="1">
      <w:lvlJc w:val="left"/>
      <w:lvlText w:val="%2."/>
      <w:numFmt w:val="decimal"/>
      <w:start w:val="16"/>
    </w:lvl>
    <w:lvl w:ilvl="2">
      <w:lvlJc w:val="left"/>
      <w:lvlText w:val="%3."/>
      <w:numFmt w:val="decimal"/>
      <w:start w:val="16"/>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52" Type="http://schemas.openxmlformats.org/officeDocument/2006/relationships/hyperlink" Target="http://www.sec.gov/Archives/edgar/data/30305/000119312517281838/d414212dex21.htm" TargetMode="External"/><Relationship Id="rId53" Type="http://schemas.openxmlformats.org/officeDocument/2006/relationships/hyperlink" Target="http://www.sec.gov/Archives/edgar/data/30305/000119312519264787/d817718dex21.htm" TargetMode="External"/><Relationship Id="rId54" Type="http://schemas.openxmlformats.org/officeDocument/2006/relationships/hyperlink" Target="http://www.sec.gov/Archives/edgar/data/30305/000119312521358659/d203605dex21.htm" TargetMode="External"/><Relationship Id="rId55" Type="http://schemas.openxmlformats.org/officeDocument/2006/relationships/hyperlink" Target="http://www.sec.gov/Archives/edgar/data/30305/000119312521361798/d273590dex21.htm" TargetMode="External"/><Relationship Id="rId56" Type="http://schemas.openxmlformats.org/officeDocument/2006/relationships/hyperlink" Target="http://www.sec.gov/Archives/edgar/data/30305/0000892569-99-000620-index.html" TargetMode="External"/><Relationship Id="rId57" Type="http://schemas.openxmlformats.org/officeDocument/2006/relationships/hyperlink" Target="http://www.sec.gov/Archives/edgar/data/30305/000119312513121993/d505045dex991.htm" TargetMode="External"/><Relationship Id="rId58" Type="http://schemas.openxmlformats.org/officeDocument/2006/relationships/hyperlink" Target="http://www.sec.gov/Archives/edgar/data/30305/000119312517005088/d321215dex992.htm" TargetMode="External"/><Relationship Id="rId59" Type="http://schemas.openxmlformats.org/officeDocument/2006/relationships/hyperlink" Target="http://www.sec.gov/Archives/edgar/data/30305/000119312518058275/0001193125-18-058275-index.htm" TargetMode="External"/><Relationship Id="rId60" Type="http://schemas.openxmlformats.org/officeDocument/2006/relationships/hyperlink" Target="http://www.sec.gov/Archives/edgar/data/30305/000119312521073228/0001193125-21-073228-index.htm" TargetMode="External"/><Relationship Id="rId61" Type="http://schemas.openxmlformats.org/officeDocument/2006/relationships/hyperlink" Target="http://www.sec.gov/Archives/edgar/data/30305/000162828020001898/dco10-k2019exhibit4_1.htm" TargetMode="External"/><Relationship Id="rId62" Type="http://schemas.openxmlformats.org/officeDocument/2006/relationships/hyperlink" Target="http://www.sec.gov/Archives/edgar/data/30305/000119312522195816/d363696dex101.htm" TargetMode="External"/><Relationship Id="rId63" Type="http://schemas.openxmlformats.org/officeDocument/2006/relationships/hyperlink" Target="http://www.sec.gov/Archives/edgar/data/30305/000162828022011997/exhibit10_1xjoinderagreeme" TargetMode="External"/><Relationship Id="rId64" Type="http://schemas.openxmlformats.org/officeDocument/2006/relationships/hyperlink" Target="http://www.sec.gov/Archives/edgar/data/30305/000162828021021193/dco-q3202110xqxex10_1x2nda.htm" TargetMode="External"/><Relationship Id="rId65" Type="http://schemas.openxmlformats.org/officeDocument/2006/relationships/hyperlink" Target="http://www.sec.gov/Archives/edgar/data/30305/000119312519321137/d834392dex101.htm" TargetMode="External"/><Relationship Id="rId66" Type="http://schemas.openxmlformats.org/officeDocument/2006/relationships/hyperlink" Target="http://www.sec.gov/Archives/edgar/data/30305/000119312518333904/0001193125-18-333904-index.htm" TargetMode="External"/><Relationship Id="rId67" Type="http://schemas.openxmlformats.org/officeDocument/2006/relationships/hyperlink" Target="http://www.sec.gov/Archives/edgar/data/30305/000119312518093774/d536991ddef14a.htm" TargetMode="External"/><Relationship Id="rId68" Type="http://schemas.openxmlformats.org/officeDocument/2006/relationships/hyperlink" Target="http://www.sec.gov/Archives/edgar/data/30305/000119312520080692/d859194ddef14a.htm" TargetMode="External"/><Relationship Id="rId71" Type="http://schemas.openxmlformats.org/officeDocument/2006/relationships/hyperlink" Target="http://www.sec.gov/Archives/edgar/data/30305/000119312504034525/dex108.htm" TargetMode="External"/><Relationship Id="rId72" Type="http://schemas.openxmlformats.org/officeDocument/2006/relationships/hyperlink" Target="http://www.sec.gov/Archives/edgar/data/30305/000162828017002221/dco10-k2016_ex105.htm" TargetMode="External"/><Relationship Id="rId73" Type="http://schemas.openxmlformats.org/officeDocument/2006/relationships/hyperlink" Target="http://www.sec.gov/Archives/edgar/data/30305/000119312518159343/d596690dex47.htm" TargetMode="External"/><Relationship Id="rId74" Type="http://schemas.openxmlformats.org/officeDocument/2006/relationships/hyperlink" Target="http://www.sec.gov/Archives/edgar/data/30305/000162828017002221/dco10-k2016_ex109.htm" TargetMode="External"/><Relationship Id="rId75" Type="http://schemas.openxmlformats.org/officeDocument/2006/relationships/hyperlink" Target="http://www.sec.gov/Archives/edgar/data/30305/000162828017002221/dco10-k2016_ex1011.htm" TargetMode="External"/><Relationship Id="rId76" Type="http://schemas.openxmlformats.org/officeDocument/2006/relationships/hyperlink" Target="http://www.sec.gov/Archives/edgar/data/30305/000162828020011005/dco-q2202010xqex1018.htm" TargetMode="External"/><Relationship Id="rId77" Type="http://schemas.openxmlformats.org/officeDocument/2006/relationships/hyperlink" Target="http://www.sec.gov/Archives/edgar/data/30305/000162828020011005/dco-q2202010xqex1019.htm" TargetMode="External"/><Relationship Id="rId78" Type="http://schemas.openxmlformats.org/officeDocument/2006/relationships/hyperlink" Target="http://www.sec.gov/Archives/edgar/data/30305/000162828020011005/dco-q2202010xqex1020.htm" TargetMode="External"/><Relationship Id="rId79" Type="http://schemas.openxmlformats.org/officeDocument/2006/relationships/hyperlink" Target="http://www.sec.gov/Archives/edgar/data/30305/000162828020011005/dco-q2202010xqex1021.htm" TargetMode="External"/><Relationship Id="rId80" Type="http://schemas.openxmlformats.org/officeDocument/2006/relationships/hyperlink" Target="http://www.sec.gov/Archives/edgar/data/30305/000162828020011005/dco-q2202010xqex1022.htm" TargetMode="External"/><Relationship Id="rId81" Type="http://schemas.openxmlformats.org/officeDocument/2006/relationships/hyperlink" Target="http://www.sec.gov/Archives/edgar/data/30305/000119312510036507/dex1015.htm" TargetMode="External"/><Relationship Id="rId82" Type="http://schemas.openxmlformats.org/officeDocument/2006/relationships/hyperlink" Target="http://www.sec.gov/Archives/edgar/data/30305/000119312519301183/0001193125-19-301183-index.htm" TargetMode="External"/><Relationship Id="rId83" Type="http://schemas.openxmlformats.org/officeDocument/2006/relationships/hyperlink" Target="http://www.sec.gov/Archives/edgar/data/30305/000119312517020975/d284517dex991.htm" TargetMode="External"/><Relationship Id="rId84" Type="http://schemas.openxmlformats.org/officeDocument/2006/relationships/hyperlink" Target="http://www.sec.gov/Archives/edgar/data/30305/000119312517020975/d284517dex992.htm" TargetMode="External"/><Relationship Id="rId85" Type="http://schemas.openxmlformats.org/officeDocument/2006/relationships/hyperlink" Target="http://www.sec.gov/Archives/edgar/data/30305/000119312517005088/d321215dex991.htm" TargetMode="External"/><Relationship Id="rId86" Type="http://schemas.openxmlformats.org/officeDocument/2006/relationships/hyperlink" Target="http://www.sec.gov/Archives/edgar/data/30305/000162828022003518/ex10_24xrroger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2022-08-04T08:29:42Z</dcterms:created>
  <dcterms:modified xsi:type="dcterms:W3CDTF">2022-08-04T08:29:42Z</dcterms:modified>
</cp:coreProperties>
</file>