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0" w:lineRule="exact"/>
        <w:rPr>
          <w:sz w:val="24"/>
          <w:szCs w:val="24"/>
          <w:color w:val="auto"/>
        </w:rPr>
      </w:pPr>
    </w:p>
    <w:p>
      <w:pPr>
        <w:ind w:left="940" w:right="680" w:hanging="624"/>
        <w:spacing w:after="0" w:line="235" w:lineRule="auto"/>
        <w:tabs>
          <w:tab w:leader="none" w:pos="9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940" w:right="660" w:hanging="624"/>
        <w:spacing w:after="0" w:line="235" w:lineRule="auto"/>
        <w:tabs>
          <w:tab w:leader="none" w:pos="9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DUCOMMUN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06"/>
        </w:trPr>
        <w:tc>
          <w:tcPr>
            <w:tcW w:w="736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60" w:type="dxa"/>
            <w:vAlign w:val="bottom"/>
          </w:tcPr>
          <w:p>
            <w:pPr>
              <w:spacing w:after="0"/>
              <w:rPr>
                <w:sz w:val="17"/>
                <w:szCs w:val="17"/>
                <w:color w:val="auto"/>
              </w:rPr>
            </w:pPr>
          </w:p>
        </w:tc>
      </w:tr>
      <w:tr>
        <w:trPr>
          <w:trHeight w:val="253"/>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95-0693330</w:t>
            </w:r>
          </w:p>
        </w:tc>
      </w:tr>
      <w:tr>
        <w:trPr>
          <w:trHeight w:val="144"/>
        </w:trPr>
        <w:tc>
          <w:tcPr>
            <w:tcW w:w="7360" w:type="dxa"/>
            <w:vAlign w:val="bottom"/>
          </w:tcPr>
          <w:p>
            <w:pPr>
              <w:jc w:val="center"/>
              <w:ind w:right="2921"/>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360" w:type="dxa"/>
            <w:vAlign w:val="bottom"/>
          </w:tcPr>
          <w:p>
            <w:pPr>
              <w:jc w:val="center"/>
              <w:ind w:right="2921"/>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0"/>
              </w:rPr>
              <w:t>200 Sandpointe Avenue, Suite 700, Santa Ana, California</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92707-5759</w:t>
            </w:r>
          </w:p>
        </w:tc>
      </w:tr>
      <w:tr>
        <w:trPr>
          <w:trHeight w:val="186"/>
        </w:trPr>
        <w:tc>
          <w:tcPr>
            <w:tcW w:w="7360" w:type="dxa"/>
            <w:vAlign w:val="bottom"/>
          </w:tcPr>
          <w:p>
            <w:pPr>
              <w:jc w:val="center"/>
              <w:ind w:right="29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4"/>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 par value per share</w:t>
            </w:r>
          </w:p>
        </w:tc>
        <w:tc>
          <w:tcPr>
            <w:tcW w:w="26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68" w:lineRule="exact"/>
        <w:rPr>
          <w:sz w:val="24"/>
          <w:szCs w:val="24"/>
          <w:color w:val="auto"/>
        </w:rPr>
      </w:pPr>
    </w:p>
    <w:p>
      <w:pPr>
        <w:ind w:right="30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ind w:right="36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74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October 26, 2021, the registrant had 11,923,189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5"/>
        </w:trPr>
        <w:tc>
          <w:tcPr>
            <w:tcW w:w="9700" w:type="dxa"/>
            <w:vAlign w:val="bottom"/>
            <w:gridSpan w:val="22"/>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FINANCIAL INFORMATION</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86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October </w:t>
              </w:r>
            </w:hyperlink>
            <w:r>
              <w:rPr>
                <w:rFonts w:ascii="Arial" w:cs="Arial" w:eastAsia="Arial" w:hAnsi="Arial"/>
                <w:sz w:val="18"/>
                <w:szCs w:val="18"/>
                <w:color w:val="0000FF"/>
              </w:rPr>
              <w:t xml:space="preserve">2, </w:t>
            </w:r>
            <w:hyperlink w:anchor="page3">
              <w:r>
                <w:rPr>
                  <w:rFonts w:ascii="Arial" w:cs="Arial" w:eastAsia="Arial" w:hAnsi="Arial"/>
                  <w:sz w:val="18"/>
                  <w:szCs w:val="18"/>
                  <w:color w:val="0000FF"/>
                </w:rPr>
                <w:t>2021 and December 31, 2020</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Income for the Three and Nine Months Ended October 2, 2021 and September</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26, 2020</w:t>
              </w:r>
            </w:hyperlink>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Comprehensive Income for the Three and Nine Months Ended October 2, 2021</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and September 26, 2020</w:t>
              </w:r>
            </w:hyperlink>
          </w:p>
        </w:tc>
        <w:tc>
          <w:tcPr>
            <w:tcW w:w="682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Statements of Changes in Shareholders’ Equity for the Three and Nine Months Ended</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October 2, 2021 and September </w:t>
              </w:r>
            </w:hyperlink>
            <w:r>
              <w:rPr>
                <w:rFonts w:ascii="Arial" w:cs="Arial" w:eastAsia="Arial" w:hAnsi="Arial"/>
                <w:sz w:val="18"/>
                <w:szCs w:val="18"/>
                <w:color w:val="0000FF"/>
              </w:rPr>
              <w:t xml:space="preserve">26, </w:t>
            </w:r>
            <w:hyperlink w:anchor="page5">
              <w:r>
                <w:rPr>
                  <w:rFonts w:ascii="Arial" w:cs="Arial" w:eastAsia="Arial" w:hAnsi="Arial"/>
                  <w:sz w:val="18"/>
                  <w:szCs w:val="18"/>
                  <w:color w:val="0000FF"/>
                </w:rPr>
                <w:t>2020</w:t>
              </w:r>
            </w:hyperlink>
          </w:p>
        </w:tc>
        <w:tc>
          <w:tcPr>
            <w:tcW w:w="30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8"/>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Cash Flows for the Nine Months Ended October 2, 2021 and September 26,</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gridSpan w:val="10"/>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4620" w:type="dxa"/>
            <w:vAlign w:val="bottom"/>
            <w:gridSpan w:val="8"/>
          </w:tcPr>
          <w:p>
            <w:pPr>
              <w:spacing w:after="0"/>
              <w:rPr>
                <w:sz w:val="22"/>
                <w:szCs w:val="22"/>
                <w:color w:val="auto"/>
              </w:rPr>
            </w:pPr>
          </w:p>
        </w:tc>
        <w:tc>
          <w:tcPr>
            <w:tcW w:w="15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2.</w:t>
            </w:r>
          </w:p>
        </w:tc>
        <w:tc>
          <w:tcPr>
            <w:tcW w:w="862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4"/>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2"/>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gridSpan w:val="1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728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Risk Factors</w:t>
              </w:r>
            </w:hyperlink>
          </w:p>
        </w:tc>
        <w:tc>
          <w:tcPr>
            <w:tcW w:w="7700" w:type="dxa"/>
            <w:vAlign w:val="bottom"/>
            <w:gridSpan w:val="1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Mine Safety Disclosures</w:t>
              </w:r>
            </w:hyperlink>
          </w:p>
        </w:tc>
        <w:tc>
          <w:tcPr>
            <w:tcW w:w="6840" w:type="dxa"/>
            <w:vAlign w:val="bottom"/>
            <w:gridSpan w:val="11"/>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6.</w:t>
            </w:r>
          </w:p>
        </w:tc>
        <w:tc>
          <w:tcPr>
            <w:tcW w:w="862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5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and per share data)</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color w:val="auto"/>
              </w:rPr>
              <w:t>October 2,</w:t>
            </w:r>
          </w:p>
        </w:tc>
        <w:tc>
          <w:tcPr>
            <w:tcW w:w="240" w:type="dxa"/>
            <w:vAlign w:val="bottom"/>
          </w:tcPr>
          <w:p>
            <w:pPr>
              <w:spacing w:after="0"/>
              <w:rPr>
                <w:sz w:val="14"/>
                <w:szCs w:val="14"/>
                <w:color w:val="auto"/>
              </w:rPr>
            </w:pPr>
          </w:p>
        </w:tc>
        <w:tc>
          <w:tcPr>
            <w:tcW w:w="130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Arial" w:cs="Arial" w:eastAsia="Arial" w:hAnsi="Arial"/>
                <w:sz w:val="18"/>
                <w:szCs w:val="18"/>
                <w:color w:val="auto"/>
                <w:w w:val="97"/>
              </w:rPr>
              <w:t>Accounts receivable, net (allowance for credit losses of $1,487 and $1,552 at October 2, 2021 and</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69,805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December 31, 2020, respectively</w:t>
            </w: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129,223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cost of contracts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410,284</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Property and equipment, net of accumulated depreciation of $177,426 and $169,742 at October 2, 2021 and</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108,973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109,990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December 31, 2020, respectively</w:t>
            </w: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170,830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837,783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63,980</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142,902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508,013</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(Notes 6, 8)</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3"/>
              </w:rPr>
              <w:t>Common stock - $0.01 par value; 35,000,000 shares authorized; 11,922,399 and 11,728,212 shares issued</w:t>
            </w: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and outstanding at October 2, 2021 and December 31, 2020, respectively</w:t>
            </w: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241,727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5"/>
                <w:szCs w:val="15"/>
                <w:color w:val="auto"/>
              </w:rPr>
            </w:pPr>
          </w:p>
        </w:tc>
        <w:tc>
          <w:tcPr>
            <w:tcW w:w="2260" w:type="dxa"/>
            <w:vAlign w:val="bottom"/>
            <w:gridSpan w:val="4"/>
          </w:tcPr>
          <w:p>
            <w:pPr>
              <w:jc w:val="right"/>
              <w:ind w:right="55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October 2,</w:t>
            </w:r>
          </w:p>
        </w:tc>
        <w:tc>
          <w:tcPr>
            <w:tcW w:w="14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September 26,</w:t>
            </w:r>
          </w:p>
        </w:tc>
        <w:tc>
          <w:tcPr>
            <w:tcW w:w="200" w:type="dxa"/>
            <w:vAlign w:val="bottom"/>
          </w:tcPr>
          <w:p>
            <w:pPr>
              <w:spacing w:after="0"/>
              <w:rPr>
                <w:sz w:val="12"/>
                <w:szCs w:val="12"/>
                <w:color w:val="auto"/>
              </w:rPr>
            </w:pPr>
          </w:p>
        </w:tc>
        <w:tc>
          <w:tcPr>
            <w:tcW w:w="10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October 2,</w:t>
            </w:r>
          </w:p>
        </w:tc>
        <w:tc>
          <w:tcPr>
            <w:tcW w:w="140" w:type="dxa"/>
            <w:vAlign w:val="bottom"/>
          </w:tcPr>
          <w:p>
            <w:pPr>
              <w:spacing w:after="0"/>
              <w:rPr>
                <w:sz w:val="12"/>
                <w:szCs w:val="12"/>
                <w:color w:val="auto"/>
              </w:rPr>
            </w:pPr>
          </w:p>
        </w:tc>
        <w:tc>
          <w:tcPr>
            <w:tcW w:w="1040" w:type="dxa"/>
            <w:vAlign w:val="bottom"/>
          </w:tcPr>
          <w:p>
            <w:pPr>
              <w:jc w:val="right"/>
              <w:ind w:right="92"/>
              <w:spacing w:after="0" w:line="147" w:lineRule="exact"/>
              <w:rPr>
                <w:sz w:val="20"/>
                <w:szCs w:val="20"/>
                <w:color w:val="auto"/>
              </w:rPr>
            </w:pPr>
            <w:r>
              <w:rPr>
                <w:rFonts w:ascii="Arial" w:cs="Arial" w:eastAsia="Arial" w:hAnsi="Arial"/>
                <w:sz w:val="14"/>
                <w:szCs w:val="14"/>
                <w:color w:val="auto"/>
                <w:w w:val="91"/>
              </w:rPr>
              <w:t>September 26,</w:t>
            </w:r>
          </w:p>
        </w:tc>
        <w:tc>
          <w:tcPr>
            <w:tcW w:w="0" w:type="dxa"/>
            <w:vAlign w:val="bottom"/>
          </w:tcPr>
          <w:p>
            <w:pPr>
              <w:spacing w:after="0"/>
              <w:rPr>
                <w:sz w:val="1"/>
                <w:szCs w:val="1"/>
                <w:color w:val="auto"/>
              </w:rPr>
            </w:pPr>
          </w:p>
        </w:tc>
      </w:tr>
      <w:tr>
        <w:trPr>
          <w:trHeight w:val="186"/>
        </w:trPr>
        <w:tc>
          <w:tcPr>
            <w:tcW w:w="6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471,155</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368,218</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102,937</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67,253</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(2,770)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62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5"/>
                <w:szCs w:val="15"/>
                <w:color w:val="auto"/>
              </w:rPr>
            </w:pPr>
          </w:p>
        </w:tc>
        <w:tc>
          <w:tcPr>
            <w:tcW w:w="2260" w:type="dxa"/>
            <w:vAlign w:val="bottom"/>
            <w:gridSpan w:val="4"/>
          </w:tcPr>
          <w:p>
            <w:pPr>
              <w:jc w:val="right"/>
              <w:ind w:right="55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7"/>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October 2,</w:t>
            </w:r>
          </w:p>
        </w:tc>
        <w:tc>
          <w:tcPr>
            <w:tcW w:w="14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September 26,</w:t>
            </w:r>
          </w:p>
        </w:tc>
        <w:tc>
          <w:tcPr>
            <w:tcW w:w="200" w:type="dxa"/>
            <w:vAlign w:val="bottom"/>
          </w:tcPr>
          <w:p>
            <w:pPr>
              <w:spacing w:after="0"/>
              <w:rPr>
                <w:sz w:val="12"/>
                <w:szCs w:val="12"/>
                <w:color w:val="auto"/>
              </w:rPr>
            </w:pPr>
          </w:p>
        </w:tc>
        <w:tc>
          <w:tcPr>
            <w:tcW w:w="10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October 2,</w:t>
            </w:r>
          </w:p>
        </w:tc>
        <w:tc>
          <w:tcPr>
            <w:tcW w:w="140" w:type="dxa"/>
            <w:vAlign w:val="bottom"/>
          </w:tcPr>
          <w:p>
            <w:pPr>
              <w:spacing w:after="0"/>
              <w:rPr>
                <w:sz w:val="12"/>
                <w:szCs w:val="12"/>
                <w:color w:val="auto"/>
              </w:rPr>
            </w:pPr>
          </w:p>
        </w:tc>
        <w:tc>
          <w:tcPr>
            <w:tcW w:w="1040" w:type="dxa"/>
            <w:vAlign w:val="bottom"/>
          </w:tcPr>
          <w:p>
            <w:pPr>
              <w:jc w:val="right"/>
              <w:ind w:right="95"/>
              <w:spacing w:after="0" w:line="147" w:lineRule="exact"/>
              <w:rPr>
                <w:sz w:val="20"/>
                <w:szCs w:val="20"/>
                <w:color w:val="auto"/>
              </w:rPr>
            </w:pPr>
            <w:r>
              <w:rPr>
                <w:rFonts w:ascii="Arial" w:cs="Arial" w:eastAsia="Arial" w:hAnsi="Arial"/>
                <w:sz w:val="14"/>
                <w:szCs w:val="14"/>
                <w:color w:val="auto"/>
                <w:w w:val="91"/>
              </w:rPr>
              <w:t>September 26,</w:t>
            </w:r>
          </w:p>
        </w:tc>
        <w:tc>
          <w:tcPr>
            <w:tcW w:w="0" w:type="dxa"/>
            <w:vAlign w:val="bottom"/>
          </w:tcPr>
          <w:p>
            <w:pPr>
              <w:spacing w:after="0"/>
              <w:rPr>
                <w:sz w:val="1"/>
                <w:szCs w:val="1"/>
                <w:color w:val="auto"/>
              </w:rPr>
            </w:pPr>
          </w:p>
        </w:tc>
      </w:tr>
      <w:tr>
        <w:trPr>
          <w:trHeight w:val="186"/>
        </w:trPr>
        <w:tc>
          <w:tcPr>
            <w:tcW w:w="6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Amortization of actuarial loss and prior service costs, net of tax of $76 and $59</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for the three months ended October 2, 2021 and September 26, 2020,</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respectively, and $229 and $177 for the nine months ended October 2, 2021</w:t>
            </w: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September 26, 2020, respectively</w:t>
            </w: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360"/>
              <w:spacing w:after="0" w:line="176" w:lineRule="exact"/>
              <w:rPr>
                <w:sz w:val="20"/>
                <w:szCs w:val="20"/>
                <w:color w:val="auto"/>
              </w:rPr>
            </w:pPr>
            <w:r>
              <w:rPr>
                <w:rFonts w:ascii="Arial" w:cs="Arial" w:eastAsia="Arial" w:hAnsi="Arial"/>
                <w:sz w:val="18"/>
                <w:szCs w:val="18"/>
                <w:color w:val="auto"/>
                <w:w w:val="94"/>
              </w:rPr>
              <w:t>Change in unrealized gains and losses on cash flow hedges, net of tax of zero</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40" w:type="dxa"/>
            <w:vAlign w:val="bottom"/>
          </w:tcPr>
          <w:p>
            <w:pPr>
              <w:ind w:left="360"/>
              <w:spacing w:after="0" w:line="176" w:lineRule="exact"/>
              <w:rPr>
                <w:sz w:val="20"/>
                <w:szCs w:val="20"/>
                <w:color w:val="auto"/>
              </w:rPr>
            </w:pPr>
            <w:r>
              <w:rPr>
                <w:rFonts w:ascii="Arial" w:cs="Arial" w:eastAsia="Arial" w:hAnsi="Arial"/>
                <w:sz w:val="18"/>
                <w:szCs w:val="18"/>
                <w:color w:val="auto"/>
                <w:w w:val="92"/>
              </w:rPr>
              <w:t>for both the three months ended October 2, 2021 and September 26, 2020, and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360"/>
              <w:spacing w:after="0" w:line="176" w:lineRule="exact"/>
              <w:rPr>
                <w:sz w:val="20"/>
                <w:szCs w:val="20"/>
                <w:color w:val="auto"/>
              </w:rPr>
            </w:pPr>
            <w:r>
              <w:rPr>
                <w:rFonts w:ascii="Arial" w:cs="Arial" w:eastAsia="Arial" w:hAnsi="Arial"/>
                <w:sz w:val="18"/>
                <w:szCs w:val="18"/>
                <w:color w:val="auto"/>
                <w:w w:val="95"/>
              </w:rPr>
              <w:t>zero and $57 for the nine months ended October 2, 2021 and September 26,</w:t>
            </w:r>
          </w:p>
        </w:tc>
        <w:tc>
          <w:tcPr>
            <w:tcW w:w="18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6240" w:type="dxa"/>
            <w:vAlign w:val="bottom"/>
          </w:tcPr>
          <w:p>
            <w:pPr>
              <w:ind w:left="360"/>
              <w:spacing w:after="0"/>
              <w:rPr>
                <w:sz w:val="20"/>
                <w:szCs w:val="20"/>
                <w:color w:val="auto"/>
              </w:rPr>
            </w:pPr>
            <w:r>
              <w:rPr>
                <w:rFonts w:ascii="Arial" w:cs="Arial" w:eastAsia="Arial" w:hAnsi="Arial"/>
                <w:sz w:val="18"/>
                <w:szCs w:val="18"/>
                <w:color w:val="auto"/>
              </w:rPr>
              <w:t>2020, respectively</w:t>
            </w:r>
          </w:p>
        </w:tc>
        <w:tc>
          <w:tcPr>
            <w:tcW w:w="18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980" w:type="dxa"/>
            <w:vAlign w:val="bottom"/>
            <w:vMerge w:val="restart"/>
          </w:tcPr>
          <w:p>
            <w:pPr>
              <w:jc w:val="center"/>
              <w:ind w:right="31"/>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Paid-In</w:t>
            </w: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1"/>
                <w:szCs w:val="11"/>
                <w:color w:val="auto"/>
              </w:rPr>
            </w:pPr>
          </w:p>
        </w:tc>
        <w:tc>
          <w:tcPr>
            <w:tcW w:w="980" w:type="dxa"/>
            <w:vAlign w:val="bottom"/>
          </w:tcPr>
          <w:p>
            <w:pPr>
              <w:jc w:val="center"/>
              <w:ind w:right="51"/>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Loss</w:t>
            </w:r>
          </w:p>
        </w:tc>
        <w:tc>
          <w:tcPr>
            <w:tcW w:w="120" w:type="dxa"/>
            <w:vAlign w:val="bottom"/>
          </w:tcPr>
          <w:p>
            <w:pPr>
              <w:spacing w:after="0"/>
              <w:rPr>
                <w:sz w:val="16"/>
                <w:szCs w:val="16"/>
                <w:color w:val="auto"/>
              </w:rPr>
            </w:pPr>
          </w:p>
        </w:tc>
        <w:tc>
          <w:tcPr>
            <w:tcW w:w="980" w:type="dxa"/>
            <w:vAlign w:val="bottom"/>
          </w:tcPr>
          <w:p>
            <w:pPr>
              <w:jc w:val="center"/>
              <w:ind w:right="31"/>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11,572,668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292,800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27,104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131,886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 stock</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27,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11,683,131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309,607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30,181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 stock</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26,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11,714,590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232,074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319,435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11,728,212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329,334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244,008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 stock</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(140,520)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11,894,807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256,845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345,470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tcPr>
          <w:p>
            <w:pPr>
              <w:jc w:val="right"/>
              <w:spacing w:after="0"/>
              <w:rPr>
                <w:sz w:val="20"/>
                <w:szCs w:val="20"/>
                <w:color w:val="auto"/>
              </w:rPr>
            </w:pPr>
            <w:r>
              <w:rPr>
                <w:rFonts w:ascii="Arial" w:cs="Arial" w:eastAsia="Arial" w:hAnsi="Arial"/>
                <w:sz w:val="18"/>
                <w:szCs w:val="18"/>
                <w:color w:val="auto"/>
              </w:rPr>
              <w:t>24,944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repurchased related to the exercise of stock</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October 2,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11,922,399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358,948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4"/>
          </w:tcPr>
          <w:p>
            <w:pPr>
              <w:jc w:val="right"/>
              <w:ind w:right="911"/>
              <w:spacing w:after="0"/>
              <w:rPr>
                <w:sz w:val="20"/>
                <w:szCs w:val="20"/>
                <w:color w:val="auto"/>
              </w:rPr>
            </w:pPr>
            <w:r>
              <w:rPr>
                <w:rFonts w:ascii="Arial" w:cs="Arial" w:eastAsia="Arial" w:hAnsi="Arial"/>
                <w:sz w:val="14"/>
                <w:szCs w:val="14"/>
                <w:color w:val="auto"/>
              </w:rPr>
              <w:t>Nine Months Ended</w:t>
            </w:r>
          </w:p>
        </w:tc>
      </w:tr>
      <w:tr>
        <w:trPr>
          <w:trHeight w:val="147"/>
        </w:trPr>
        <w:tc>
          <w:tcPr>
            <w:tcW w:w="8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October 2,</w:t>
            </w:r>
          </w:p>
        </w:tc>
        <w:tc>
          <w:tcPr>
            <w:tcW w:w="220" w:type="dxa"/>
            <w:vAlign w:val="bottom"/>
          </w:tcPr>
          <w:p>
            <w:pPr>
              <w:spacing w:after="0"/>
              <w:rPr>
                <w:sz w:val="12"/>
                <w:szCs w:val="12"/>
                <w:color w:val="auto"/>
              </w:rPr>
            </w:pPr>
          </w:p>
        </w:tc>
        <w:tc>
          <w:tcPr>
            <w:tcW w:w="1300" w:type="dxa"/>
            <w:vAlign w:val="bottom"/>
          </w:tcPr>
          <w:p>
            <w:pPr>
              <w:jc w:val="right"/>
              <w:ind w:right="251"/>
              <w:spacing w:after="0" w:line="147" w:lineRule="exact"/>
              <w:rPr>
                <w:sz w:val="20"/>
                <w:szCs w:val="20"/>
                <w:color w:val="auto"/>
              </w:rPr>
            </w:pPr>
            <w:r>
              <w:rPr>
                <w:rFonts w:ascii="Arial" w:cs="Arial" w:eastAsia="Arial" w:hAnsi="Arial"/>
                <w:sz w:val="14"/>
                <w:szCs w:val="14"/>
                <w:color w:val="auto"/>
              </w:rPr>
              <w:t>September 26,</w:t>
            </w:r>
          </w:p>
        </w:tc>
      </w:tr>
      <w:tr>
        <w:trPr>
          <w:trHeight w:val="186"/>
        </w:trPr>
        <w:tc>
          <w:tcPr>
            <w:tcW w:w="8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19,521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Non-cash operating lease cost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2,325</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(Recovery of) provision for credit losses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Insurance recoveries related to loss on operating assets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(34,047)</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Production cost of contracts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(16,584)</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Accrued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1,521</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(8,239)</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Insurance recoveries related to property and equipment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life insurance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Post closing cash received from the acquisition of Nobles Worldwide, Inc., net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802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from senior secured revolving credit facility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senior secured revolving credit facility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(15,900)</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term loans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other debt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paid upon issuance of common stock under stock plans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a leading global provider of engineering and manufacturing services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2020 condensed consolidated balance sheet data was derived from audited financial statements, but does not contain all disclosures required by accounting principles generally accepted in the United States of America (“GAAP”).</w:t>
      </w:r>
    </w:p>
    <w:p>
      <w:pPr>
        <w:spacing w:after="0" w:line="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significant accounting policies were described in Part IV, Item 15(a)(1), “Note 1. Summary of Significant Accounting Policies” in our Annual Report on Form 10-K for the year ended December 31, 2020. The financial information included in this Quarterly Report on Form 10-Q should be read in conjunction with our Annual Report on Form 10-K for the year ended December 31, 2020.</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Quarterly Report on Form 10-Q. The results of operations for the three and nine months ended October 2, 2021 are not necessarily indicative of the results to be expected for the full year ending December 31, 2021.</w:t>
      </w:r>
    </w:p>
    <w:p>
      <w:pPr>
        <w:spacing w:after="0" w:line="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4"/>
          </w:tcPr>
          <w:p>
            <w:pPr>
              <w:jc w:val="right"/>
              <w:ind w:right="657"/>
              <w:spacing w:after="0"/>
              <w:rPr>
                <w:sz w:val="20"/>
                <w:szCs w:val="20"/>
                <w:color w:val="auto"/>
              </w:rPr>
            </w:pPr>
            <w:r>
              <w:rPr>
                <w:rFonts w:ascii="Arial" w:cs="Arial" w:eastAsia="Arial" w:hAnsi="Arial"/>
                <w:sz w:val="14"/>
                <w:szCs w:val="14"/>
                <w:color w:val="auto"/>
              </w:rPr>
              <w:t>(Dollars in thousands)</w:t>
            </w:r>
          </w:p>
        </w:tc>
      </w:tr>
      <w:tr>
        <w:trPr>
          <w:trHeight w:val="189"/>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right"/>
              <w:ind w:right="717"/>
              <w:spacing w:after="0"/>
              <w:rPr>
                <w:sz w:val="20"/>
                <w:szCs w:val="20"/>
                <w:color w:val="auto"/>
              </w:rPr>
            </w:pPr>
            <w:r>
              <w:rPr>
                <w:rFonts w:ascii="Arial" w:cs="Arial" w:eastAsia="Arial" w:hAnsi="Arial"/>
                <w:sz w:val="14"/>
                <w:szCs w:val="14"/>
                <w:color w:val="auto"/>
              </w:rPr>
              <w:t>Nine Months Ended</w:t>
            </w:r>
          </w:p>
        </w:tc>
      </w:tr>
      <w:tr>
        <w:trPr>
          <w:trHeight w:val="147"/>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140" w:type="dxa"/>
            <w:vAlign w:val="bottom"/>
          </w:tcPr>
          <w:p>
            <w:pPr>
              <w:jc w:val="right"/>
              <w:ind w:right="157"/>
              <w:spacing w:after="0" w:line="147" w:lineRule="exact"/>
              <w:rPr>
                <w:sz w:val="20"/>
                <w:szCs w:val="20"/>
                <w:color w:val="auto"/>
              </w:rPr>
            </w:pPr>
            <w:r>
              <w:rPr>
                <w:rFonts w:ascii="Arial" w:cs="Arial" w:eastAsia="Arial" w:hAnsi="Arial"/>
                <w:sz w:val="14"/>
                <w:szCs w:val="14"/>
                <w:color w:val="auto"/>
                <w:w w:val="95"/>
              </w:rPr>
              <w:t>September 26,</w:t>
            </w:r>
          </w:p>
        </w:tc>
      </w:tr>
      <w:tr>
        <w:trPr>
          <w:trHeight w:val="186"/>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Taxes paid,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440" w:type="dxa"/>
            <w:vAlign w:val="bottom"/>
          </w:tcPr>
          <w:p>
            <w:pPr>
              <w:ind w:left="380"/>
              <w:spacing w:after="0"/>
              <w:rPr>
                <w:sz w:val="20"/>
                <w:szCs w:val="20"/>
                <w:color w:val="auto"/>
              </w:rPr>
            </w:pPr>
            <w:r>
              <w:rPr>
                <w:rFonts w:ascii="Arial" w:cs="Arial" w:eastAsia="Arial" w:hAnsi="Arial"/>
                <w:sz w:val="18"/>
                <w:szCs w:val="18"/>
                <w:color w:val="auto"/>
              </w:rPr>
              <w:t>Purchases of property and equipment not paid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4"/>
                <w:szCs w:val="14"/>
                <w:color w:val="auto"/>
              </w:rPr>
            </w:pPr>
          </w:p>
        </w:tc>
        <w:tc>
          <w:tcPr>
            <w:tcW w:w="2520" w:type="dxa"/>
            <w:vAlign w:val="bottom"/>
            <w:gridSpan w:val="4"/>
          </w:tcPr>
          <w:p>
            <w:pPr>
              <w:jc w:val="center"/>
              <w:ind w:right="135"/>
              <w:spacing w:after="0"/>
              <w:rPr>
                <w:sz w:val="20"/>
                <w:szCs w:val="20"/>
                <w:color w:val="auto"/>
              </w:rPr>
            </w:pPr>
            <w:r>
              <w:rPr>
                <w:rFonts w:ascii="Arial" w:cs="Arial" w:eastAsia="Arial" w:hAnsi="Arial"/>
                <w:sz w:val="14"/>
                <w:szCs w:val="14"/>
                <w:color w:val="auto"/>
                <w:w w:val="93"/>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4"/>
                <w:szCs w:val="14"/>
                <w:color w:val="auto"/>
                <w:w w:val="89"/>
              </w:rPr>
              <w:t>except per share data)</w:t>
            </w:r>
          </w:p>
        </w:tc>
        <w:tc>
          <w:tcPr>
            <w:tcW w:w="220" w:type="dxa"/>
            <w:vAlign w:val="bottom"/>
          </w:tcPr>
          <w:p>
            <w:pPr>
              <w:spacing w:after="0"/>
              <w:rPr>
                <w:sz w:val="15"/>
                <w:szCs w:val="15"/>
                <w:color w:val="auto"/>
              </w:rPr>
            </w:pPr>
          </w:p>
        </w:tc>
        <w:tc>
          <w:tcPr>
            <w:tcW w:w="2520" w:type="dxa"/>
            <w:vAlign w:val="bottom"/>
            <w:gridSpan w:val="4"/>
          </w:tcPr>
          <w:p>
            <w:pPr>
              <w:jc w:val="center"/>
              <w:ind w:right="135"/>
              <w:spacing w:after="0"/>
              <w:rPr>
                <w:sz w:val="20"/>
                <w:szCs w:val="20"/>
                <w:color w:val="auto"/>
              </w:rPr>
            </w:pPr>
            <w:r>
              <w:rPr>
                <w:rFonts w:ascii="Arial" w:cs="Arial" w:eastAsia="Arial" w:hAnsi="Arial"/>
                <w:sz w:val="14"/>
                <w:szCs w:val="14"/>
                <w:color w:val="auto"/>
                <w:w w:val="89"/>
              </w:rPr>
              <w:t>except per share data)</w:t>
            </w: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15"/>
                <w:szCs w:val="15"/>
                <w:color w:val="auto"/>
              </w:rPr>
            </w:pPr>
          </w:p>
        </w:tc>
        <w:tc>
          <w:tcPr>
            <w:tcW w:w="2520" w:type="dxa"/>
            <w:vAlign w:val="bottom"/>
            <w:gridSpan w:val="4"/>
          </w:tcPr>
          <w:p>
            <w:pPr>
              <w:jc w:val="center"/>
              <w:ind w:right="135"/>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47"/>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September 26,</w:t>
            </w:r>
          </w:p>
        </w:tc>
        <w:tc>
          <w:tcPr>
            <w:tcW w:w="220" w:type="dxa"/>
            <w:vAlign w:val="bottom"/>
          </w:tcPr>
          <w:p>
            <w:pPr>
              <w:spacing w:after="0"/>
              <w:rPr>
                <w:sz w:val="12"/>
                <w:szCs w:val="12"/>
                <w:color w:val="auto"/>
              </w:rPr>
            </w:pPr>
          </w:p>
        </w:tc>
        <w:tc>
          <w:tcPr>
            <w:tcW w:w="120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140" w:type="dxa"/>
            <w:vAlign w:val="bottom"/>
          </w:tcPr>
          <w:p>
            <w:pPr>
              <w:jc w:val="right"/>
              <w:ind w:right="155"/>
              <w:spacing w:after="0" w:line="147" w:lineRule="exact"/>
              <w:rPr>
                <w:sz w:val="20"/>
                <w:szCs w:val="20"/>
                <w:color w:val="auto"/>
              </w:rPr>
            </w:pPr>
            <w:r>
              <w:rPr>
                <w:rFonts w:ascii="Arial" w:cs="Arial" w:eastAsia="Arial" w:hAnsi="Arial"/>
                <w:sz w:val="14"/>
                <w:szCs w:val="14"/>
                <w:color w:val="auto"/>
                <w:w w:val="95"/>
              </w:rPr>
              <w:t>September 26,</w:t>
            </w:r>
          </w:p>
        </w:tc>
        <w:tc>
          <w:tcPr>
            <w:tcW w:w="0" w:type="dxa"/>
            <w:vAlign w:val="bottom"/>
          </w:tcPr>
          <w:p>
            <w:pPr>
              <w:spacing w:after="0"/>
              <w:rPr>
                <w:sz w:val="1"/>
                <w:szCs w:val="1"/>
                <w:color w:val="auto"/>
              </w:rPr>
            </w:pPr>
          </w:p>
        </w:tc>
      </w:tr>
      <w:tr>
        <w:trPr>
          <w:trHeight w:val="186"/>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5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center"/>
              <w:ind w:right="448"/>
              <w:spacing w:after="0"/>
              <w:rPr>
                <w:sz w:val="20"/>
                <w:szCs w:val="20"/>
                <w:color w:val="auto"/>
              </w:rPr>
            </w:pPr>
            <w:r>
              <w:rPr>
                <w:rFonts w:ascii="Arial" w:cs="Arial" w:eastAsia="Arial" w:hAnsi="Arial"/>
                <w:sz w:val="14"/>
                <w:szCs w:val="14"/>
                <w:color w:val="auto"/>
                <w:w w:val="93"/>
              </w:rPr>
              <w:t>(In thousands)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color w:val="auto"/>
                <w:w w:val="91"/>
              </w:rPr>
              <w:t>(In thousands)</w:t>
            </w:r>
          </w:p>
        </w:tc>
      </w:tr>
      <w:tr>
        <w:trPr>
          <w:trHeight w:val="189"/>
        </w:trPr>
        <w:tc>
          <w:tcPr>
            <w:tcW w:w="5660" w:type="dxa"/>
            <w:vAlign w:val="bottom"/>
          </w:tcPr>
          <w:p>
            <w:pPr>
              <w:spacing w:after="0"/>
              <w:rPr>
                <w:sz w:val="16"/>
                <w:szCs w:val="16"/>
                <w:color w:val="auto"/>
              </w:rPr>
            </w:pPr>
          </w:p>
        </w:tc>
        <w:tc>
          <w:tcPr>
            <w:tcW w:w="2300" w:type="dxa"/>
            <w:vAlign w:val="bottom"/>
            <w:gridSpan w:val="4"/>
          </w:tcPr>
          <w:p>
            <w:pPr>
              <w:jc w:val="center"/>
              <w:ind w:left="348"/>
              <w:spacing w:after="0"/>
              <w:rPr>
                <w:sz w:val="20"/>
                <w:szCs w:val="20"/>
                <w:color w:val="auto"/>
              </w:rPr>
            </w:pPr>
            <w:r>
              <w:rPr>
                <w:rFonts w:ascii="Arial" w:cs="Arial" w:eastAsia="Arial" w:hAnsi="Arial"/>
                <w:sz w:val="14"/>
                <w:szCs w:val="14"/>
                <w:color w:val="auto"/>
                <w:w w:val="91"/>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spacing w:after="0"/>
              <w:rPr>
                <w:sz w:val="20"/>
                <w:szCs w:val="20"/>
                <w:color w:val="auto"/>
              </w:rPr>
            </w:pPr>
            <w:r>
              <w:rPr>
                <w:rFonts w:ascii="Arial" w:cs="Arial" w:eastAsia="Arial" w:hAnsi="Arial"/>
                <w:sz w:val="14"/>
                <w:szCs w:val="14"/>
                <w:color w:val="auto"/>
                <w:w w:val="92"/>
              </w:rPr>
              <w:t>Nine Months Ended</w:t>
            </w:r>
          </w:p>
        </w:tc>
      </w:tr>
      <w:tr>
        <w:trPr>
          <w:trHeight w:val="147"/>
        </w:trPr>
        <w:tc>
          <w:tcPr>
            <w:tcW w:w="5660" w:type="dxa"/>
            <w:vAlign w:val="bottom"/>
          </w:tcPr>
          <w:p>
            <w:pPr>
              <w:spacing w:after="0"/>
              <w:rPr>
                <w:sz w:val="12"/>
                <w:szCs w:val="12"/>
                <w:color w:val="auto"/>
              </w:rPr>
            </w:pPr>
          </w:p>
        </w:tc>
        <w:tc>
          <w:tcPr>
            <w:tcW w:w="940" w:type="dxa"/>
            <w:vAlign w:val="bottom"/>
          </w:tcPr>
          <w:p>
            <w:pPr>
              <w:jc w:val="center"/>
              <w:ind w:left="268"/>
              <w:spacing w:after="0" w:line="147" w:lineRule="exact"/>
              <w:rPr>
                <w:sz w:val="20"/>
                <w:szCs w:val="20"/>
                <w:color w:val="auto"/>
              </w:rPr>
            </w:pPr>
            <w:r>
              <w:rPr>
                <w:rFonts w:ascii="Arial" w:cs="Arial" w:eastAsia="Arial" w:hAnsi="Arial"/>
                <w:sz w:val="14"/>
                <w:szCs w:val="14"/>
                <w:color w:val="auto"/>
                <w:w w:val="91"/>
              </w:rPr>
              <w:t>October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89"/>
              </w:rPr>
              <w:t>September 26,</w:t>
            </w:r>
          </w:p>
        </w:tc>
        <w:tc>
          <w:tcPr>
            <w:tcW w:w="142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91"/>
              </w:rPr>
              <w:t>October 2,</w:t>
            </w:r>
          </w:p>
        </w:tc>
        <w:tc>
          <w:tcPr>
            <w:tcW w:w="1320" w:type="dxa"/>
            <w:vAlign w:val="bottom"/>
          </w:tcPr>
          <w:p>
            <w:pPr>
              <w:jc w:val="center"/>
              <w:spacing w:after="0" w:line="147" w:lineRule="exact"/>
              <w:rPr>
                <w:sz w:val="20"/>
                <w:szCs w:val="20"/>
                <w:color w:val="auto"/>
              </w:rPr>
            </w:pPr>
            <w:r>
              <w:rPr>
                <w:rFonts w:ascii="Arial" w:cs="Arial" w:eastAsia="Arial" w:hAnsi="Arial"/>
                <w:sz w:val="14"/>
                <w:szCs w:val="14"/>
                <w:color w:val="auto"/>
                <w:w w:val="91"/>
              </w:rPr>
              <w:t>September 26,</w:t>
            </w:r>
          </w:p>
        </w:tc>
      </w:tr>
      <w:tr>
        <w:trPr>
          <w:trHeight w:val="186"/>
        </w:trPr>
        <w:tc>
          <w:tcPr>
            <w:tcW w:w="6600" w:type="dxa"/>
            <w:vAlign w:val="bottom"/>
            <w:gridSpan w:val="2"/>
          </w:tcPr>
          <w:p>
            <w:pPr>
              <w:jc w:val="right"/>
              <w:ind w:right="88"/>
              <w:spacing w:after="0"/>
              <w:rPr>
                <w:sz w:val="20"/>
                <w:szCs w:val="20"/>
                <w:color w:val="auto"/>
              </w:rPr>
            </w:pPr>
            <w:r>
              <w:rPr>
                <w:rFonts w:ascii="Arial" w:cs="Arial" w:eastAsia="Arial" w:hAnsi="Arial"/>
                <w:sz w:val="14"/>
                <w:szCs w:val="14"/>
                <w:color w:val="auto"/>
              </w:rPr>
              <w:t>2021</w:t>
            </w:r>
          </w:p>
        </w:tc>
        <w:tc>
          <w:tcPr>
            <w:tcW w:w="1360" w:type="dxa"/>
            <w:vAlign w:val="bottom"/>
            <w:gridSpan w:val="3"/>
          </w:tcPr>
          <w:p>
            <w:pPr>
              <w:jc w:val="right"/>
              <w:ind w:right="8"/>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24"/>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320" w:type="dxa"/>
            <w:vAlign w:val="bottom"/>
          </w:tcPr>
          <w:p>
            <w:pPr>
              <w:jc w:val="right"/>
              <w:ind w:right="442"/>
              <w:spacing w:after="0"/>
              <w:rPr>
                <w:sz w:val="20"/>
                <w:szCs w:val="20"/>
                <w:color w:val="auto"/>
              </w:rPr>
            </w:pPr>
            <w:r>
              <w:rPr>
                <w:rFonts w:ascii="Arial" w:cs="Arial" w:eastAsia="Arial" w:hAnsi="Arial"/>
                <w:sz w:val="14"/>
                <w:szCs w:val="14"/>
                <w:color w:val="auto"/>
              </w:rPr>
              <w:t>2020</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9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340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money market funds and they are included as cash and cash equivalents. We also had interest rate cap hedge agreements for which the fair value of the interest rate cap hedge agreements was determined using pricing models that use observable market inputs as of the balance sheet date, a Level 2 measurement, however, those agreements expired during our second quarter of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the three months ended October 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As of October 2, 2021, we had no derivative instruments as our cash flow hedges matured in the second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2020, management approved and commenced a restructuring plan in the Structural Systems segment mainly to reduce headcount in response to the impact from the COVID-19 pandemic on commercial aerospace demand outlook. We completed the restructuring plan as of December 31, 2020. We recorded an aggregate total of zero and $1.1 million for severance and benefits costs which were charged to restructuring charges during the three months ended October 2, 2021 and September 26, 2020, respectively. We recorded an aggregate total of zero and $1.8 million for severance and benefits costs which were charged to restructuring charges during the nine months ended October 2, 2021 and September 26,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Loss</w:t>
      </w:r>
    </w:p>
    <w:p>
      <w:pPr>
        <w:spacing w:after="0" w:line="10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4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3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1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Net cumulative catch up adjustments on gross profit recorded were not material for both the three and nine months ended October 2, 2021 and September 26, 2020.</w:t>
      </w:r>
    </w:p>
    <w:p>
      <w:pPr>
        <w:spacing w:after="0" w:line="3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October 2, 2021 and December 31, 2020, provision for estimated losses on contracts were $2.2 million and $2.3 million, respectively.</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October 2, 2021 and December 31, 2020, production cost of contracts were $7.6 million and $7.0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0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4"/>
          </w:tcPr>
          <w:p>
            <w:pPr>
              <w:jc w:val="right"/>
              <w:ind w:right="659"/>
              <w:spacing w:after="0"/>
              <w:rPr>
                <w:sz w:val="20"/>
                <w:szCs w:val="20"/>
                <w:color w:val="auto"/>
              </w:rPr>
            </w:pPr>
            <w:r>
              <w:rPr>
                <w:rFonts w:ascii="Arial" w:cs="Arial" w:eastAsia="Arial" w:hAnsi="Arial"/>
                <w:sz w:val="14"/>
                <w:szCs w:val="14"/>
                <w:color w:val="auto"/>
              </w:rPr>
              <w:t>(Dollars in thousands)</w:t>
            </w:r>
          </w:p>
        </w:tc>
      </w:tr>
      <w:tr>
        <w:trPr>
          <w:trHeight w:val="147"/>
        </w:trPr>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140" w:type="dxa"/>
            <w:vAlign w:val="bottom"/>
          </w:tcPr>
          <w:p>
            <w:pPr>
              <w:jc w:val="right"/>
              <w:ind w:right="179"/>
              <w:spacing w:after="0" w:line="147" w:lineRule="exact"/>
              <w:rPr>
                <w:sz w:val="20"/>
                <w:szCs w:val="20"/>
                <w:color w:val="auto"/>
              </w:rPr>
            </w:pPr>
            <w:r>
              <w:rPr>
                <w:rFonts w:ascii="Arial" w:cs="Arial" w:eastAsia="Arial" w:hAnsi="Arial"/>
                <w:sz w:val="14"/>
                <w:szCs w:val="14"/>
                <w:color w:val="auto"/>
                <w:w w:val="97"/>
              </w:rPr>
              <w:t>December 31,</w:t>
            </w:r>
          </w:p>
        </w:tc>
      </w:tr>
      <w:tr>
        <w:trPr>
          <w:trHeight w:val="186"/>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28,264</w:t>
            </w:r>
          </w:p>
        </w:tc>
      </w:tr>
    </w:tbl>
    <w:p>
      <w:pPr>
        <w:spacing w:after="0" w:line="22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our contract assets as of October 2, 2021 compared to December 31, 2020 was primarily due to a net increase of products in work in process in the current period.</w:t>
      </w:r>
    </w:p>
    <w:p>
      <w:pPr>
        <w:spacing w:after="0" w:line="11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decrease in our contract liabilities as of October 2, 2021 compared to December 31, 2020 was primarily due to a net decrease of advance or progress payments received from our customers in the current period. We recognized $16.5 million of the contract liabilities as of December 31, 2020 as revenues during the nine months ended October 2, 2021.</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Performance obligations are defined as customer placed purchase orders (“POs”) with firm fixed price and firm delivery dates. Our remaining performance obligations as of October 2, 2021 totaled $736.0 million. We anticipate recognizing an estimated 70% of our remaining performance obligations as revenue during the next 12 months with the remaining performance obligations being recognized in the remainder of 2022 and beyond.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(Dollars in thousands)</w:t>
            </w:r>
          </w:p>
        </w:tc>
        <w:tc>
          <w:tcPr>
            <w:tcW w:w="240" w:type="dxa"/>
            <w:vAlign w:val="bottom"/>
          </w:tcPr>
          <w:p>
            <w:pPr>
              <w:spacing w:after="0"/>
              <w:rPr>
                <w:sz w:val="15"/>
                <w:szCs w:val="15"/>
                <w:color w:val="auto"/>
              </w:rPr>
            </w:pPr>
          </w:p>
        </w:tc>
        <w:tc>
          <w:tcPr>
            <w:tcW w:w="2520" w:type="dxa"/>
            <w:vAlign w:val="bottom"/>
            <w:gridSpan w:val="4"/>
          </w:tcPr>
          <w:p>
            <w:pPr>
              <w:jc w:val="right"/>
              <w:ind w:right="653"/>
              <w:spacing w:after="0"/>
              <w:rPr>
                <w:sz w:val="20"/>
                <w:szCs w:val="20"/>
                <w:color w:val="auto"/>
              </w:rPr>
            </w:pPr>
            <w:r>
              <w:rPr>
                <w:rFonts w:ascii="Arial" w:cs="Arial" w:eastAsia="Arial" w:hAnsi="Arial"/>
                <w:sz w:val="14"/>
                <w:szCs w:val="14"/>
                <w:color w:val="auto"/>
              </w:rPr>
              <w:t>(Dollars in thousands)</w:t>
            </w: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713"/>
              <w:spacing w:after="0"/>
              <w:rPr>
                <w:sz w:val="20"/>
                <w:szCs w:val="20"/>
                <w:color w:val="auto"/>
              </w:rPr>
            </w:pPr>
            <w:r>
              <w:rPr>
                <w:rFonts w:ascii="Arial" w:cs="Arial" w:eastAsia="Arial" w:hAnsi="Arial"/>
                <w:sz w:val="14"/>
                <w:szCs w:val="14"/>
                <w:color w:val="auto"/>
              </w:rPr>
              <w:t>Nine Months Ended</w:t>
            </w: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September 26,</w:t>
            </w:r>
          </w:p>
        </w:tc>
        <w:tc>
          <w:tcPr>
            <w:tcW w:w="240" w:type="dxa"/>
            <w:vAlign w:val="bottom"/>
          </w:tcPr>
          <w:p>
            <w:pPr>
              <w:spacing w:after="0"/>
              <w:rPr>
                <w:sz w:val="12"/>
                <w:szCs w:val="12"/>
                <w:color w:val="auto"/>
              </w:rPr>
            </w:pPr>
          </w:p>
        </w:tc>
        <w:tc>
          <w:tcPr>
            <w:tcW w:w="1200" w:type="dxa"/>
            <w:vAlign w:val="bottom"/>
            <w:gridSpan w:val="2"/>
          </w:tcPr>
          <w:p>
            <w:pPr>
              <w:ind w:left="140"/>
              <w:spacing w:after="0" w:line="147"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140" w:type="dxa"/>
            <w:vAlign w:val="bottom"/>
          </w:tcPr>
          <w:p>
            <w:pPr>
              <w:jc w:val="right"/>
              <w:ind w:right="153"/>
              <w:spacing w:after="0" w:line="147" w:lineRule="exact"/>
              <w:rPr>
                <w:sz w:val="20"/>
                <w:szCs w:val="20"/>
                <w:color w:val="auto"/>
              </w:rPr>
            </w:pPr>
            <w:r>
              <w:rPr>
                <w:rFonts w:ascii="Arial" w:cs="Arial" w:eastAsia="Arial" w:hAnsi="Arial"/>
                <w:sz w:val="14"/>
                <w:szCs w:val="14"/>
                <w:color w:val="auto"/>
                <w:w w:val="95"/>
              </w:rPr>
              <w:t>September 26,</w:t>
            </w:r>
          </w:p>
        </w:tc>
      </w:tr>
      <w:tr>
        <w:trPr>
          <w:trHeight w:val="186"/>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r>
      <w:tr>
        <w:trPr>
          <w:trHeight w:val="193"/>
        </w:trPr>
        <w:tc>
          <w:tcPr>
            <w:tcW w:w="20" w:type="dxa"/>
            <w:vAlign w:val="bottom"/>
            <w:shd w:val="clear" w:color="auto" w:fill="CCEEFF"/>
          </w:tcPr>
          <w:p>
            <w:pPr>
              <w:spacing w:after="0"/>
              <w:rPr>
                <w:sz w:val="16"/>
                <w:szCs w:val="16"/>
                <w:color w:val="auto"/>
              </w:rPr>
            </w:pPr>
          </w:p>
        </w:tc>
        <w:tc>
          <w:tcPr>
            <w:tcW w:w="564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Consolidated Ducommun</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36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113,622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111,058</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340,757</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307,479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130,948</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81,365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80,209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223,692</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37,120</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416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32,257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96,904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83,787</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93,828</w:t>
            </w:r>
          </w:p>
        </w:tc>
      </w:tr>
      <w:tr>
        <w:trPr>
          <w:trHeight w:val="223"/>
        </w:trPr>
        <w:tc>
          <w:tcPr>
            <w:tcW w:w="20" w:type="dxa"/>
            <w:vAlign w:val="bottom"/>
          </w:tcPr>
          <w:p>
            <w:pPr>
              <w:spacing w:after="0"/>
              <w:rPr>
                <w:sz w:val="19"/>
                <w:szCs w:val="19"/>
                <w:color w:val="auto"/>
              </w:rPr>
            </w:pPr>
          </w:p>
        </w:tc>
        <w:tc>
          <w:tcPr>
            <w:tcW w:w="564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177,615</w:t>
            </w: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Adopted in 2021</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October 2020, the FASB issued ASU 2020-10, “Codification Improvements” (“ASU 2020-10”), which affects a wide variety of Topics in the Accounting Standards Codification (“Codification”). ASU 2020-10, among other things, contains amendments that improve the consistency of the Codification by including all disclosure guidance in the appropriate Disclosure Section (Section 50). Many of the amendments arose as the FASB provided an option to give certain information either on the face of the financial statements or in the notes to financial statements and that option only was included in the Other Presentation Matters Section (Section 45) of the Codification. Those amendments are not expected to change current practice. The new guidance is effective for fiscal years beginning after December 15, 2020, which was our interim period beginning January 1, 2021. The adoption of this standard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spacing w:after="0" w:line="5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2018, the FASB issued ASU 2018-14, “Compensation - Retirement Benefits - Defined Benefit Plans - General (Topic 715-20): Disclosure Framework - Changes to the Disclosure Requirements for Defined Benefit Plans” (“ASU 2018-14”), which removes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 permitted. We are evaluating the impact of this standard.</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are evaluating the impact of this standard.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40" w:type="dxa"/>
            <w:vAlign w:val="bottom"/>
            <w:gridSpan w:val="4"/>
          </w:tcPr>
          <w:p>
            <w:pPr>
              <w:jc w:val="right"/>
              <w:ind w:right="1176"/>
              <w:spacing w:after="0"/>
              <w:rPr>
                <w:sz w:val="20"/>
                <w:szCs w:val="20"/>
                <w:color w:val="auto"/>
              </w:rPr>
            </w:pPr>
            <w:r>
              <w:rPr>
                <w:rFonts w:ascii="Arial" w:cs="Arial" w:eastAsia="Arial" w:hAnsi="Arial"/>
                <w:sz w:val="14"/>
                <w:szCs w:val="14"/>
                <w:color w:val="auto"/>
              </w:rPr>
              <w:t>(Dollars in thousands)</w:t>
            </w:r>
          </w:p>
        </w:tc>
      </w:tr>
      <w:tr>
        <w:trPr>
          <w:trHeight w:val="147"/>
        </w:trPr>
        <w:tc>
          <w:tcPr>
            <w:tcW w:w="7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ind w:left="260"/>
              <w:spacing w:after="0" w:line="147" w:lineRule="exact"/>
              <w:rPr>
                <w:sz w:val="20"/>
                <w:szCs w:val="20"/>
                <w:color w:val="auto"/>
              </w:rPr>
            </w:pPr>
            <w:r>
              <w:rPr>
                <w:rFonts w:ascii="Arial" w:cs="Arial" w:eastAsia="Arial" w:hAnsi="Arial"/>
                <w:sz w:val="14"/>
                <w:szCs w:val="14"/>
                <w:color w:val="auto"/>
              </w:rPr>
              <w:t>October 2,</w:t>
            </w:r>
          </w:p>
        </w:tc>
        <w:tc>
          <w:tcPr>
            <w:tcW w:w="320" w:type="dxa"/>
            <w:vAlign w:val="bottom"/>
          </w:tcPr>
          <w:p>
            <w:pPr>
              <w:spacing w:after="0"/>
              <w:rPr>
                <w:sz w:val="12"/>
                <w:szCs w:val="12"/>
                <w:color w:val="auto"/>
              </w:rPr>
            </w:pPr>
          </w:p>
        </w:tc>
        <w:tc>
          <w:tcPr>
            <w:tcW w:w="1540" w:type="dxa"/>
            <w:vAlign w:val="bottom"/>
          </w:tcPr>
          <w:p>
            <w:pPr>
              <w:jc w:val="right"/>
              <w:ind w:right="436"/>
              <w:spacing w:after="0" w:line="147" w:lineRule="exact"/>
              <w:rPr>
                <w:sz w:val="20"/>
                <w:szCs w:val="20"/>
                <w:color w:val="auto"/>
              </w:rPr>
            </w:pPr>
            <w:r>
              <w:rPr>
                <w:rFonts w:ascii="Arial" w:cs="Arial" w:eastAsia="Arial" w:hAnsi="Arial"/>
                <w:sz w:val="14"/>
                <w:szCs w:val="14"/>
                <w:color w:val="auto"/>
              </w:rPr>
              <w:t>December 31,</w:t>
            </w:r>
          </w:p>
        </w:tc>
      </w:tr>
      <w:tr>
        <w:trPr>
          <w:trHeight w:val="186"/>
        </w:trPr>
        <w:tc>
          <w:tcPr>
            <w:tcW w:w="7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color w:val="auto"/>
              </w:rPr>
              <w:t>2020</w:t>
            </w: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15,895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129,223</w:t>
            </w:r>
          </w:p>
        </w:tc>
      </w:tr>
      <w:tr>
        <w:trPr>
          <w:trHeight w:val="20"/>
        </w:trPr>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is less than its carrying amount.</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ind w:right="120"/>
        <w:spacing w:after="0" w:line="271" w:lineRule="auto"/>
        <w:rPr>
          <w:sz w:val="20"/>
          <w:szCs w:val="20"/>
          <w:color w:val="auto"/>
        </w:rPr>
      </w:pPr>
      <w:r>
        <w:rPr>
          <w:rFonts w:ascii="Arial" w:cs="Arial" w:eastAsia="Arial" w:hAnsi="Arial"/>
          <w:sz w:val="17"/>
          <w:szCs w:val="17"/>
          <w:color w:val="auto"/>
        </w:rPr>
        <w:t>For our most recent annual goodwill impairment test of our Electronic Systems reporting unit as of the first day of the fourth quarter of 2020, we used a qualitative assessment and determined it was not more likely than not that the fair value of the reporting unit was less than its carrying amount. For our most recent annual goodwill impairment test of our Structural Systems reporting unit as of the first day of the fourth quarter of 2020, we performed a step one goodwill impairment test where the fair value of our Structural Systems reporting unit exceeded its carrying value by 69% and thus, goodwill was not deemed to be impaired. While our business continues to be negatively impacted during the three and nine months ended October 2, 2021 as a result of the COVID-19 pandemic, no material adverse factors/changes have occurred since the fourth quarter of 2020 that would require us to perform another qualitative assessment. As such, for the third quarter of 2021, it was also not more likely than not that the fair values of the reporting units were less than their carrying amounts and thus, the respective goodwill amounts were not deemed to be impaired.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spacing w:after="0"/>
              <w:rPr>
                <w:sz w:val="20"/>
                <w:szCs w:val="20"/>
                <w:color w:val="auto"/>
              </w:rPr>
            </w:pPr>
            <w:r>
              <w:rPr>
                <w:rFonts w:ascii="Arial" w:cs="Arial" w:eastAsia="Arial" w:hAnsi="Arial"/>
                <w:sz w:val="14"/>
                <w:szCs w:val="14"/>
                <w:color w:val="auto"/>
                <w:w w:val="95"/>
              </w:rPr>
              <w:t>(Dollars in thousands)</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7" w:lineRule="exact"/>
              <w:rPr>
                <w:sz w:val="20"/>
                <w:szCs w:val="20"/>
                <w:color w:val="auto"/>
              </w:rPr>
            </w:pPr>
            <w:r>
              <w:rPr>
                <w:rFonts w:ascii="Arial" w:cs="Arial" w:eastAsia="Arial" w:hAnsi="Arial"/>
                <w:sz w:val="14"/>
                <w:szCs w:val="14"/>
                <w:color w:val="auto"/>
                <w:w w:val="94"/>
              </w:rPr>
              <w:t>Electronic</w:t>
            </w:r>
          </w:p>
        </w:tc>
        <w:tc>
          <w:tcPr>
            <w:tcW w:w="20" w:type="dxa"/>
            <w:vAlign w:val="bottom"/>
          </w:tcPr>
          <w:p>
            <w:pPr>
              <w:spacing w:after="0"/>
              <w:rPr>
                <w:sz w:val="12"/>
                <w:szCs w:val="12"/>
                <w:color w:val="auto"/>
              </w:rPr>
            </w:pPr>
          </w:p>
        </w:tc>
        <w:tc>
          <w:tcPr>
            <w:tcW w:w="1300" w:type="dxa"/>
            <w:vAlign w:val="bottom"/>
            <w:gridSpan w:val="4"/>
          </w:tcPr>
          <w:p>
            <w:pPr>
              <w:jc w:val="center"/>
              <w:ind w:right="100"/>
              <w:spacing w:after="0" w:line="147" w:lineRule="exact"/>
              <w:rPr>
                <w:sz w:val="20"/>
                <w:szCs w:val="20"/>
                <w:color w:val="auto"/>
              </w:rPr>
            </w:pPr>
            <w:r>
              <w:rPr>
                <w:rFonts w:ascii="Arial" w:cs="Arial" w:eastAsia="Arial" w:hAnsi="Arial"/>
                <w:sz w:val="14"/>
                <w:szCs w:val="14"/>
                <w:color w:val="auto"/>
                <w:w w:val="93"/>
              </w:rPr>
              <w:t>Structural</w:t>
            </w: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Systems</w:t>
            </w:r>
          </w:p>
        </w:tc>
        <w:tc>
          <w:tcPr>
            <w:tcW w:w="20" w:type="dxa"/>
            <w:vAlign w:val="bottom"/>
          </w:tcPr>
          <w:p>
            <w:pPr>
              <w:spacing w:after="0"/>
              <w:rPr>
                <w:sz w:val="16"/>
                <w:szCs w:val="16"/>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color w:val="auto"/>
                <w:w w:val="89"/>
              </w:rPr>
              <w:t>Systems</w:t>
            </w:r>
          </w:p>
        </w:tc>
        <w:tc>
          <w:tcPr>
            <w:tcW w:w="12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Ducommun</w:t>
            </w:r>
          </w:p>
        </w:tc>
        <w:tc>
          <w:tcPr>
            <w:tcW w:w="0" w:type="dxa"/>
            <w:vAlign w:val="bottom"/>
          </w:tcPr>
          <w:p>
            <w:pPr>
              <w:spacing w:after="0"/>
              <w:rPr>
                <w:sz w:val="1"/>
                <w:szCs w:val="1"/>
                <w:color w:val="auto"/>
              </w:rPr>
            </w:pPr>
          </w:p>
        </w:tc>
      </w:t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53,395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252,552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(81,722)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53,395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170,830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Balance at October 2,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53,395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170,830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Note 4. Accrued and Other Liabilities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80" w:type="dxa"/>
            <w:vAlign w:val="bottom"/>
          </w:tcPr>
          <w:p>
            <w:pPr>
              <w:spacing w:after="0"/>
              <w:rPr>
                <w:sz w:val="20"/>
                <w:szCs w:val="20"/>
                <w:color w:val="auto"/>
              </w:rPr>
            </w:pPr>
            <w:r>
              <w:rPr>
                <w:rFonts w:ascii="Arial" w:cs="Arial" w:eastAsia="Arial" w:hAnsi="Arial"/>
                <w:sz w:val="18"/>
                <w:szCs w:val="18"/>
                <w:color w:val="auto"/>
              </w:rPr>
              <w:t>The components of accrued and other liabilities were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color w:val="auto"/>
                <w:w w:val="93"/>
              </w:rPr>
              <w:t>(Dollars in thousands)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400"/>
              <w:spacing w:after="0" w:line="147" w:lineRule="exact"/>
              <w:rPr>
                <w:sz w:val="20"/>
                <w:szCs w:val="20"/>
                <w:color w:val="auto"/>
              </w:rPr>
            </w:pPr>
            <w:r>
              <w:rPr>
                <w:rFonts w:ascii="Arial" w:cs="Arial" w:eastAsia="Arial" w:hAnsi="Arial"/>
                <w:sz w:val="14"/>
                <w:szCs w:val="14"/>
                <w:color w:val="auto"/>
                <w:w w:val="91"/>
              </w:rPr>
              <w:t>October 2,</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ind w:left="480"/>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21,715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13,126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35,294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20" w:type="dxa"/>
            <w:vAlign w:val="bottom"/>
            <w:gridSpan w:val="4"/>
          </w:tcPr>
          <w:p>
            <w:pPr>
              <w:jc w:val="right"/>
              <w:ind w:right="1273"/>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47"/>
        </w:trPr>
        <w:tc>
          <w:tcPr>
            <w:tcW w:w="7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ind w:left="280"/>
              <w:spacing w:after="0" w:line="147" w:lineRule="exact"/>
              <w:rPr>
                <w:sz w:val="20"/>
                <w:szCs w:val="20"/>
                <w:color w:val="auto"/>
              </w:rPr>
            </w:pPr>
            <w:r>
              <w:rPr>
                <w:rFonts w:ascii="Arial" w:cs="Arial" w:eastAsia="Arial" w:hAnsi="Arial"/>
                <w:sz w:val="14"/>
                <w:szCs w:val="14"/>
                <w:color w:val="auto"/>
              </w:rPr>
              <w:t>October 2,</w:t>
            </w:r>
          </w:p>
        </w:tc>
        <w:tc>
          <w:tcPr>
            <w:tcW w:w="340" w:type="dxa"/>
            <w:vAlign w:val="bottom"/>
          </w:tcPr>
          <w:p>
            <w:pPr>
              <w:spacing w:after="0"/>
              <w:rPr>
                <w:sz w:val="12"/>
                <w:szCs w:val="12"/>
                <w:color w:val="auto"/>
              </w:rPr>
            </w:pPr>
          </w:p>
        </w:tc>
        <w:tc>
          <w:tcPr>
            <w:tcW w:w="1620" w:type="dxa"/>
            <w:vAlign w:val="bottom"/>
          </w:tcPr>
          <w:p>
            <w:pPr>
              <w:jc w:val="right"/>
              <w:ind w:right="493"/>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289,462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299,462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292,462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313,638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 term loans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net of debt issuance costs - term loans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291,038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5"/>
              <w:spacing w:after="0" w:line="203" w:lineRule="exact"/>
              <w:rPr>
                <w:sz w:val="20"/>
                <w:szCs w:val="20"/>
                <w:color w:val="auto"/>
              </w:rPr>
            </w:pPr>
            <w:r>
              <w:rPr>
                <w:rFonts w:ascii="Arial" w:cs="Arial" w:eastAsia="Arial" w:hAnsi="Arial"/>
                <w:sz w:val="18"/>
                <w:szCs w:val="18"/>
                <w:color w:val="auto"/>
              </w:rPr>
              <w:t>1,231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0"/>
                <w:szCs w:val="20"/>
                <w:color w:val="auto"/>
              </w:rPr>
            </w:pPr>
            <w:r>
              <w:rPr>
                <w:rFonts w:ascii="Arial" w:cs="Arial" w:eastAsia="Arial" w:hAnsi="Arial"/>
                <w:sz w:val="18"/>
                <w:szCs w:val="18"/>
                <w:color w:val="auto"/>
              </w:rPr>
              <w:t>(1) Included as part of other assets.</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original amounts available under the 2019 Revolving Credit Facility, 2019 Term Loan, and 2018 Term Loan (collectively, the “Credit Facilities”) in aggregate, totaled $480.0 million.</w:t>
      </w:r>
    </w:p>
    <w:p>
      <w:pPr>
        <w:spacing w:after="0" w:line="4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95" w:lineRule="auto"/>
        <w:rPr>
          <w:sz w:val="20"/>
          <w:szCs w:val="20"/>
          <w:color w:val="auto"/>
        </w:rPr>
      </w:pPr>
      <w:r>
        <w:rPr>
          <w:rFonts w:ascii="Arial" w:cs="Arial" w:eastAsia="Arial" w:hAnsi="Arial"/>
          <w:sz w:val="16"/>
          <w:szCs w:val="16"/>
          <w:color w:val="auto"/>
        </w:rPr>
        <w:t>0.50%, [b] Bank of America’s prime rate, and [c] the Eurodollar Rate plus 1.00%) plus an applicable margin ranging from 0.50% to 1.50% per year, in each case based upon the consolidated total net adjusted leverage ratio, typically payable quarterly. In addition, the 2019 Term Loan requires installment payments of 1.25% of the original outstanding principal balance of the 2019 Term Loan amount on a quarterly basis, on the last day of the calendar quarter. For the three and nine months ended October 2, 2021, we made the required quarterly payments totaling $1.8 million and $5.3 million, respectively.</w:t>
      </w:r>
    </w:p>
    <w:p>
      <w:pPr>
        <w:spacing w:after="0" w:line="2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spacing w:after="0" w:line="6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1.0 but greater than 2.50 to 1.0, and (iii) zero percent of the excess cash flow amount if the consolidated adjusted leverage ratio is less than or equal to 2.50 to 1.0. During the first quarter of 2021, we made the required 2020 annual excess cash flow payment of $0.9 million. As of October 2, 2021, we were in compliance with all covenants required under the Credit Facilities.</w:t>
      </w:r>
    </w:p>
    <w:p>
      <w:pPr>
        <w:spacing w:after="0" w:line="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and nine months ended October 2, 2021, we made net voluntary prepayments totaling $5.0 million and $15.0 million, respectively, on the 2019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 conjunction with entering into the 2019 Revolving Credit Facility and the 2019 Term Loan, we drew down the entire $140.0 million on the 2019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and used those proceeds to pay off and close the 2018 Revolving Credit Facility of $58.5 million, paid down a portion of the 2018 Term Loan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$56.0 million, paid the accrued interest associated with the amounts being paid down on the 2018 Revolving Credit Facility and 2018 Term Loan, paid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related to this transaction, and the remainder available for general corporate purposes. The $56.0 million pay down on the 2018 Term Loan paid all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quarterly installment payments on the 2018 Term Loan until maturity.</w:t>
      </w:r>
    </w:p>
    <w:p>
      <w:pPr>
        <w:spacing w:after="0" w:line="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spacing w:after="0" w:line="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as of the modification date will also be amortized over its remaining life.</w:t>
      </w:r>
    </w:p>
    <w:p>
      <w:pPr>
        <w:spacing w:after="0" w:line="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October 2, 2021, we had $89.8 million of unused borrowing capacity under the 2019 Revolving Credit Facility, after deducting $0.2 million for standby letters of credit.</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Credit Facilities were entered into by us (“Parent Company”) and guaranteed by all of our domestic subsidiaries, other than two subsidiaries that were considered minor (“Subsidiary Guarantors”). The Subsidiary Guarantors jointly and severally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guarantee the Credit Facilities. The Parent Company has no independent assets or operations and therefore, no consolidating financial information for the Parent Company and its subsidiaries are presented.</w:t>
      </w:r>
    </w:p>
    <w:p>
      <w:pPr>
        <w:spacing w:after="0" w:line="3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made guarantees and indemnities under which we may be required to make payments to a guaranteed or indemnified party, in relation to certain transactions, including revenue transactions in the ordinary course of business. In connection with certain performance center leases, we have indemnified our lessors for certain claims arising from the performance center or the lease. We indemnify our directors and officers to the maximum extent permitted under the laws of the State of Delaware.</w:t>
      </w:r>
    </w:p>
    <w:p>
      <w:pPr>
        <w:spacing w:after="0" w:line="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However, we have a directors and officers insurance policy that may reduce our exposure in certain circumstances and may enable us to recover a portion of future amounts that may be payable, if any. 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62"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recorded income tax expense of $1.2 million for the three months ended October 2, 2021 compared to $0.8 million for the three months ended September 26, 2020. The increase in income tax expense for the third quarter of 2021 compared to the third quarter of 2020 was primarily due to higher pre-tax income for the third quarter of 2021 compared to the third quarter of 2020. The increase in income tax expense was partially offset by higher income tax benefits recognized in the third quarter of 2021 related to the U.S. Federal research and development tax credit.</w:t>
      </w:r>
    </w:p>
    <w:p>
      <w:pPr>
        <w:spacing w:after="0" w:line="3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recorded income tax expense of $4.1 million for the nine months ended October 2, 2021, compared to $3.4 million for the nine months ended September 26, 2020. The increase in income tax expense for the first nine months of 2021 compared to the first nine months of 2020 was primarily due to higher pre-tax income for the first nine months of 2021 compared to the first nine months of 2020. The increase in income tax expense was partially offset by higher income tax benefits related to the U.S. Federal research and development tax credit and higher discrete income tax benefits related to net tax windfalls from stock-based compensation.</w:t>
      </w:r>
    </w:p>
    <w:p>
      <w:pPr>
        <w:spacing w:after="0" w:line="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On March 11, 2021, the U.S. enacted the American Rescue Plan Act of 2021 (“Rescue Plan”) aimed at mitigating the continuing effects of the COVID-19 pandemic. We considered the provisions of the Rescue Plan and determined they do not have a material impact on our income taxes.</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total amount of unrecognized tax benefits was $4.5 million and $4.1 million as of October 2, 2021 and December 31, 2020, respectively. If recognized, $2.8 million would affect the effective tax rate. We record interest and penalty charges, if any, related to uncertain tax positions as a component of tax expense and unrecognized tax benefits. The amounts accrued for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and penalty charges as of October 2, 2021 and December 31, 2020 were not significant. We do not expect the total amount of unrecognized tax benefits to increase or decrease by a material amount in the next twelve months.</w:t>
      </w:r>
    </w:p>
    <w:p>
      <w:pPr>
        <w:spacing w:after="0" w:line="3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2020, a representative action under California’s Private Attorneys General Act was filed against us in the Superior Court of California, County of San Bernardino. We received service of process of this complaint on January 28, 2021. The complaint alleges violations of California’s wage and hour laws relating to our current and former employees and seeks attorney’s fees and penalties. We believe these claims are baseless, are without merit and intend to vigorously defend against them. We do not currently have enough information to make a reasonable estimate as to the likelihood or amount of loss, or a range of reasonably possible losses as a result of this claim, so there has been no related accrual for estimated liability recorded as of October 2, 2021.</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October 2, 2021 and December 31, 2020, which is reflected in other long-term liabilities on our condensed consolidated balance sheets.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October 2, 2021 and December 31, 2020,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insurance covers damage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As of October 2, 2021, $13.5 million of general insurance recoveries have been received to date. The timing of and the remaining amounts of insurance recoveries, including for business interruption, are not known at this time.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the normal course of business, Ducommun and its subsidiaries are defendants in certain other litigation, claims and inquiries,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Segment Information</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operating segment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4"/>
                <w:szCs w:val="14"/>
                <w:color w:val="auto"/>
              </w:rPr>
            </w:pPr>
          </w:p>
        </w:tc>
        <w:tc>
          <w:tcPr>
            <w:tcW w:w="2520" w:type="dxa"/>
            <w:vAlign w:val="bottom"/>
            <w:gridSpan w:val="4"/>
          </w:tcPr>
          <w:p>
            <w:pPr>
              <w:jc w:val="right"/>
              <w:ind w:right="65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5"/>
                <w:szCs w:val="15"/>
                <w:color w:val="auto"/>
              </w:rPr>
            </w:pPr>
          </w:p>
        </w:tc>
        <w:tc>
          <w:tcPr>
            <w:tcW w:w="2520" w:type="dxa"/>
            <w:vAlign w:val="bottom"/>
            <w:gridSpan w:val="4"/>
          </w:tcPr>
          <w:p>
            <w:pPr>
              <w:jc w:val="right"/>
              <w:ind w:right="71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24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September 26,</w:t>
            </w:r>
          </w:p>
        </w:tc>
        <w:tc>
          <w:tcPr>
            <w:tcW w:w="22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October 2,</w:t>
            </w:r>
          </w:p>
        </w:tc>
        <w:tc>
          <w:tcPr>
            <w:tcW w:w="180" w:type="dxa"/>
            <w:vAlign w:val="bottom"/>
          </w:tcPr>
          <w:p>
            <w:pPr>
              <w:spacing w:after="0"/>
              <w:rPr>
                <w:sz w:val="12"/>
                <w:szCs w:val="12"/>
                <w:color w:val="auto"/>
              </w:rPr>
            </w:pPr>
          </w:p>
        </w:tc>
        <w:tc>
          <w:tcPr>
            <w:tcW w:w="1140" w:type="dxa"/>
            <w:vAlign w:val="bottom"/>
          </w:tcPr>
          <w:p>
            <w:pPr>
              <w:jc w:val="right"/>
              <w:ind w:right="152"/>
              <w:spacing w:after="0" w:line="142" w:lineRule="exact"/>
              <w:rPr>
                <w:sz w:val="20"/>
                <w:szCs w:val="20"/>
                <w:color w:val="auto"/>
              </w:rPr>
            </w:pPr>
            <w:r>
              <w:rPr>
                <w:rFonts w:ascii="Arial" w:cs="Arial" w:eastAsia="Arial" w:hAnsi="Arial"/>
                <w:sz w:val="14"/>
                <w:szCs w:val="14"/>
                <w:color w:val="auto"/>
                <w:w w:val="95"/>
              </w:rPr>
              <w:t>September 26,</w:t>
            </w:r>
          </w:p>
        </w:tc>
        <w:tc>
          <w:tcPr>
            <w:tcW w:w="0" w:type="dxa"/>
            <w:vAlign w:val="bottom"/>
          </w:tcPr>
          <w:p>
            <w:pPr>
              <w:spacing w:after="0"/>
              <w:rPr>
                <w:sz w:val="1"/>
                <w:szCs w:val="1"/>
                <w:color w:val="auto"/>
              </w:rPr>
            </w:pPr>
          </w:p>
        </w:tc>
      </w:tr>
      <w:tr>
        <w:trPr>
          <w:trHeight w:val="186"/>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104,721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103,470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306,622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293,540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177,615</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471,155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42,185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40,427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53,800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4"/>
              </w:rPr>
              <w:t>(6,413)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10,591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780" w:firstLine="251"/>
        <w:spacing w:after="0" w:line="410" w:lineRule="auto"/>
        <w:tabs>
          <w:tab w:leader="none" w:pos="56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costs not allocated to either the Electronic Systems or Structural Systems operating segments. Segment assets include assets directly identifiable to or allocated to each segment. Our segment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gridSpan w:val="4"/>
          </w:tcPr>
          <w:p>
            <w:pPr>
              <w:jc w:val="right"/>
              <w:ind w:right="1154"/>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47"/>
        </w:trPr>
        <w:tc>
          <w:tcPr>
            <w:tcW w:w="7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ind w:left="240"/>
              <w:spacing w:after="0" w:line="147" w:lineRule="exact"/>
              <w:rPr>
                <w:sz w:val="20"/>
                <w:szCs w:val="20"/>
                <w:color w:val="auto"/>
              </w:rPr>
            </w:pPr>
            <w:r>
              <w:rPr>
                <w:rFonts w:ascii="Arial" w:cs="Arial" w:eastAsia="Arial" w:hAnsi="Arial"/>
                <w:sz w:val="14"/>
                <w:szCs w:val="14"/>
                <w:color w:val="auto"/>
              </w:rPr>
              <w:t>October 2,</w:t>
            </w:r>
          </w:p>
        </w:tc>
        <w:tc>
          <w:tcPr>
            <w:tcW w:w="300" w:type="dxa"/>
            <w:vAlign w:val="bottom"/>
          </w:tcPr>
          <w:p>
            <w:pPr>
              <w:spacing w:after="0"/>
              <w:rPr>
                <w:sz w:val="12"/>
                <w:szCs w:val="12"/>
                <w:color w:val="auto"/>
              </w:rPr>
            </w:pPr>
          </w:p>
        </w:tc>
        <w:tc>
          <w:tcPr>
            <w:tcW w:w="152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496,616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448,606</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325,604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Corporate Administration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201,077</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Structural Systems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295,574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40" w:hanging="329"/>
        <w:spacing w:after="0" w:line="277"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assets not specifically identified to or allocated to either the Electronic Systems or Structural Systems operating segments, including cash and cash equivalents.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COVID-19 pandemic has had a significant impact on our overall business during the three and nine months ended October 2, 2021.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safety of our workforce is our top priority. We have implemented numerous well-being protocols related to health and welfare at all of our facilities. Safety protocols consistent with guidelines provided by state and local governments and the Centers for Disease Control and Prevention (“CDC”) have been put into practice, including social distancing, provision of personal protective equipment, enhanced cleaning, and flexible work arrangements wherever possible. We have also offered enhanced leave and benefits to our employees and provide frequent updates to ensure our workforce is kept apprised of evolving regulations and safety measures.</w:t>
      </w:r>
    </w:p>
    <w:p>
      <w:pPr>
        <w:spacing w:after="0" w:line="5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exercised the option to defer payment of the employer portion of payroll taxes (Social Security) that would otherwise be required to be made during the period beginning March 27, 2020 to December 31, 2020. One half of the deferred amount is required to be paid by December 31, 2021, with the remaining 50% to be paid by December 31, 2022. As of October 2, 2021, we have deferred $6.1 million, which is included as part of accrued liabilities and other long-term liabilities on the condensed consolidated balance sheets.</w:t>
      </w:r>
    </w:p>
    <w:p>
      <w:pPr>
        <w:spacing w:after="0" w:line="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COVID-19 pandemic has and continues to contribute to a general slowdown in the global economy and specifically, the commercial aerospace end-use market. In 2020, both major large aircraft manufacturers, The Boeing Company (“Boeing”) and Airbus SE, announced lower build rates for the near and medium future. In its 2020 Annual Report on Form 10-K, Boeing indicated it expects it will take approximately three years for worldwide travel to return to 2019 levels and a few years beyond that for the industry to return to a long-term trend growth of five percent.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the remainder of 2021 and beyond.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recap:</w:t>
      </w:r>
    </w:p>
    <w:p>
      <w:pPr>
        <w:spacing w:after="0" w:line="12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$163.2 million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$9.6 million, or $0.78 per diluted share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$23.9 million, or 14.6% of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Adjusted earnings before interest, taxes, depreciation, amortization, stock-based compensation expense, restructuring charges, and Guaymas fire related expenses (“Adjusted EBITDA”) were $23.9 million and $21.6 million for the three months ended October 2, 2021 and September 26, 2020, respectively.</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provided by operating activities as measures of our liquidity. The presentation of these measures should not be interpreted to mean that our future results will be unaffected by unusual or nonrecurring items.</w:t>
      </w:r>
    </w:p>
    <w:p>
      <w:pPr>
        <w:spacing w:after="0" w:line="3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6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1300" w:right="16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the impact on earnings of charges resulting from matters unrelated to our ongoing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from us, limiting its usefulness as a comparative measure.</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Even with the limitations above, we believe that Adjusted EBITDA is useful to an investor in evaluating our results of operations as this measure:</w:t>
      </w:r>
    </w:p>
    <w:p>
      <w:pPr>
        <w:spacing w:after="0" w:line="129" w:lineRule="exact"/>
        <w:rPr>
          <w:sz w:val="20"/>
          <w:szCs w:val="20"/>
          <w:color w:val="auto"/>
        </w:rPr>
      </w:pPr>
    </w:p>
    <w:p>
      <w:pPr>
        <w:ind w:left="1300" w:right="20" w:hanging="644"/>
        <w:spacing w:after="0" w:line="263"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Helps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used by our management team for various other purposes in presentations to our Board of Directors as a basis for strategic planning and forecasting.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may be useful to our investors for determining current cash flow;</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charges may be useful to our investors in evaluating our core operating performance;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jc w:val="center"/>
              <w:ind w:right="32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5"/>
                <w:szCs w:val="15"/>
                <w:color w:val="auto"/>
              </w:rPr>
            </w:pPr>
          </w:p>
        </w:tc>
        <w:tc>
          <w:tcPr>
            <w:tcW w:w="2460" w:type="dxa"/>
            <w:vAlign w:val="bottom"/>
            <w:gridSpan w:val="4"/>
          </w:tcPr>
          <w:p>
            <w:pPr>
              <w:jc w:val="right"/>
              <w:ind w:right="613"/>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Three Months Ended</w:t>
            </w:r>
          </w:p>
        </w:tc>
        <w:tc>
          <w:tcPr>
            <w:tcW w:w="220" w:type="dxa"/>
            <w:vAlign w:val="bottom"/>
          </w:tcPr>
          <w:p>
            <w:pPr>
              <w:spacing w:after="0"/>
              <w:rPr>
                <w:sz w:val="16"/>
                <w:szCs w:val="16"/>
                <w:color w:val="auto"/>
              </w:rPr>
            </w:pPr>
          </w:p>
        </w:tc>
        <w:tc>
          <w:tcPr>
            <w:tcW w:w="2460" w:type="dxa"/>
            <w:vAlign w:val="bottom"/>
            <w:gridSpan w:val="4"/>
          </w:tcPr>
          <w:p>
            <w:pPr>
              <w:jc w:val="right"/>
              <w:ind w:right="6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7"/>
        </w:trPr>
        <w:tc>
          <w:tcPr>
            <w:tcW w:w="5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October 2,</w:t>
            </w:r>
          </w:p>
        </w:tc>
        <w:tc>
          <w:tcPr>
            <w:tcW w:w="160" w:type="dxa"/>
            <w:vAlign w:val="bottom"/>
          </w:tcPr>
          <w:p>
            <w:pPr>
              <w:spacing w:after="0"/>
              <w:rPr>
                <w:sz w:val="12"/>
                <w:szCs w:val="12"/>
                <w:color w:val="auto"/>
              </w:rPr>
            </w:pPr>
          </w:p>
        </w:tc>
        <w:tc>
          <w:tcPr>
            <w:tcW w:w="12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September 26,</w:t>
            </w:r>
          </w:p>
        </w:tc>
        <w:tc>
          <w:tcPr>
            <w:tcW w:w="220" w:type="dxa"/>
            <w:vAlign w:val="bottom"/>
          </w:tcPr>
          <w:p>
            <w:pPr>
              <w:spacing w:after="0"/>
              <w:rPr>
                <w:sz w:val="12"/>
                <w:szCs w:val="12"/>
                <w:color w:val="auto"/>
              </w:rPr>
            </w:pPr>
          </w:p>
        </w:tc>
        <w:tc>
          <w:tcPr>
            <w:tcW w:w="118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October 2,</w:t>
            </w:r>
          </w:p>
        </w:tc>
        <w:tc>
          <w:tcPr>
            <w:tcW w:w="160" w:type="dxa"/>
            <w:vAlign w:val="bottom"/>
          </w:tcPr>
          <w:p>
            <w:pPr>
              <w:spacing w:after="0"/>
              <w:rPr>
                <w:sz w:val="12"/>
                <w:szCs w:val="12"/>
                <w:color w:val="auto"/>
              </w:rPr>
            </w:pPr>
          </w:p>
        </w:tc>
        <w:tc>
          <w:tcPr>
            <w:tcW w:w="1120" w:type="dxa"/>
            <w:vAlign w:val="bottom"/>
          </w:tcPr>
          <w:p>
            <w:pPr>
              <w:jc w:val="right"/>
              <w:ind w:right="133"/>
              <w:spacing w:after="0" w:line="147" w:lineRule="exact"/>
              <w:rPr>
                <w:sz w:val="20"/>
                <w:szCs w:val="20"/>
                <w:color w:val="auto"/>
              </w:rPr>
            </w:pPr>
            <w:r>
              <w:rPr>
                <w:rFonts w:ascii="Arial" w:cs="Arial" w:eastAsia="Arial" w:hAnsi="Arial"/>
                <w:sz w:val="14"/>
                <w:szCs w:val="14"/>
                <w:color w:val="auto"/>
                <w:w w:val="95"/>
              </w:rPr>
              <w:t>September 26,</w:t>
            </w:r>
          </w:p>
        </w:tc>
        <w:tc>
          <w:tcPr>
            <w:tcW w:w="0" w:type="dxa"/>
            <w:vAlign w:val="bottom"/>
          </w:tcPr>
          <w:p>
            <w:pPr>
              <w:spacing w:after="0"/>
              <w:rPr>
                <w:sz w:val="1"/>
                <w:szCs w:val="1"/>
                <w:color w:val="auto"/>
              </w:rPr>
            </w:pPr>
          </w:p>
        </w:tc>
      </w:tr>
      <w:tr>
        <w:trPr>
          <w:trHeight w:val="186"/>
        </w:trPr>
        <w:tc>
          <w:tcPr>
            <w:tcW w:w="5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9,584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19,521</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3,101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8,433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10,530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8,149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Guaymas fire related expenses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68,393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65,151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 of net revenues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14.6 %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14.4 %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14.2 %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of 2021 Compared to Third Quarter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00" w:type="dxa"/>
            <w:vAlign w:val="bottom"/>
            <w:gridSpan w:val="7"/>
          </w:tcPr>
          <w:p>
            <w:pPr>
              <w:jc w:val="center"/>
              <w:ind w:left="613"/>
              <w:spacing w:after="0"/>
              <w:rPr>
                <w:sz w:val="20"/>
                <w:szCs w:val="20"/>
                <w:color w:val="auto"/>
              </w:rPr>
            </w:pPr>
            <w:r>
              <w:rPr>
                <w:rFonts w:ascii="Arial" w:cs="Arial" w:eastAsia="Arial" w:hAnsi="Arial"/>
                <w:sz w:val="14"/>
                <w:szCs w:val="14"/>
                <w:color w:val="auto"/>
                <w:w w:val="91"/>
              </w:rPr>
              <w:t>(Dollars in thousands, except per share data)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7"/>
          </w:tcPr>
          <w:p>
            <w:pPr>
              <w:jc w:val="center"/>
              <w:ind w:left="613"/>
              <w:spacing w:after="0"/>
              <w:rPr>
                <w:sz w:val="20"/>
                <w:szCs w:val="20"/>
                <w:color w:val="auto"/>
              </w:rPr>
            </w:pPr>
            <w:r>
              <w:rPr>
                <w:rFonts w:ascii="Arial" w:cs="Arial" w:eastAsia="Arial" w:hAnsi="Arial"/>
                <w:sz w:val="14"/>
                <w:szCs w:val="14"/>
                <w:color w:val="auto"/>
                <w:w w:val="91"/>
              </w:rPr>
              <w:t>(Dollars in thousands, except per share data)</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color w:val="auto"/>
                <w:w w:val="93"/>
              </w:rPr>
              <w:t>Three Months Ended</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color w:val="auto"/>
                <w:w w:val="94"/>
              </w:rPr>
              <w:t>Nine Months Ended</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color w:val="auto"/>
              </w:rPr>
              <w:t>October 2,</w:t>
            </w:r>
          </w:p>
        </w:tc>
        <w:tc>
          <w:tcPr>
            <w:tcW w:w="1000" w:type="dxa"/>
            <w:vAlign w:val="bottom"/>
            <w:gridSpan w:val="2"/>
          </w:tcPr>
          <w:p>
            <w:pPr>
              <w:jc w:val="center"/>
              <w:ind w:left="33"/>
              <w:spacing w:after="0" w:line="132" w:lineRule="exact"/>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26,</w:t>
            </w:r>
          </w:p>
        </w:tc>
        <w:tc>
          <w:tcPr>
            <w:tcW w:w="880" w:type="dxa"/>
            <w:vAlign w:val="bottom"/>
          </w:tcPr>
          <w:p>
            <w:pPr>
              <w:jc w:val="center"/>
              <w:spacing w:after="0" w:line="132" w:lineRule="exact"/>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color w:val="auto"/>
              </w:rPr>
              <w:t>October 2,</w:t>
            </w:r>
          </w:p>
        </w:tc>
        <w:tc>
          <w:tcPr>
            <w:tcW w:w="1020" w:type="dxa"/>
            <w:vAlign w:val="bottom"/>
            <w:gridSpan w:val="2"/>
          </w:tcPr>
          <w:p>
            <w:pPr>
              <w:jc w:val="center"/>
              <w:ind w:left="14"/>
              <w:spacing w:after="0" w:line="132"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26,</w:t>
            </w:r>
          </w:p>
        </w:tc>
        <w:tc>
          <w:tcPr>
            <w:tcW w:w="900" w:type="dxa"/>
            <w:vAlign w:val="bottom"/>
          </w:tcPr>
          <w:p>
            <w:pPr>
              <w:jc w:val="center"/>
              <w:spacing w:after="0" w:line="13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6"/>
              </w:rPr>
              <w:t>of Net</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6"/>
              </w:rPr>
              <w:t>of Net</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of Net</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color w:val="auto"/>
              </w:rPr>
              <w:t>of Net</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12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6"/>
                <w:szCs w:val="16"/>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0" w:type="dxa"/>
            <w:vAlign w:val="bottom"/>
          </w:tcPr>
          <w:p>
            <w:pPr>
              <w:spacing w:after="0"/>
              <w:rPr>
                <w:sz w:val="1"/>
                <w:szCs w:val="1"/>
                <w:color w:val="auto"/>
              </w:rPr>
            </w:pPr>
          </w:p>
        </w:tc>
      </w:tr>
      <w:tr>
        <w:trPr>
          <w:trHeight w:val="22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163,227</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150,371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480,570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471,155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127,912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116,906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375,373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368,218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35,315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33,465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105,197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102,937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5"/>
                <w:szCs w:val="15"/>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8"/>
                <w:szCs w:val="18"/>
                <w:color w:val="auto"/>
              </w:rPr>
              <w:t>21,952</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color w:val="auto"/>
              </w:rPr>
              <w:t>22,093</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133"/>
              <w:spacing w:after="0"/>
              <w:rPr>
                <w:sz w:val="20"/>
                <w:szCs w:val="20"/>
                <w:color w:val="auto"/>
              </w:rPr>
            </w:pPr>
            <w:r>
              <w:rPr>
                <w:rFonts w:ascii="Arial" w:cs="Arial" w:eastAsia="Arial" w:hAnsi="Arial"/>
                <w:sz w:val="18"/>
                <w:szCs w:val="18"/>
                <w:color w:val="auto"/>
              </w:rPr>
              <w:t>68,132</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color w:val="auto"/>
              </w:rPr>
              <w:t>67,253</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13,363</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10,265</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37,065</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33,916</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(3,101)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(8,433)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(11,068)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10,789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7,263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28,828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22,947</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3,426</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9,584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6,501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24,702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19,521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Net revenues by end-use market and operating segment during the fiscal three and nine months ended October 2, 2021 and September 26, 2020,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color w:val="auto"/>
                <w:w w:val="95"/>
              </w:rPr>
              <w:t>Three Months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color w:val="auto"/>
                <w:w w:val="97"/>
              </w:rPr>
              <w:t>Nine Months Ended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6"/>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6"/>
          </w:tcPr>
          <w:p>
            <w:pPr>
              <w:ind w:left="240"/>
              <w:spacing w:after="0"/>
              <w:rPr>
                <w:sz w:val="20"/>
                <w:szCs w:val="20"/>
                <w:color w:val="auto"/>
              </w:rPr>
            </w:pPr>
            <w:r>
              <w:rPr>
                <w:rFonts w:ascii="Arial" w:cs="Arial" w:eastAsia="Arial" w:hAnsi="Arial"/>
                <w:sz w:val="11"/>
                <w:szCs w:val="11"/>
                <w:color w:val="auto"/>
              </w:rPr>
              <w:t>(Dollars in thousands)</w:t>
            </w:r>
          </w:p>
        </w:tc>
        <w:tc>
          <w:tcPr>
            <w:tcW w:w="1820" w:type="dxa"/>
            <w:vAlign w:val="bottom"/>
            <w:gridSpan w:val="4"/>
          </w:tcPr>
          <w:p>
            <w:pPr>
              <w:ind w:left="380"/>
              <w:spacing w:after="0"/>
              <w:rPr>
                <w:sz w:val="20"/>
                <w:szCs w:val="20"/>
                <w:color w:val="auto"/>
              </w:rPr>
            </w:pPr>
            <w:r>
              <w:rPr>
                <w:rFonts w:ascii="Arial" w:cs="Arial" w:eastAsia="Arial" w:hAnsi="Arial"/>
                <w:sz w:val="11"/>
                <w:szCs w:val="11"/>
                <w:color w:val="auto"/>
              </w:rPr>
              <w:t>% of Net Revenues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6"/>
          </w:tcPr>
          <w:p>
            <w:pPr>
              <w:ind w:left="260"/>
              <w:spacing w:after="0"/>
              <w:rPr>
                <w:sz w:val="20"/>
                <w:szCs w:val="20"/>
                <w:color w:val="auto"/>
              </w:rPr>
            </w:pPr>
            <w:r>
              <w:rPr>
                <w:rFonts w:ascii="Arial" w:cs="Arial" w:eastAsia="Arial" w:hAnsi="Arial"/>
                <w:sz w:val="11"/>
                <w:szCs w:val="11"/>
                <w:color w:val="auto"/>
              </w:rPr>
              <w:t>(Dollars in thousands)</w:t>
            </w:r>
          </w:p>
        </w:tc>
        <w:tc>
          <w:tcPr>
            <w:tcW w:w="1760" w:type="dxa"/>
            <w:vAlign w:val="bottom"/>
            <w:gridSpan w:val="3"/>
          </w:tcPr>
          <w:p>
            <w:pPr>
              <w:jc w:val="right"/>
              <w:ind w:right="471"/>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Change</w:t>
            </w:r>
          </w:p>
        </w:tc>
        <w:tc>
          <w:tcPr>
            <w:tcW w:w="1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color w:val="auto"/>
              </w:rPr>
              <w:t>October 2,</w:t>
            </w:r>
          </w:p>
        </w:tc>
        <w:tc>
          <w:tcPr>
            <w:tcW w:w="10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color w:val="auto"/>
              </w:rPr>
              <w:t>September 26,</w:t>
            </w:r>
          </w:p>
        </w:tc>
        <w:tc>
          <w:tcPr>
            <w:tcW w:w="840" w:type="dxa"/>
            <w:vAlign w:val="bottom"/>
            <w:gridSpan w:val="2"/>
          </w:tcPr>
          <w:p>
            <w:pPr>
              <w:ind w:left="60"/>
              <w:spacing w:after="0"/>
              <w:rPr>
                <w:sz w:val="20"/>
                <w:szCs w:val="20"/>
                <w:color w:val="auto"/>
              </w:rPr>
            </w:pPr>
            <w:r>
              <w:rPr>
                <w:rFonts w:ascii="Arial" w:cs="Arial" w:eastAsia="Arial" w:hAnsi="Arial"/>
                <w:sz w:val="11"/>
                <w:szCs w:val="11"/>
                <w:color w:val="auto"/>
              </w:rPr>
              <w:t>October 2,</w:t>
            </w:r>
          </w:p>
        </w:tc>
        <w:tc>
          <w:tcPr>
            <w:tcW w:w="980" w:type="dxa"/>
            <w:vAlign w:val="bottom"/>
            <w:gridSpan w:val="2"/>
          </w:tcPr>
          <w:p>
            <w:pPr>
              <w:ind w:left="140"/>
              <w:spacing w:after="0"/>
              <w:rPr>
                <w:sz w:val="20"/>
                <w:szCs w:val="20"/>
                <w:color w:val="auto"/>
              </w:rPr>
            </w:pPr>
            <w:r>
              <w:rPr>
                <w:rFonts w:ascii="Arial" w:cs="Arial" w:eastAsia="Arial" w:hAnsi="Arial"/>
                <w:sz w:val="11"/>
                <w:szCs w:val="11"/>
                <w:color w:val="auto"/>
              </w:rPr>
              <w:t>September 26,</w:t>
            </w:r>
          </w:p>
        </w:tc>
        <w:tc>
          <w:tcPr>
            <w:tcW w:w="1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color w:val="auto"/>
              </w:rPr>
              <w:t>Change</w:t>
            </w:r>
          </w:p>
        </w:tc>
        <w:tc>
          <w:tcPr>
            <w:tcW w:w="1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color w:val="auto"/>
              </w:rPr>
              <w:t>October 2</w:t>
            </w:r>
          </w:p>
        </w:tc>
        <w:tc>
          <w:tcPr>
            <w:tcW w:w="10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Arial" w:cs="Arial" w:eastAsia="Arial" w:hAnsi="Arial"/>
                <w:sz w:val="11"/>
                <w:szCs w:val="11"/>
                <w:color w:val="auto"/>
              </w:rPr>
              <w:t>September 26,</w:t>
            </w:r>
          </w:p>
        </w:tc>
        <w:tc>
          <w:tcPr>
            <w:tcW w:w="860" w:type="dxa"/>
            <w:vAlign w:val="bottom"/>
            <w:gridSpan w:val="2"/>
          </w:tcPr>
          <w:p>
            <w:pPr>
              <w:ind w:left="80"/>
              <w:spacing w:after="0"/>
              <w:rPr>
                <w:sz w:val="20"/>
                <w:szCs w:val="20"/>
                <w:color w:val="auto"/>
              </w:rPr>
            </w:pPr>
            <w:r>
              <w:rPr>
                <w:rFonts w:ascii="Arial" w:cs="Arial" w:eastAsia="Arial" w:hAnsi="Arial"/>
                <w:sz w:val="11"/>
                <w:szCs w:val="11"/>
                <w:color w:val="auto"/>
              </w:rPr>
              <w:t>October 2</w:t>
            </w:r>
          </w:p>
        </w:tc>
        <w:tc>
          <w:tcPr>
            <w:tcW w:w="900" w:type="dxa"/>
            <w:vAlign w:val="bottom"/>
          </w:tcPr>
          <w:p>
            <w:pPr>
              <w:jc w:val="right"/>
              <w:ind w:right="71"/>
              <w:spacing w:after="0"/>
              <w:rPr>
                <w:sz w:val="20"/>
                <w:szCs w:val="20"/>
                <w:color w:val="auto"/>
              </w:rPr>
            </w:pPr>
            <w:r>
              <w:rPr>
                <w:rFonts w:ascii="Arial" w:cs="Arial" w:eastAsia="Arial" w:hAnsi="Arial"/>
                <w:sz w:val="11"/>
                <w:szCs w:val="11"/>
                <w:color w:val="auto"/>
              </w:rPr>
              <w:t>September 26,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2"/>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1"/>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72"/>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880" w:type="dxa"/>
            <w:vAlign w:val="bottom"/>
          </w:tcPr>
          <w:p>
            <w:pPr>
              <w:jc w:val="right"/>
              <w:ind w:right="251"/>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2"/>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2"/>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72"/>
              <w:spacing w:after="0"/>
              <w:rPr>
                <w:sz w:val="20"/>
                <w:szCs w:val="20"/>
                <w:color w:val="auto"/>
              </w:rPr>
            </w:pPr>
            <w:r>
              <w:rPr>
                <w:rFonts w:ascii="Arial" w:cs="Arial" w:eastAsia="Arial" w:hAnsi="Arial"/>
                <w:sz w:val="11"/>
                <w:szCs w:val="11"/>
                <w:color w:val="auto"/>
              </w:rPr>
              <w:t>2021</w:t>
            </w:r>
          </w:p>
        </w:tc>
        <w:tc>
          <w:tcPr>
            <w:tcW w:w="120" w:type="dxa"/>
            <w:vAlign w:val="bottom"/>
          </w:tcPr>
          <w:p>
            <w:pPr>
              <w:spacing w:after="0"/>
              <w:rPr>
                <w:sz w:val="11"/>
                <w:szCs w:val="11"/>
                <w:color w:val="auto"/>
              </w:rPr>
            </w:pPr>
          </w:p>
        </w:tc>
        <w:tc>
          <w:tcPr>
            <w:tcW w:w="900" w:type="dxa"/>
            <w:vAlign w:val="bottom"/>
          </w:tcPr>
          <w:p>
            <w:pPr>
              <w:jc w:val="right"/>
              <w:ind w:right="271"/>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0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Ducommun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Military and space</w:t>
            </w:r>
          </w:p>
        </w:tc>
        <w:tc>
          <w:tcPr>
            <w:tcW w:w="4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2,564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113,622</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111,058</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69.6 %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73.9 %</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33,278</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340,757</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307,479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70.9 %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65.3 %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30,731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23.7 %</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8,582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(7,019)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150,371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9,415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480,570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471,155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0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Military and space</w:t>
            </w:r>
          </w:p>
        </w:tc>
        <w:tc>
          <w:tcPr>
            <w:tcW w:w="84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81,365</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ind w:right="11"/>
              <w:spacing w:after="0"/>
              <w:rPr>
                <w:sz w:val="20"/>
                <w:szCs w:val="20"/>
                <w:color w:val="auto"/>
              </w:rPr>
            </w:pPr>
            <w:r>
              <w:rPr>
                <w:rFonts w:ascii="Arial" w:cs="Arial" w:eastAsia="Arial" w:hAnsi="Arial"/>
                <w:sz w:val="14"/>
                <w:szCs w:val="14"/>
                <w:color w:val="auto"/>
              </w:rPr>
              <w:t>80,209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77.7 %</w:t>
            </w:r>
          </w:p>
        </w:tc>
        <w:tc>
          <w:tcPr>
            <w:tcW w:w="1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77.5 %</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20,161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243,853</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223,692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79.5 %</w:t>
            </w: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76.2 %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14,679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8,582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(7,019)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104,721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103,470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13,082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306,622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293,540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Structural Systems</w:t>
            </w:r>
          </w:p>
        </w:tc>
        <w:tc>
          <w:tcPr>
            <w:tcW w:w="8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00" w:type="dxa"/>
            <w:vAlign w:val="bottom"/>
            <w:gridSpan w:val="4"/>
          </w:tcPr>
          <w:p>
            <w:pPr>
              <w:spacing w:after="0"/>
              <w:rPr>
                <w:sz w:val="20"/>
                <w:szCs w:val="20"/>
                <w:color w:val="auto"/>
              </w:rPr>
            </w:pPr>
            <w:r>
              <w:rPr>
                <w:rFonts w:ascii="Arial" w:cs="Arial" w:eastAsia="Arial" w:hAnsi="Arial"/>
                <w:sz w:val="14"/>
                <w:szCs w:val="14"/>
                <w:color w:val="auto"/>
              </w:rPr>
              <w:t>Military and space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32,257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30,849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55.1 %</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65.8 %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20"/>
              <w:spacing w:after="0"/>
              <w:rPr>
                <w:sz w:val="20"/>
                <w:szCs w:val="20"/>
                <w:color w:val="auto"/>
              </w:rPr>
            </w:pPr>
            <w:r>
              <w:rPr>
                <w:rFonts w:ascii="Arial" w:cs="Arial" w:eastAsia="Arial" w:hAnsi="Arial"/>
                <w:sz w:val="14"/>
                <w:szCs w:val="14"/>
                <w:color w:val="auto"/>
              </w:rPr>
              <w:t>13,117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96,904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55.7 %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0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16,052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44.9 %</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(16,784)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77,044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93,828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44.3 %</w:t>
            </w:r>
          </w:p>
        </w:tc>
        <w:tc>
          <w:tcPr>
            <w:tcW w:w="1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00" w:type="dxa"/>
            <w:vAlign w:val="bottom"/>
            <w:gridSpan w:val="4"/>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58,506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46,901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(3,667)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173,948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177,615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three months ended October 2, 2021 were $163.2 million, compared to $150.4 million for the three months ended September 26,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was primarily due to the following:</w:t>
      </w:r>
    </w:p>
    <w:p>
      <w:pPr>
        <w:spacing w:after="0" w:line="89" w:lineRule="exact"/>
        <w:rPr>
          <w:sz w:val="20"/>
          <w:szCs w:val="20"/>
          <w:color w:val="auto"/>
        </w:rPr>
      </w:pPr>
    </w:p>
    <w:p>
      <w:pPr>
        <w:ind w:left="660" w:right="1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$10.4 million higher revenues in our commercial aerospace end-use markets due to higher build rates on large aircraft platforms and regional and business aircraft platforms; and</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$2.6 million higher revenues in our military and space end-use markets due to higher build rates on military fixed-wing aircraft platforms, partially offset by lower build rates on other military and space platforms.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nine months ended October 2, 2021 were $480.6 million, compared to $471.2 million for the nine months ended September 26,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was primarily due to the following:</w:t>
      </w:r>
    </w:p>
    <w:p>
      <w:pPr>
        <w:spacing w:after="0" w:line="76" w:lineRule="exact"/>
        <w:rPr>
          <w:sz w:val="20"/>
          <w:szCs w:val="20"/>
          <w:color w:val="auto"/>
        </w:rPr>
      </w:pPr>
    </w:p>
    <w:p>
      <w:pPr>
        <w:ind w:left="660" w:right="3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$33.3 million higher revenues in our military and space end-use markets due to higher build rates on military fixed-wing aircraft platforms and various missile platforms; partially offset by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$16.8 million lower revenues in our commercial aerospace end-use markets due to lower build rates on large aircraft platforms.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2520" w:type="dxa"/>
            <w:vAlign w:val="bottom"/>
            <w:gridSpan w:val="4"/>
          </w:tcPr>
          <w:p>
            <w:pPr>
              <w:ind w:left="600"/>
              <w:spacing w:after="0"/>
              <w:rPr>
                <w:sz w:val="20"/>
                <w:szCs w:val="20"/>
                <w:color w:val="auto"/>
              </w:rPr>
            </w:pPr>
            <w:r>
              <w:rPr>
                <w:rFonts w:ascii="Arial" w:cs="Arial" w:eastAsia="Arial" w:hAnsi="Arial"/>
                <w:sz w:val="14"/>
                <w:szCs w:val="14"/>
                <w:color w:val="auto"/>
              </w:rPr>
              <w:t>Three Months Ended</w:t>
            </w:r>
          </w:p>
        </w:tc>
        <w:tc>
          <w:tcPr>
            <w:tcW w:w="2440" w:type="dxa"/>
            <w:vAlign w:val="bottom"/>
            <w:gridSpan w:val="3"/>
          </w:tcPr>
          <w:p>
            <w:pPr>
              <w:jc w:val="right"/>
              <w:ind w:right="555"/>
              <w:spacing w:after="0"/>
              <w:rPr>
                <w:sz w:val="20"/>
                <w:szCs w:val="20"/>
                <w:color w:val="auto"/>
              </w:rPr>
            </w:pPr>
            <w:r>
              <w:rPr>
                <w:rFonts w:ascii="Arial" w:cs="Arial" w:eastAsia="Arial" w:hAnsi="Arial"/>
                <w:sz w:val="14"/>
                <w:szCs w:val="14"/>
                <w:color w:val="auto"/>
              </w:rPr>
              <w:t>Nine Months Ended</w:t>
            </w:r>
          </w:p>
        </w:tc>
      </w:tr>
      <w:tr>
        <w:trPr>
          <w:trHeight w:val="134"/>
        </w:trPr>
        <w:tc>
          <w:tcPr>
            <w:tcW w:w="2940" w:type="dxa"/>
            <w:vAlign w:val="bottom"/>
          </w:tcPr>
          <w:p>
            <w:pPr>
              <w:spacing w:after="0"/>
              <w:rPr>
                <w:sz w:val="11"/>
                <w:szCs w:val="11"/>
                <w:color w:val="auto"/>
              </w:rPr>
            </w:pPr>
          </w:p>
        </w:tc>
        <w:tc>
          <w:tcPr>
            <w:tcW w:w="1240" w:type="dxa"/>
            <w:vAlign w:val="bottom"/>
            <w:tcBorders>
              <w:top w:val="single" w:sz="8" w:color="auto"/>
            </w:tcBorders>
            <w:gridSpan w:val="2"/>
          </w:tcPr>
          <w:p>
            <w:pPr>
              <w:ind w:left="240"/>
              <w:spacing w:after="0" w:line="135" w:lineRule="exact"/>
              <w:rPr>
                <w:sz w:val="20"/>
                <w:szCs w:val="20"/>
                <w:color w:val="auto"/>
              </w:rPr>
            </w:pPr>
            <w:r>
              <w:rPr>
                <w:rFonts w:ascii="Arial" w:cs="Arial" w:eastAsia="Arial" w:hAnsi="Arial"/>
                <w:sz w:val="14"/>
                <w:szCs w:val="14"/>
                <w:color w:val="auto"/>
              </w:rPr>
              <w:t>October 2,</w:t>
            </w:r>
          </w:p>
        </w:tc>
        <w:tc>
          <w:tcPr>
            <w:tcW w:w="118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color w:val="auto"/>
              </w:rPr>
              <w:t>September 26,</w:t>
            </w:r>
          </w:p>
        </w:tc>
        <w:tc>
          <w:tcPr>
            <w:tcW w:w="100" w:type="dxa"/>
            <w:vAlign w:val="bottom"/>
          </w:tcPr>
          <w:p>
            <w:pPr>
              <w:spacing w:after="0"/>
              <w:rPr>
                <w:sz w:val="11"/>
                <w:szCs w:val="11"/>
                <w:color w:val="auto"/>
              </w:rPr>
            </w:pPr>
          </w:p>
        </w:tc>
        <w:tc>
          <w:tcPr>
            <w:tcW w:w="1260" w:type="dxa"/>
            <w:vAlign w:val="bottom"/>
            <w:tcBorders>
              <w:top w:val="single" w:sz="8" w:color="auto"/>
            </w:tcBorders>
            <w:gridSpan w:val="2"/>
          </w:tcPr>
          <w:p>
            <w:pPr>
              <w:ind w:left="260"/>
              <w:spacing w:after="0" w:line="135" w:lineRule="exact"/>
              <w:rPr>
                <w:sz w:val="20"/>
                <w:szCs w:val="20"/>
                <w:color w:val="auto"/>
              </w:rPr>
            </w:pPr>
            <w:r>
              <w:rPr>
                <w:rFonts w:ascii="Arial" w:cs="Arial" w:eastAsia="Arial" w:hAnsi="Arial"/>
                <w:sz w:val="14"/>
                <w:szCs w:val="14"/>
                <w:color w:val="auto"/>
              </w:rPr>
              <w:t>October 2,</w:t>
            </w:r>
          </w:p>
        </w:tc>
        <w:tc>
          <w:tcPr>
            <w:tcW w:w="1180" w:type="dxa"/>
            <w:vAlign w:val="bottom"/>
            <w:tcBorders>
              <w:top w:val="single" w:sz="8" w:color="auto"/>
            </w:tcBorders>
          </w:tcPr>
          <w:p>
            <w:pPr>
              <w:jc w:val="right"/>
              <w:ind w:right="95"/>
              <w:spacing w:after="0" w:line="135" w:lineRule="exact"/>
              <w:rPr>
                <w:sz w:val="20"/>
                <w:szCs w:val="20"/>
                <w:color w:val="auto"/>
              </w:rPr>
            </w:pPr>
            <w:r>
              <w:rPr>
                <w:rFonts w:ascii="Arial" w:cs="Arial" w:eastAsia="Arial" w:hAnsi="Arial"/>
                <w:sz w:val="14"/>
                <w:szCs w:val="14"/>
                <w:color w:val="auto"/>
              </w:rPr>
              <w:t>September 26,</w:t>
            </w:r>
          </w:p>
        </w:tc>
      </w:tr>
      <w:tr>
        <w:trPr>
          <w:trHeight w:val="186"/>
        </w:trPr>
        <w:tc>
          <w:tcPr>
            <w:tcW w:w="29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2020</w:t>
            </w:r>
          </w:p>
        </w:tc>
      </w:tr>
      <w:tr>
        <w:trPr>
          <w:trHeight w:val="226"/>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Company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Lockheed Martin Corporation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 Grumman Corporation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Raytheon Technologies Corporation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 AeroSystems Holdings, Inc.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304"/>
        </w:trPr>
        <w:tc>
          <w:tcPr>
            <w:tcW w:w="2940" w:type="dxa"/>
            <w:vAlign w:val="bottom"/>
          </w:tcPr>
          <w:p>
            <w:pPr>
              <w:ind w:left="20"/>
              <w:spacing w:after="0"/>
              <w:rPr>
                <w:sz w:val="20"/>
                <w:szCs w:val="20"/>
                <w:color w:val="auto"/>
              </w:rPr>
            </w:pPr>
            <w:r>
              <w:rPr>
                <w:rFonts w:ascii="Arial" w:cs="Arial" w:eastAsia="Arial" w:hAnsi="Arial"/>
                <w:sz w:val="18"/>
                <w:szCs w:val="18"/>
                <w:color w:val="auto"/>
              </w:rPr>
              <w:t xml:space="preserve">Total top ten customers </w:t>
            </w:r>
            <w:r>
              <w:rPr>
                <w:rFonts w:ascii="Arial" w:cs="Arial" w:eastAsia="Arial" w:hAnsi="Arial"/>
                <w:sz w:val="23"/>
                <w:szCs w:val="23"/>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62.4 %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63.7 %</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58.4 %</w:t>
            </w:r>
          </w:p>
        </w:tc>
      </w:tr>
    </w:tbl>
    <w:p>
      <w:pPr>
        <w:spacing w:after="0" w:line="167" w:lineRule="exact"/>
        <w:rPr>
          <w:sz w:val="20"/>
          <w:szCs w:val="20"/>
          <w:color w:val="auto"/>
        </w:rPr>
      </w:pPr>
    </w:p>
    <w:p>
      <w:pPr>
        <w:ind w:left="340" w:right="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Boeing Company (“Boeing”), Lockheed Martin Corporation (“Lockheed”), Northrop Grumman Corporation (“Northrop”), and Raytheon Technologies Corporation (“Raytheon”) for the three months and nine months ended October 2,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and September 26, 2020, and Spirit AeroSystems Holdings, Inc. (“Spirit”) for the three months and nine months ended October 2, 2021, and the nine months ended September 26,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Boeing, Lockheed, Northrop, Raytheon, and Spirit represented the following percentages of total accounts receivable: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color w:val="auto"/>
              </w:rPr>
              <w:t>October 2,</w:t>
            </w:r>
          </w:p>
        </w:tc>
        <w:tc>
          <w:tcPr>
            <w:tcW w:w="1220" w:type="dxa"/>
            <w:vAlign w:val="bottom"/>
          </w:tcPr>
          <w:p>
            <w:pPr>
              <w:jc w:val="right"/>
              <w:ind w:right="135"/>
              <w:spacing w:after="0"/>
              <w:rPr>
                <w:sz w:val="20"/>
                <w:szCs w:val="20"/>
                <w:color w:val="auto"/>
              </w:rPr>
            </w:pPr>
            <w:r>
              <w:rPr>
                <w:rFonts w:ascii="Arial" w:cs="Arial" w:eastAsia="Arial" w:hAnsi="Arial"/>
                <w:sz w:val="14"/>
                <w:szCs w:val="14"/>
                <w:color w:val="auto"/>
              </w:rPr>
              <w:t>December 31,</w:t>
            </w:r>
          </w:p>
        </w:tc>
      </w:tr>
      <w:tr>
        <w:trPr>
          <w:trHeight w:val="186"/>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2020</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Lockheed</w:t>
            </w:r>
          </w:p>
        </w:tc>
        <w:tc>
          <w:tcPr>
            <w:tcW w:w="122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Raytheon</w:t>
            </w:r>
          </w:p>
        </w:tc>
        <w:tc>
          <w:tcPr>
            <w:tcW w:w="122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net revenues and accounts receivable from Boeing, Lockheed, Northrop, Raytheon, and Spirit are diversified over a number of commercial, military and space programs and were generated by both operating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decreased year-over-year with the three months ended October 2, 2021 of 21.6%, compared to the three months ended September 26, 2020 of 22.3% primarily due to unfavorable product mix.</w:t>
      </w:r>
    </w:p>
    <w:p>
      <w:pPr>
        <w:spacing w:after="0" w:line="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Gross profit as a percentage of net revenues increased year-over-year with the nine months ended October 2, 2021 of 21.9%, compared to the nine months ended September 26, 2020 of 21.8% primarily due to favorable product mix and lower compensation and benefits costs, partially offset by unfavorable manufacturing volume.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SG&amp;A expenses decreased $0.1 million year-over-year in the three months ended October 2, 2021 compared to the three months ended September 26, 2020 primarily due to lower compensation and benefits costs of $0.8 million and lower other expenses of $0.5 million, partially offset by higher professional services fees of $1.3 million.</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SG&amp;A expenses increased $0.9 million year-over-year in the nine months ended October 2, 2021 compared to the nine months ended September 26, 2020 primarily due to higher compensation and benefits costs of $0.5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decreased $0.3 million and $2.6 million in the three and nine months ended October 2, 2021, respectively, compared to the three and nine months ended September 26, 2020 due to lower interest rates and a lower outstanding debt balance.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We recorded income tax expense of $1.2 million for the three months ended October 2, 2021, compared to $0.8 million for the three months ended September 26, 2020. The increase in income tax expense for the third quarter of 2021 compared to the third quarter of 2020 was primarily due to higher pre-tax income for the third quarter of 2021 compared to the third quarter of 2020. The increase in income tax expense was partially offset by higher income tax benefits recognized in the third quarter of 2021 mainly related to the U.S. Federal research and development tax credit.</w:t>
      </w:r>
    </w:p>
    <w:p>
      <w:pPr>
        <w:spacing w:after="0" w:line="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recorded income tax expense of $4.1 million for the nine months ended October 2, 2021, compared to $3.4 million for the nine months ended September 26, 2020. The increase in income tax expense for the first nine months of 2021 compared to the first nine months of 2020 was primarily due to higher pre-tax income for the first nine months of 2021 compared to the first nine months of 2020. The increase in income tax expense was partially offset by higher income tax benefits related to the U.S. Federal research and development tax credit and higher discrete income tax benefits related to net tax windfalls from stock-based compensation.</w:t>
      </w:r>
    </w:p>
    <w:p>
      <w:pPr>
        <w:spacing w:after="0" w:line="5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March 11, 2021, the U.S. enacted the American Rescue Plan Act of 2021 (“Rescue Plan”) aimed at mitigating the continuing effects of the COVID-19 pandemic. We considered the provisions of the Rescue Plan and determined they do not have a material impact on our income taxes.</w:t>
      </w:r>
    </w:p>
    <w:p>
      <w:pPr>
        <w:spacing w:after="0" w:line="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total amount of unrecognized tax benefits was $4.5 million and $4.1 million as of October 2, 2021 and December 31, 2020, respectively. If recognized, $2.8 million would affect the effective tax rate. We record interest and penalty charges, if any, related to uncertain tax positions as a component of tax expense and unrecognized tax benefits. The amounts accrued for interest and penalty charges as of October 2, 2021 and December 31, 2020 were not significant. We do not expect the total amount of unrecognized tax benefits to increase or decrease by a material amount in the next twelve months.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and earnings per share for the three months ended October 2, 2021 were $9.6 million, or $0.78 per diluted share, compared to $6.5 million, or $0.54 per diluted share, for the three months ended September 26, 2020. The increase in net income for the three months ended October 2, 2021 compared to the three months ended September 26, 2020 was primarily due to $1.9 million of higher gross profit as a result of higher revenues and lower restructuring charges of $1.1 million.</w:t>
      </w:r>
    </w:p>
    <w:p>
      <w:pPr>
        <w:spacing w:after="0" w:line="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income and earnings per share for the nine months ended October 2, 2021 were $24.7 million, or $2.02 per diluted share, compared to $19.5 million, or $1.64 per diluted share, for the nine months ended September 26, 2020. The increase in net income for the nine months ended October 2, 2021 compared to the nine months ended September 26, 2020 was primarily due to lower interest expense of $2.6 million and $2.3 million of higher gross profit as a result of higher revenues.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nine months ended October 2, 2021 and September 26,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color w:val="auto"/>
                <w:w w:val="91"/>
              </w:rPr>
              <w:t>Three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color w:val="auto"/>
                <w:w w:val="95"/>
              </w:rPr>
              <w:t>Nine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40" w:type="dxa"/>
            <w:vAlign w:val="bottom"/>
          </w:tcPr>
          <w:p>
            <w:pPr>
              <w:jc w:val="right"/>
              <w:ind w:right="20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6"/>
          </w:tcPr>
          <w:p>
            <w:pPr>
              <w:ind w:left="240"/>
              <w:spacing w:after="0"/>
              <w:rPr>
                <w:sz w:val="20"/>
                <w:szCs w:val="20"/>
                <w:color w:val="auto"/>
              </w:rPr>
            </w:pPr>
            <w:r>
              <w:rPr>
                <w:rFonts w:ascii="Arial" w:cs="Arial" w:eastAsia="Arial" w:hAnsi="Arial"/>
                <w:sz w:val="11"/>
                <w:szCs w:val="11"/>
                <w:color w:val="auto"/>
              </w:rPr>
              <w:t>(Dollars in thousands)</w:t>
            </w:r>
          </w:p>
        </w:tc>
        <w:tc>
          <w:tcPr>
            <w:tcW w:w="1700" w:type="dxa"/>
            <w:vAlign w:val="bottom"/>
            <w:gridSpan w:val="3"/>
          </w:tcPr>
          <w:p>
            <w:pPr>
              <w:jc w:val="right"/>
              <w:ind w:right="439"/>
              <w:spacing w:after="0"/>
              <w:rPr>
                <w:sz w:val="20"/>
                <w:szCs w:val="20"/>
                <w:color w:val="auto"/>
              </w:rPr>
            </w:pPr>
            <w:r>
              <w:rPr>
                <w:rFonts w:ascii="Arial" w:cs="Arial" w:eastAsia="Arial" w:hAnsi="Arial"/>
                <w:sz w:val="11"/>
                <w:szCs w:val="11"/>
                <w:color w:val="auto"/>
              </w:rPr>
              <w:t>% of Net Revenues</w:t>
            </w:r>
          </w:p>
        </w:tc>
        <w:tc>
          <w:tcPr>
            <w:tcW w:w="78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6"/>
          </w:tcPr>
          <w:p>
            <w:pPr>
              <w:ind w:left="260"/>
              <w:spacing w:after="0"/>
              <w:rPr>
                <w:sz w:val="20"/>
                <w:szCs w:val="20"/>
                <w:color w:val="auto"/>
              </w:rPr>
            </w:pPr>
            <w:r>
              <w:rPr>
                <w:rFonts w:ascii="Arial" w:cs="Arial" w:eastAsia="Arial" w:hAnsi="Arial"/>
                <w:sz w:val="11"/>
                <w:szCs w:val="11"/>
                <w:color w:val="auto"/>
              </w:rPr>
              <w:t>(Dollars in thousands)</w:t>
            </w:r>
          </w:p>
        </w:tc>
        <w:tc>
          <w:tcPr>
            <w:tcW w:w="1740" w:type="dxa"/>
            <w:vAlign w:val="bottom"/>
            <w:gridSpan w:val="3"/>
          </w:tcPr>
          <w:p>
            <w:pPr>
              <w:jc w:val="right"/>
              <w:ind w:right="459"/>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color w:val="auto"/>
              </w:rPr>
              <w:t>Change</w:t>
            </w:r>
          </w:p>
        </w:tc>
        <w:tc>
          <w:tcPr>
            <w:tcW w:w="1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color w:val="auto"/>
              </w:rPr>
              <w:t>October 2,</w:t>
            </w:r>
          </w:p>
        </w:tc>
        <w:tc>
          <w:tcPr>
            <w:tcW w:w="8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Arial" w:cs="Arial" w:eastAsia="Arial" w:hAnsi="Arial"/>
                <w:sz w:val="11"/>
                <w:szCs w:val="11"/>
                <w:color w:val="auto"/>
              </w:rPr>
              <w:t>September 26,</w:t>
            </w:r>
          </w:p>
        </w:tc>
        <w:tc>
          <w:tcPr>
            <w:tcW w:w="800" w:type="dxa"/>
            <w:vAlign w:val="bottom"/>
            <w:gridSpan w:val="2"/>
          </w:tcPr>
          <w:p>
            <w:pPr>
              <w:ind w:left="40"/>
              <w:spacing w:after="0"/>
              <w:rPr>
                <w:sz w:val="20"/>
                <w:szCs w:val="20"/>
                <w:color w:val="auto"/>
              </w:rPr>
            </w:pPr>
            <w:r>
              <w:rPr>
                <w:rFonts w:ascii="Arial" w:cs="Arial" w:eastAsia="Arial" w:hAnsi="Arial"/>
                <w:sz w:val="11"/>
                <w:szCs w:val="11"/>
                <w:color w:val="auto"/>
              </w:rPr>
              <w:t>October 2,</w:t>
            </w:r>
          </w:p>
        </w:tc>
        <w:tc>
          <w:tcPr>
            <w:tcW w:w="900" w:type="dxa"/>
            <w:vAlign w:val="bottom"/>
          </w:tcPr>
          <w:p>
            <w:pPr>
              <w:jc w:val="right"/>
              <w:ind w:right="79"/>
              <w:spacing w:after="0"/>
              <w:rPr>
                <w:sz w:val="20"/>
                <w:szCs w:val="20"/>
                <w:color w:val="auto"/>
              </w:rPr>
            </w:pPr>
            <w:r>
              <w:rPr>
                <w:rFonts w:ascii="Arial" w:cs="Arial" w:eastAsia="Arial" w:hAnsi="Arial"/>
                <w:sz w:val="11"/>
                <w:szCs w:val="11"/>
                <w:color w:val="auto"/>
              </w:rPr>
              <w:t>September 26,</w:t>
            </w:r>
          </w:p>
        </w:tc>
        <w:tc>
          <w:tcPr>
            <w:tcW w:w="10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color w:val="auto"/>
              </w:rPr>
              <w:t>Change</w:t>
            </w:r>
          </w:p>
        </w:tc>
        <w:tc>
          <w:tcPr>
            <w:tcW w:w="1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color w:val="auto"/>
              </w:rPr>
              <w:t>October 2,</w:t>
            </w:r>
          </w:p>
        </w:tc>
        <w:tc>
          <w:tcPr>
            <w:tcW w:w="10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color w:val="auto"/>
              </w:rPr>
              <w:t>September 26,</w:t>
            </w:r>
          </w:p>
        </w:tc>
        <w:tc>
          <w:tcPr>
            <w:tcW w:w="840" w:type="dxa"/>
            <w:vAlign w:val="bottom"/>
            <w:gridSpan w:val="2"/>
          </w:tcPr>
          <w:p>
            <w:pPr>
              <w:ind w:left="60"/>
              <w:spacing w:after="0"/>
              <w:rPr>
                <w:sz w:val="20"/>
                <w:szCs w:val="20"/>
                <w:color w:val="auto"/>
              </w:rPr>
            </w:pPr>
            <w:r>
              <w:rPr>
                <w:rFonts w:ascii="Arial" w:cs="Arial" w:eastAsia="Arial" w:hAnsi="Arial"/>
                <w:sz w:val="11"/>
                <w:szCs w:val="11"/>
                <w:color w:val="auto"/>
              </w:rPr>
              <w:t>October 2,</w:t>
            </w:r>
          </w:p>
        </w:tc>
        <w:tc>
          <w:tcPr>
            <w:tcW w:w="900" w:type="dxa"/>
            <w:vAlign w:val="bottom"/>
          </w:tcPr>
          <w:p>
            <w:pPr>
              <w:jc w:val="right"/>
              <w:ind w:right="79"/>
              <w:spacing w:after="0"/>
              <w:rPr>
                <w:sz w:val="20"/>
                <w:szCs w:val="20"/>
                <w:color w:val="auto"/>
              </w:rPr>
            </w:pPr>
            <w:r>
              <w:rPr>
                <w:rFonts w:ascii="Arial" w:cs="Arial" w:eastAsia="Arial" w:hAnsi="Arial"/>
                <w:sz w:val="11"/>
                <w:szCs w:val="11"/>
                <w:color w:val="auto"/>
              </w:rPr>
              <w:t>September 26,</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238"/>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259"/>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900" w:type="dxa"/>
            <w:vAlign w:val="bottom"/>
          </w:tcPr>
          <w:p>
            <w:pPr>
              <w:jc w:val="right"/>
              <w:ind w:right="279"/>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8"/>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59"/>
              <w:spacing w:after="0"/>
              <w:rPr>
                <w:sz w:val="20"/>
                <w:szCs w:val="20"/>
                <w:color w:val="auto"/>
              </w:rPr>
            </w:pPr>
            <w:r>
              <w:rPr>
                <w:rFonts w:ascii="Arial" w:cs="Arial" w:eastAsia="Arial" w:hAnsi="Arial"/>
                <w:sz w:val="11"/>
                <w:szCs w:val="11"/>
                <w:color w:val="auto"/>
              </w:rPr>
              <w:t>2021</w:t>
            </w:r>
          </w:p>
        </w:tc>
        <w:tc>
          <w:tcPr>
            <w:tcW w:w="120" w:type="dxa"/>
            <w:vAlign w:val="bottom"/>
          </w:tcPr>
          <w:p>
            <w:pPr>
              <w:spacing w:after="0"/>
              <w:rPr>
                <w:sz w:val="11"/>
                <w:szCs w:val="11"/>
                <w:color w:val="auto"/>
              </w:rPr>
            </w:pPr>
          </w:p>
        </w:tc>
        <w:tc>
          <w:tcPr>
            <w:tcW w:w="900" w:type="dxa"/>
            <w:vAlign w:val="bottom"/>
          </w:tcPr>
          <w:p>
            <w:pPr>
              <w:jc w:val="right"/>
              <w:ind w:right="279"/>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Net Revenues</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jc w:val="right"/>
              <w:spacing w:after="0"/>
              <w:rPr>
                <w:sz w:val="20"/>
                <w:szCs w:val="20"/>
                <w:color w:val="auto"/>
              </w:rPr>
            </w:pPr>
            <w:r>
              <w:rPr>
                <w:rFonts w:ascii="Arial" w:cs="Arial" w:eastAsia="Arial" w:hAnsi="Arial"/>
                <w:sz w:val="13"/>
                <w:szCs w:val="13"/>
                <w:color w:val="auto"/>
              </w:rPr>
              <w:t>1.2 %</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104,721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103,470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64.2 %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68.8 %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306,622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293,540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63.8 %</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62.3 %</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24.7 %</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46,901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35.8 %</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173,948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177,615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36.2 %</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37.7 %</w:t>
            </w:r>
          </w:p>
        </w:tc>
        <w:tc>
          <w:tcPr>
            <w:tcW w:w="0" w:type="dxa"/>
            <w:vAlign w:val="bottom"/>
          </w:tcPr>
          <w:p>
            <w:pPr>
              <w:spacing w:after="0"/>
              <w:rPr>
                <w:sz w:val="1"/>
                <w:szCs w:val="1"/>
                <w:color w:val="auto"/>
              </w:rPr>
            </w:pPr>
          </w:p>
        </w:tc>
      </w:tr>
      <w:tr>
        <w:trPr>
          <w:trHeight w:val="169"/>
        </w:trPr>
        <w:tc>
          <w:tcPr>
            <w:tcW w:w="2220" w:type="dxa"/>
            <w:vAlign w:val="bottom"/>
          </w:tcPr>
          <w:p>
            <w:pPr>
              <w:ind w:left="680"/>
              <w:spacing w:after="0" w:line="141" w:lineRule="exact"/>
              <w:rPr>
                <w:sz w:val="20"/>
                <w:szCs w:val="20"/>
                <w:color w:val="auto"/>
              </w:rPr>
            </w:pPr>
            <w:r>
              <w:rPr>
                <w:rFonts w:ascii="Arial" w:cs="Arial" w:eastAsia="Arial" w:hAnsi="Arial"/>
                <w:sz w:val="13"/>
                <w:szCs w:val="13"/>
                <w:color w:val="auto"/>
              </w:rPr>
              <w:t>Total Net Revenues</w:t>
            </w:r>
          </w:p>
        </w:tc>
        <w:tc>
          <w:tcPr>
            <w:tcW w:w="640" w:type="dxa"/>
            <w:vAlign w:val="bottom"/>
          </w:tcPr>
          <w:p>
            <w:pPr>
              <w:jc w:val="right"/>
              <w:spacing w:after="0"/>
              <w:rPr>
                <w:sz w:val="20"/>
                <w:szCs w:val="20"/>
                <w:color w:val="auto"/>
              </w:rPr>
            </w:pPr>
            <w:r>
              <w:rPr>
                <w:rFonts w:ascii="Arial" w:cs="Arial" w:eastAsia="Arial" w:hAnsi="Arial"/>
                <w:sz w:val="13"/>
                <w:szCs w:val="13"/>
                <w:color w:val="auto"/>
              </w:rPr>
              <w:t>8.5 %</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163,227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150,371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480,570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471,155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Segment Operating Income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15,319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14,867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42,185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40,427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13.8 %</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13.8 %</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4,457</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15,177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57,362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53,800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Corporate General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(6,413)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(6,371)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(19,884)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360"/>
              <w:spacing w:after="0" w:line="175" w:lineRule="exact"/>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Pr>
          <w:p>
            <w:pPr>
              <w:ind w:left="680"/>
              <w:spacing w:after="0" w:line="141" w:lineRule="exact"/>
              <w:rPr>
                <w:sz w:val="20"/>
                <w:szCs w:val="20"/>
                <w:color w:val="auto"/>
              </w:rPr>
            </w:pPr>
            <w:r>
              <w:rPr>
                <w:rFonts w:ascii="Arial" w:cs="Arial" w:eastAsia="Arial" w:hAnsi="Arial"/>
                <w:sz w:val="13"/>
                <w:szCs w:val="13"/>
                <w:color w:val="auto"/>
              </w:rPr>
              <w:t>Total Operating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13,363</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8.2 %</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7.7 %</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Adjusted EBITDA</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Other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Depreciation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3,492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Pr>
          <w:p>
            <w:pPr>
              <w:ind w:left="680"/>
              <w:spacing w:after="0"/>
              <w:rPr>
                <w:sz w:val="20"/>
                <w:szCs w:val="20"/>
                <w:color w:val="auto"/>
              </w:rPr>
            </w:pPr>
            <w:r>
              <w:rPr>
                <w:rFonts w:ascii="Arial" w:cs="Arial" w:eastAsia="Arial" w:hAnsi="Arial"/>
                <w:sz w:val="13"/>
                <w:szCs w:val="13"/>
                <w:color w:val="auto"/>
              </w:rPr>
              <w:t>Restructuring Charges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19,062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18,663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18.2 %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18.0 %</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51,350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17.2 %</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rPr>
              <w:t>Depreciation and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3,599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3,528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10,540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10,956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Restructuring Charges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rPr>
              <w:t>Guaymas fire related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1,871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expenses</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15.1 %</w:t>
            </w:r>
          </w:p>
        </w:tc>
        <w:tc>
          <w:tcPr>
            <w:tcW w:w="0" w:type="dxa"/>
            <w:vAlign w:val="bottom"/>
          </w:tcPr>
          <w:p>
            <w:pPr>
              <w:spacing w:after="0"/>
              <w:rPr>
                <w:sz w:val="1"/>
                <w:szCs w:val="1"/>
                <w:color w:val="auto"/>
              </w:rPr>
            </w:pPr>
          </w:p>
        </w:tc>
      </w:tr>
      <w:tr>
        <w:trPr>
          <w:trHeight w:val="122"/>
        </w:trPr>
        <w:tc>
          <w:tcPr>
            <w:tcW w:w="2220" w:type="dxa"/>
            <w:vAlign w:val="bottom"/>
          </w:tcPr>
          <w:p>
            <w:pPr>
              <w:ind w:left="360"/>
              <w:spacing w:after="0" w:line="122" w:lineRule="exact"/>
              <w:rPr>
                <w:sz w:val="20"/>
                <w:szCs w:val="20"/>
                <w:color w:val="auto"/>
              </w:rPr>
            </w:pPr>
            <w:r>
              <w:rPr>
                <w:rFonts w:ascii="Arial" w:cs="Arial" w:eastAsia="Arial" w:hAnsi="Arial"/>
                <w:sz w:val="13"/>
                <w:szCs w:val="13"/>
                <w:color w:val="auto"/>
              </w:rPr>
              <w:t>Corporate General and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360"/>
              <w:spacing w:after="0" w:line="175" w:lineRule="exact"/>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Loss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Other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Depreciation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w w:val="94"/>
              </w:rPr>
              <w:t>Stock-Based Compensation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2,407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2,076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8,149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6,605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Expense</w:t>
            </w: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tcPr>
          <w:p>
            <w:pPr>
              <w:ind w:left="880"/>
              <w:spacing w:after="0" w:line="141" w:lineRule="exact"/>
              <w:rPr>
                <w:sz w:val="20"/>
                <w:szCs w:val="20"/>
                <w:color w:val="auto"/>
              </w:rPr>
            </w:pPr>
            <w:r>
              <w:rPr>
                <w:rFonts w:ascii="Arial" w:cs="Arial" w:eastAsia="Arial" w:hAnsi="Arial"/>
                <w:sz w:val="13"/>
                <w:szCs w:val="13"/>
                <w:color w:val="auto"/>
              </w:rPr>
              <w:t>Adjusted EBITDA</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23,874</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21,647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14.6 %</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14.4 %</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68,393</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65,151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14.2 %</w:t>
            </w: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13.8 %</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Capital Expenditures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1,964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3,865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Pr>
          <w:p>
            <w:pPr>
              <w:ind w:left="360"/>
              <w:spacing w:after="0"/>
              <w:rPr>
                <w:sz w:val="20"/>
                <w:szCs w:val="20"/>
                <w:color w:val="auto"/>
              </w:rPr>
            </w:pPr>
            <w:r>
              <w:rPr>
                <w:rFonts w:ascii="Arial" w:cs="Arial" w:eastAsia="Arial" w:hAnsi="Arial"/>
                <w:sz w:val="13"/>
                <w:szCs w:val="13"/>
                <w:color w:val="auto"/>
              </w:rPr>
              <w:t>Corporate Administration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20" w:type="dxa"/>
            <w:vAlign w:val="bottom"/>
            <w:tcBorders>
              <w:top w:val="single" w:sz="8" w:color="CCEEFF"/>
              <w:bottom w:val="single" w:sz="8" w:color="CCEEFF"/>
            </w:tcBorders>
            <w:shd w:val="clear" w:color="auto" w:fill="CCEEFF"/>
          </w:tcPr>
          <w:p>
            <w:pPr>
              <w:ind w:left="680"/>
              <w:spacing w:after="0" w:line="147" w:lineRule="exact"/>
              <w:rPr>
                <w:sz w:val="20"/>
                <w:szCs w:val="20"/>
                <w:color w:val="auto"/>
              </w:rPr>
            </w:pPr>
            <w:r>
              <w:rPr>
                <w:rFonts w:ascii="Arial" w:cs="Arial" w:eastAsia="Arial" w:hAnsi="Arial"/>
                <w:sz w:val="13"/>
                <w:szCs w:val="13"/>
                <w:color w:val="auto"/>
                <w:w w:val="99"/>
              </w:rPr>
              <w:t>Total Capital Expenditures</w:t>
            </w: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Includes costs not allocated to either the Electronic Systems or Structural Systems operating segments.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1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Electronic Systems net revenues in the three months ended October 2, 2021 compared to the three months ended September 26, 2020 increased $1.3 million primarily due to the following:</w:t>
      </w:r>
    </w:p>
    <w:p>
      <w:pPr>
        <w:spacing w:after="0" w:line="35" w:lineRule="exact"/>
        <w:rPr>
          <w:sz w:val="20"/>
          <w:szCs w:val="20"/>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 million higher revenues in our military and space end-use markets due to higher build rates on military fixed-wing aircraft platforms, partially offset by lower build rates on other military and space platforms;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higher revenues in our commercial aerospace end-use markets.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Electronic Systems net revenues in the nine months ended October 2, 2021 compared to the nine months ended September 26, 2020 increased $13.1 million primarily due to the following:</w:t>
      </w:r>
    </w:p>
    <w:p>
      <w:pPr>
        <w:spacing w:after="0" w:line="35" w:lineRule="exact"/>
        <w:rPr>
          <w:sz w:val="20"/>
          <w:szCs w:val="20"/>
          <w:color w:val="auto"/>
        </w:rPr>
      </w:pPr>
    </w:p>
    <w:p>
      <w:pPr>
        <w:ind w:left="660" w:right="5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$20.2 million higher revenues in our military and space end-use markets due to higher build rates on military fixed-wing aircraft platforms; partially offset by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$7.0 million lower revenues in our industrial markets;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lower revenues in our commercial aerospace end-use markets.</w:t>
      </w:r>
    </w:p>
    <w:p>
      <w:pPr>
        <w:spacing w:after="0" w:line="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Electronic Systems segment operating income in the three months ended October 2, 2021 compared to the three months ended September 26, 2020 increased $0.5 million primarily due to favorable product mix, partially offset by unfavorable manufacturing volume.</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Electronic Systems segment operating income in the nine months ended October 2, 2021 compared to the nine months ended September 26, 2020 increased $1.8 million primarily due to favorable product mix, lower other manufacturing costs, and lower compensation and benefits costs, partially offset by unfavorable manufacturing volume.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Structural Systems net revenues in the three months ended October 2, 2021 compared to the three months ended September 26, 2020 increased $11.6 million primarily due to the following:</w:t>
      </w:r>
    </w:p>
    <w:p>
      <w:pPr>
        <w:spacing w:after="0" w:line="49" w:lineRule="exact"/>
        <w:rPr>
          <w:sz w:val="20"/>
          <w:szCs w:val="20"/>
          <w:color w:val="auto"/>
        </w:rPr>
      </w:pPr>
    </w:p>
    <w:p>
      <w:pPr>
        <w:ind w:left="660" w:right="1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$10.2 million higher revenues in our commercial aerospace end-use markets due to higher build rates on large aircraft platforms and regional and business aircraft platforms; and</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$1.4 million higher revenues in our military and space end-use markets due to higher build rates on other military and space platforms, partially offset by lower build rates on military rotary-wing aircraft platforms.</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Structural Systems net revenues in the nine months ended October 2, 2021 compared to the nine months ended September 26, 2020 decreased $3.7 million primarily due to the following:</w:t>
      </w:r>
    </w:p>
    <w:p>
      <w:pPr>
        <w:spacing w:after="0" w:line="49" w:lineRule="exact"/>
        <w:rPr>
          <w:sz w:val="20"/>
          <w:szCs w:val="20"/>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$16.8 million lower revenues in our commercial aerospace end-use markets due to lower build rates on large aircraft platforms and regional and business aircraft platforms; partially offset by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$13.1 million higher revenues in our military and space end-use markets due to higher build rates on various missile platforms.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Structural Systems segment operating income in the three months ended October 2, 2021 compared to the three months ended September 26, 2020 increased $2.7 million primarily due to favorable manufacturing volume, partially offset by unfavorable product mix.</w:t>
      </w:r>
    </w:p>
    <w:p>
      <w:pPr>
        <w:spacing w:after="0" w:line="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Structural Systems segment operating income in the nine months ended October 2, 2021 compared to the nine months ended September 26, 2020 increased $1.8 million primarily due to favorable product mix and lower compensation and benefits costs, partially offset by unfavorable manufacturing volume.</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8 to our condensed consolidated financial statements included in Part I, Item 1 of this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CG&amp;A expenses were essentially flat for the three months ended October 2, 2021 compared to the three months ended September 26, 2020.</w:t>
      </w:r>
    </w:p>
    <w:p>
      <w:pPr>
        <w:spacing w:after="0" w:line="10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CG&amp;A expenses increased by $0.4 million for the nine months ended October 2, 2021 compared to the nine months ended September 26, 2020 primarily due to higher compensation and benefits costs of $1.0 million, partially offset by lower other corporate expenses of $0.8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1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increase in backlog was primarily in the industrial end-use markets and commercial aerospace end-use markets. $593.0 million of total backlog is expected to be delivered over the next 12 months. The following table summarizes our backlog as of October 2, 2021 and December 31,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color w:val="auto"/>
                <w:w w:val="91"/>
              </w:rPr>
              <w:t>October 2,</w:t>
            </w:r>
          </w:p>
        </w:tc>
        <w:tc>
          <w:tcPr>
            <w:tcW w:w="220" w:type="dxa"/>
            <w:vAlign w:val="bottom"/>
          </w:tcPr>
          <w:p>
            <w:pPr>
              <w:spacing w:after="0"/>
              <w:rPr>
                <w:sz w:val="12"/>
                <w:szCs w:val="12"/>
                <w:color w:val="auto"/>
              </w:rPr>
            </w:pPr>
          </w:p>
        </w:tc>
        <w:tc>
          <w:tcPr>
            <w:tcW w:w="1220" w:type="dxa"/>
            <w:vAlign w:val="bottom"/>
          </w:tcPr>
          <w:p>
            <w:pPr>
              <w:jc w:val="right"/>
              <w:ind w:right="233"/>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(17,871)</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497,525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515,396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96,126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125,519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5"/>
                <w:szCs w:val="15"/>
                <w:color w:val="auto"/>
              </w:rPr>
            </w:pPr>
          </w:p>
        </w:tc>
      </w:tr>
      <w:tr>
        <w:trPr>
          <w:trHeight w:val="189"/>
        </w:trPr>
        <w:tc>
          <w:tcPr>
            <w:tcW w:w="7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October 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color w:val="auto"/>
                <w:w w:val="90"/>
              </w:rPr>
              <w:t>December 31,</w:t>
            </w:r>
          </w:p>
        </w:tc>
      </w:tr>
      <w:tr>
        <w:trPr>
          <w:trHeight w:val="195"/>
        </w:trPr>
        <w:tc>
          <w:tcPr>
            <w:tcW w:w="73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124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8"/>
              </w:rPr>
              <w:t>299.5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320.6</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3.59 %</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ind w:right="105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56.5</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124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74.8</w:t>
            </w:r>
          </w:p>
        </w:tc>
      </w:tr>
    </w:tbl>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We made the mandatory quarterly principal prepayment under the 2019 Term Loan during the three and nine months ended October 2, 2021 of $1.8 million and $5.3 million, respectively. In addition, if we meet the annual excess cash flow threshold, we are required to make an annual additional principal payment on the 2018 Term Loan based on the consolidated adjusted leverage ratio. During the first quarter of 2021, we made the required 2020 annual excess cash flow principal payment of $0.9 million. Further, the undrawn portion of the commitment of the 2019 Revolving Credit Facility is subject to a commitment fee ranging from 0.175% to 0.275%, based upon the consolidated total net adjusted leverage ratio. As of October 2, 2021, we were in compliance with all covenants required under the Credit Facilities. See Note 5 to our condensed consolidated financial statements included in Part I, Item 1 of this Form 10-Q for further information.</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and nine months ended October 2, 2021, we made net voluntary prepayments totaling $5.0 million and $15.0 million, respectively, on the 2019 Revolving Credit Facility.</w:t>
      </w:r>
    </w:p>
    <w:p>
      <w:pPr>
        <w:spacing w:after="0" w:line="1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we entered into interest rate cap hedges that were designated as cash flow hedges, which matured during our second quarter of 2020.</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spend a total of $16.0 million to $18.0 million for capital expenditures in 2021 (excluding capital expenditures we will spend to restore the manufacturing capabilities related to our Guaymas performance center that was severely damaged by fire in June 2020), financed by cash generated from operations, principally to support new contract awards in Electronic Systems and Structural Systems.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2021 could be delayed as a result of the COVID-19 pandemic.</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for the nine months ended October 2, 2021 was $12.3 million, compared to net cash provided by operating activities of $1.5 million for the nine months ended September 26, 2020. The higher net cash used in operating activities during the first nine months of 2021 was mainly due to higher contract assets, higher inventories, higher accounts receivable, lower accrued and other liabilities, and lower contract liabilities, partially offset by higher net income.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$9.8 million for the nine months ended October 2, 2021, compared to $5.3 million in the nine months ended September 26, 2020. The higher net cash used during the first nine months of 2021 compared to the prior year period was mainly due to higher purchases of property and equipment.</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financing activities was $25.4 million for the nine months ended October 2, 2021, compared to net cash provided by financing activities of $38.7 million for the nine months ended September 26, 2020. The higher net cash used in financing activities during the first nine months of 2021 was mainly due to the $50.0 million draw down on the 2019 Revolving Credit Facility during the first quarter of 2020 to hold as cash on hand that did not reoccur in 2021 and lower net draw downs on the 2019 Revolving Credit Facility, partially offset by lower repayments of term loans.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2020 Annual Report on Form 10-K. There have been no material changes in any of our critical accounting policies during the three months ended October 2,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main market risk exposure relates to changes in U.S. and U.K. interest rates on our outstanding long-term debt. At October 2, 2021, we had total borrowings of $299.5 million under our Credit Facilities.</w:t>
      </w:r>
    </w:p>
    <w:p>
      <w:pPr>
        <w:spacing w:after="0" w:line="3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Arial" w:cs="Arial" w:eastAsia="Arial" w:hAnsi="Arial"/>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October 2, 2021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See Note 8 to our condensed consolidated financial statements included in Part I, Item 1 of this Form 10-Q for a description of our legal proceedings.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See Part I, Item 1A of our Annual Report on Form 10-K (“Form 10-K”) for the year ended December 31, 2020 for a discussion of our risk factors. There have been no material changes during the three months ended October 2, 2021 to the risk factors disclosed in our Form 10-K for the year ended December 31,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76" w:lineRule="exact"/>
        <w:rPr>
          <w:sz w:val="20"/>
          <w:szCs w:val="20"/>
          <w:color w:val="auto"/>
        </w:rPr>
      </w:pPr>
    </w:p>
    <w:p>
      <w:pPr>
        <w:ind w:left="340" w:right="360" w:hanging="323"/>
        <w:spacing w:after="0" w:line="277"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Exhibit 3.2 to Form 10-K for the year ended December 31, 1998.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3.3 Bylaws as amended and restated on March 19, 2013. Incorporated by reference to Exhibit 99.1 to Form 8-K dated March 22, 2013.</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3.4 Amendment to Bylaws dated January 5, 2017. Incorporated by reference to Exhibit 99.2 to Form 8-K dated January 9, 2017.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3.5 Amendment to Bylaws dated February 21, 2018. Incorporated by reference to Exhibit 3.1 to Form 8-K dated February 26, 2018.</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3.6 Amendment to Bylaws dated March 5, 2021. Incorporated by reference to Exhibit 3.1 to Form 8-K dated March 8, 2021.</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10-K for the year ended December 31, 2019.</w:t>
        </w:r>
      </w:hyperlink>
    </w:p>
    <w:p>
      <w:pPr>
        <w:spacing w:after="0" w:line="76"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10.1 Second Amendment to Amended and Restated Credit Agreement entered into on March 20, 2020.</w:t>
        </w:r>
      </w:hyperlink>
    </w:p>
    <w:p>
      <w:pPr>
        <w:spacing w:after="0" w:line="104" w:lineRule="exact"/>
        <w:rPr>
          <w:sz w:val="20"/>
          <w:szCs w:val="20"/>
          <w:color w:val="auto"/>
        </w:rPr>
      </w:pPr>
    </w:p>
    <w:p>
      <w:pPr>
        <w:ind w:left="420" w:right="180" w:hanging="404"/>
        <w:spacing w:after="0" w:line="259"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10.2 Incremental Term Loan Lender Joinder Agreement and Additional Credit Extension Amendment, dated as of December 20, 2019, by and among</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Ducommun Incorporated, as Borrower, the subsidiaries of the Borrower party thereto, as Guarantors, Bank of America, N.A., as Administrative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Agent, Swingline Lender and an L.C. Issuer, and the lender party thereto. Incorporated by reference to Exhibit 10.1 to Form 8-K filed on December</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20, 2019.</w:t>
        </w:r>
      </w:hyperlink>
    </w:p>
    <w:p>
      <w:pPr>
        <w:spacing w:after="0" w:line="65" w:lineRule="exact"/>
        <w:rPr>
          <w:rFonts w:ascii="Arial" w:cs="Arial" w:eastAsia="Arial" w:hAnsi="Arial"/>
          <w:sz w:val="18"/>
          <w:szCs w:val="18"/>
          <w:u w:val="single" w:color="auto"/>
          <w:color w:val="0000FF"/>
        </w:rPr>
      </w:pPr>
    </w:p>
    <w:p>
      <w:pPr>
        <w:ind w:left="500" w:right="40" w:hanging="485"/>
        <w:spacing w:after="0" w:line="263"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10.3 Credit Agreement, dated as of November 21, 2018, among Ducommun Incorporated, certain of its subsidiaries, Bank of America, N.A., as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administrative agent, swingline lender and issuing bank, and other lenders party thereto. Incorporated by reference to Exhibit 10.1 to Form 8-K filed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on November 26, 2018.</w:t>
        </w:r>
      </w:hyperlink>
    </w:p>
    <w:p>
      <w:pPr>
        <w:spacing w:after="0" w:line="49" w:lineRule="exact"/>
        <w:rPr>
          <w:rFonts w:ascii="Arial" w:cs="Arial" w:eastAsia="Arial" w:hAnsi="Arial"/>
          <w:sz w:val="18"/>
          <w:szCs w:val="18"/>
          <w:u w:val="single" w:color="auto"/>
          <w:color w:val="0000FF"/>
        </w:rPr>
      </w:pPr>
    </w:p>
    <w:p>
      <w:pPr>
        <w:ind w:left="500" w:right="580" w:hanging="485"/>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*10.4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Schedule 14a, filed on March 23, 2018.</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*10.5 2020 Employee Stock Incentive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*10.6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2018.</w:t>
        </w:r>
      </w:hyperlink>
    </w:p>
    <w:p>
      <w:pPr>
        <w:spacing w:after="0" w:line="76" w:lineRule="exact"/>
        <w:rPr>
          <w:sz w:val="20"/>
          <w:szCs w:val="20"/>
          <w:color w:val="auto"/>
        </w:rPr>
      </w:pPr>
    </w:p>
    <w:p>
      <w:pPr>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*10.7 2020 Employee Stock Purchase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*10.8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2003.</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53">
        <w:r>
          <w:rPr>
            <w:rFonts w:ascii="Arial" w:cs="Arial" w:eastAsia="Arial" w:hAnsi="Arial"/>
            <w:sz w:val="17"/>
            <w:szCs w:val="17"/>
            <w:u w:val="single" w:color="auto"/>
            <w:color w:val="0000FF"/>
          </w:rPr>
          <w:t>*10.9 Form of Stock Option Agreement for 2017. Incorporated by reference to Exhibit 10.5 to Form 10-K for the year ended December 31, 2016.</w:t>
        </w:r>
      </w:hyperlink>
    </w:p>
    <w:p>
      <w:pPr>
        <w:spacing w:after="0" w:line="102" w:lineRule="exact"/>
        <w:rPr>
          <w:sz w:val="20"/>
          <w:szCs w:val="20"/>
          <w:color w:val="auto"/>
        </w:rPr>
      </w:pPr>
    </w:p>
    <w:p>
      <w:pPr>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*10.10 Form of Stock Option Agreement for 2018 and after. Incorporated by reference to Exhibit 4.7 to Form S-8, filed on May 10, 2018.</w:t>
        </w:r>
      </w:hyperlink>
    </w:p>
    <w:p>
      <w:pPr>
        <w:spacing w:after="0" w:line="104" w:lineRule="exact"/>
        <w:rPr>
          <w:sz w:val="20"/>
          <w:szCs w:val="20"/>
          <w:color w:val="auto"/>
        </w:rPr>
      </w:pPr>
    </w:p>
    <w:p>
      <w:pPr>
        <w:ind w:left="580" w:right="540" w:hanging="566"/>
        <w:spacing w:after="0" w:line="277"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*10.11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December 31, 2016.</w:t>
        </w:r>
      </w:hyperlink>
    </w:p>
    <w:p>
      <w:pPr>
        <w:spacing w:after="0" w:line="62" w:lineRule="exact"/>
        <w:rPr>
          <w:sz w:val="20"/>
          <w:szCs w:val="20"/>
          <w:color w:val="auto"/>
        </w:rPr>
      </w:pPr>
    </w:p>
    <w:p>
      <w:pPr>
        <w:ind w:left="580" w:right="120" w:hanging="566"/>
        <w:spacing w:after="0" w:line="277"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*10.12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reference to Exhibit 10.11 to Form 10-K for the year ended December 31, 2016.</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*10.13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27, 2020.</w:t>
        </w:r>
      </w:hyperlink>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ind w:left="580" w:right="20" w:hanging="566"/>
        <w:spacing w:after="0" w:line="277"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*10.14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to Exhibit 10.19 to Form 10-Q for the period ended June 27, 2020.</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*10.15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*10.16 Form of Stock Option Agreement for 2020 and after. Incorporated by reference to Exhibit 10.21 to Form 10-Q for the period ended June 27, 2020.</w:t>
        </w:r>
      </w:hyperlink>
    </w:p>
    <w:p>
      <w:pPr>
        <w:spacing w:after="0" w:line="127" w:lineRule="exact"/>
        <w:rPr>
          <w:sz w:val="20"/>
          <w:szCs w:val="20"/>
          <w:color w:val="auto"/>
        </w:rPr>
      </w:pPr>
    </w:p>
    <w:p>
      <w:pPr>
        <w:ind w:left="580" w:right="360" w:hanging="566"/>
        <w:spacing w:after="0" w:line="277"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*10.17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June 27, 2020.</w:t>
        </w:r>
      </w:hyperlink>
    </w:p>
    <w:p>
      <w:pPr>
        <w:spacing w:after="0" w:line="62" w:lineRule="exact"/>
        <w:rPr>
          <w:sz w:val="20"/>
          <w:szCs w:val="20"/>
          <w:color w:val="auto"/>
        </w:rPr>
      </w:pPr>
    </w:p>
    <w:p>
      <w:pPr>
        <w:ind w:left="580" w:right="220" w:hanging="566"/>
        <w:spacing w:after="0" w:line="277"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*10.18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Form 10-K for the year ended December 31, 2009.</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*10.19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*10.20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to Exhibit 99.1 to Form 8-K dated January 27, 2017.</w:t>
        </w:r>
      </w:hyperlink>
    </w:p>
    <w:p>
      <w:pPr>
        <w:spacing w:after="0" w:line="49"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*10.21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person, the address for notice, and the date of the Agreement:</w:t>
        </w:r>
      </w:hyperlink>
    </w:p>
    <w:p>
      <w:pPr>
        <w:spacing w:after="0" w:line="72" w:lineRule="exact"/>
        <w:rPr>
          <w:rFonts w:ascii="Arial" w:cs="Arial" w:eastAsia="Arial" w:hAnsi="Arial"/>
          <w:sz w:val="18"/>
          <w:szCs w:val="18"/>
          <w:u w:val="single" w:color="auto"/>
          <w:color w:val="0000FF"/>
        </w:rPr>
      </w:pPr>
    </w:p>
    <w:tbl>
      <w:tblPr>
        <w:tblLayout w:type="fixed"/>
        <w:tblInd w:w="128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380" w:type="dxa"/>
            <w:vAlign w:val="bottom"/>
          </w:tcPr>
          <w:p>
            <w:pPr>
              <w:spacing w:after="0"/>
              <w:rPr>
                <w:sz w:val="20"/>
                <w:szCs w:val="20"/>
                <w:color w:val="auto"/>
              </w:rPr>
            </w:pPr>
            <w:r>
              <w:rPr>
                <w:rFonts w:ascii="Arial" w:cs="Arial" w:eastAsia="Arial" w:hAnsi="Arial"/>
                <w:sz w:val="18"/>
                <w:szCs w:val="18"/>
                <w:color w:val="auto"/>
                <w:w w:val="89"/>
              </w:rPr>
              <w:t>Date of Agreement</w:t>
            </w:r>
          </w:p>
        </w:tc>
      </w:tr>
      <w:tr>
        <w:trPr>
          <w:trHeight w:val="249"/>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Jerry L. Redondo</w:t>
            </w:r>
          </w:p>
        </w:tc>
        <w:tc>
          <w:tcPr>
            <w:tcW w:w="3100" w:type="dxa"/>
            <w:vAlign w:val="bottom"/>
          </w:tcPr>
          <w:p>
            <w:pPr>
              <w:spacing w:after="0"/>
              <w:rPr>
                <w:sz w:val="21"/>
                <w:szCs w:val="21"/>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January 23, 2017</w:t>
            </w: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Rosalie F. Rogers</w:t>
            </w:r>
          </w:p>
        </w:tc>
        <w:tc>
          <w:tcPr>
            <w:tcW w:w="1380" w:type="dxa"/>
            <w:vAlign w:val="bottom"/>
          </w:tcPr>
          <w:p>
            <w:pPr>
              <w:spacing w:after="0"/>
              <w:rPr>
                <w:sz w:val="20"/>
                <w:szCs w:val="20"/>
                <w:color w:val="auto"/>
              </w:rPr>
            </w:pPr>
            <w:r>
              <w:rPr>
                <w:rFonts w:ascii="Arial" w:cs="Arial" w:eastAsia="Arial" w:hAnsi="Arial"/>
                <w:sz w:val="18"/>
                <w:szCs w:val="18"/>
                <w:color w:val="auto"/>
                <w:w w:val="97"/>
              </w:rPr>
              <w:t>January 23, 2017</w:t>
            </w: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1380" w:type="dxa"/>
            <w:vAlign w:val="bottom"/>
          </w:tcPr>
          <w:p>
            <w:pPr>
              <w:spacing w:after="0"/>
              <w:rPr>
                <w:sz w:val="20"/>
                <w:szCs w:val="20"/>
                <w:color w:val="auto"/>
              </w:rPr>
            </w:pPr>
            <w:r>
              <w:rPr>
                <w:rFonts w:ascii="Arial" w:cs="Arial" w:eastAsia="Arial" w:hAnsi="Arial"/>
                <w:sz w:val="18"/>
                <w:szCs w:val="18"/>
                <w:color w:val="auto"/>
                <w:w w:val="97"/>
              </w:rPr>
              <w:t>January 24, 2020</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1380" w:type="dxa"/>
            <w:vAlign w:val="bottom"/>
          </w:tcPr>
          <w:p>
            <w:pPr>
              <w:spacing w:after="0"/>
              <w:rPr>
                <w:sz w:val="20"/>
                <w:szCs w:val="20"/>
                <w:color w:val="auto"/>
              </w:rPr>
            </w:pPr>
            <w:r>
              <w:rPr>
                <w:rFonts w:ascii="Arial" w:cs="Arial" w:eastAsia="Arial" w:hAnsi="Arial"/>
                <w:sz w:val="18"/>
                <w:szCs w:val="18"/>
                <w:color w:val="auto"/>
                <w:w w:val="97"/>
              </w:rPr>
              <w:t>January 23, 2017</w:t>
            </w:r>
          </w:p>
        </w:tc>
      </w:tr>
    </w:tbl>
    <w:p>
      <w:pPr>
        <w:spacing w:after="0" w:line="175" w:lineRule="exact"/>
        <w:rPr>
          <w:rFonts w:ascii="Arial" w:cs="Arial" w:eastAsia="Arial" w:hAnsi="Arial"/>
          <w:sz w:val="18"/>
          <w:szCs w:val="18"/>
          <w:u w:val="single" w:color="auto"/>
          <w:color w:val="0000FF"/>
        </w:rPr>
      </w:pPr>
    </w:p>
    <w:p>
      <w:pPr>
        <w:ind w:left="580" w:right="440" w:hanging="566"/>
        <w:spacing w:after="0" w:line="277"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*10.22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Exhibit 99.1 to Form 8-K dated January 9, 2017.</w:t>
        </w:r>
      </w:hyperlink>
    </w:p>
    <w:p>
      <w:pPr>
        <w:spacing w:after="0" w:line="35" w:lineRule="exact"/>
        <w:rPr>
          <w:sz w:val="20"/>
          <w:szCs w:val="20"/>
          <w:color w:val="auto"/>
        </w:rPr>
      </w:pPr>
    </w:p>
    <w:p>
      <w:pPr>
        <w:ind w:left="580" w:right="340" w:hanging="566"/>
        <w:spacing w:after="0" w:line="277"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*10.23 Separation and Release Agreement dated June 26, 2019 between Ducommun Incorporated and Douglas L. Groves. Incorporated by reference to</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Exhibit 10.1 to Form 8-K filed on June 28, 2019.</w:t>
        </w:r>
      </w:hyperlink>
    </w:p>
    <w:p>
      <w:pPr>
        <w:spacing w:after="0" w:line="62" w:lineRule="exact"/>
        <w:rPr>
          <w:sz w:val="20"/>
          <w:szCs w:val="20"/>
          <w:color w:val="auto"/>
        </w:rPr>
      </w:pPr>
    </w:p>
    <w:p>
      <w:pPr>
        <w:ind w:left="600" w:right="40" w:hanging="647"/>
        <w:spacing w:after="0" w:line="263" w:lineRule="auto"/>
        <w:tabs>
          <w:tab w:leader="none" w:pos="580" w:val="left"/>
        </w:tabs>
        <w:rPr>
          <w:sz w:val="20"/>
          <w:szCs w:val="20"/>
          <w:color w:val="auto"/>
        </w:rPr>
      </w:pPr>
      <w:r>
        <w:rPr>
          <w:rFonts w:ascii="Arial" w:cs="Arial" w:eastAsia="Arial" w:hAnsi="Arial"/>
          <w:sz w:val="18"/>
          <w:szCs w:val="18"/>
          <w:color w:val="auto"/>
        </w:rPr>
        <w:t>10.24</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Director/Officer</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91"/>
              </w:rPr>
              <w:t>Date of Agreement</w:t>
            </w:r>
          </w:p>
        </w:tc>
      </w:tr>
      <w:tr>
        <w:trPr>
          <w:trHeight w:val="20"/>
        </w:trPr>
        <w:tc>
          <w:tcPr>
            <w:tcW w:w="1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160" w:type="dxa"/>
            <w:vAlign w:val="bottom"/>
          </w:tcPr>
          <w:p>
            <w:pPr>
              <w:spacing w:after="0"/>
              <w:rPr>
                <w:sz w:val="21"/>
                <w:szCs w:val="21"/>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Richard A. Baldridge</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March 19, 2013</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Shirley G. Drazba</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99"/>
              </w:rPr>
              <w:t>October 18, 2018</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Robert C. Ducommun</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87"/>
              </w:rPr>
              <w:t>December 31, 1985</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Dean M. Flatt</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93"/>
              </w:rPr>
              <w:t>November 5, 2009</w:t>
            </w:r>
          </w:p>
        </w:tc>
      </w:tr>
      <w:tr>
        <w:trPr>
          <w:trHeight w:val="229"/>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Jay L. Haberland</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February 2, 2009</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Sheila G. Kramer</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June 1, 2021</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Stephen G. Oswald</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99"/>
              </w:rPr>
              <w:t>January 23, 2017</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Jerry L. Redondo</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October 1, 2015</w:t>
            </w:r>
          </w:p>
        </w:tc>
      </w:tr>
      <w:tr>
        <w:trPr>
          <w:trHeight w:val="230"/>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Rosalie F. Rogers</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July 24, 2008</w:t>
            </w:r>
          </w:p>
        </w:tc>
      </w:tr>
      <w:tr>
        <w:trPr>
          <w:trHeight w:val="229"/>
        </w:trPr>
        <w:tc>
          <w:tcPr>
            <w:tcW w:w="1160" w:type="dxa"/>
            <w:vAlign w:val="bottom"/>
          </w:tcPr>
          <w:p>
            <w:pPr>
              <w:spacing w:after="0"/>
              <w:rPr>
                <w:sz w:val="19"/>
                <w:szCs w:val="19"/>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Rajiv A. Tata</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w w:val="99"/>
              </w:rPr>
              <w:t>January 24, 2020</w:t>
            </w:r>
          </w:p>
        </w:tc>
      </w:tr>
      <w:tr>
        <w:trPr>
          <w:trHeight w:val="230"/>
        </w:trPr>
        <w:tc>
          <w:tcPr>
            <w:tcW w:w="1160" w:type="dxa"/>
            <w:vAlign w:val="bottom"/>
          </w:tcPr>
          <w:p>
            <w:pPr>
              <w:spacing w:after="0"/>
              <w:rPr>
                <w:sz w:val="20"/>
                <w:szCs w:val="20"/>
                <w:color w:val="auto"/>
              </w:rPr>
            </w:pPr>
          </w:p>
        </w:tc>
        <w:tc>
          <w:tcPr>
            <w:tcW w:w="3360" w:type="dxa"/>
            <w:vAlign w:val="bottom"/>
            <w:gridSpan w:val="4"/>
          </w:tcPr>
          <w:p>
            <w:pPr>
              <w:spacing w:after="0"/>
              <w:rPr>
                <w:sz w:val="20"/>
                <w:szCs w:val="20"/>
                <w:color w:val="auto"/>
              </w:rPr>
            </w:pPr>
            <w:r>
              <w:rPr>
                <w:rFonts w:ascii="Arial" w:cs="Arial" w:eastAsia="Arial" w:hAnsi="Arial"/>
                <w:sz w:val="18"/>
                <w:szCs w:val="18"/>
                <w:color w:val="auto"/>
              </w:rPr>
              <w:t>Christopher D. Wampler</w:t>
            </w:r>
          </w:p>
        </w:tc>
        <w:tc>
          <w:tcPr>
            <w:tcW w:w="2380" w:type="dxa"/>
            <w:vAlign w:val="bottom"/>
            <w:gridSpan w:val="3"/>
          </w:tcPr>
          <w:p>
            <w:pPr>
              <w:ind w:left="980"/>
              <w:spacing w:after="0"/>
              <w:rPr>
                <w:sz w:val="20"/>
                <w:szCs w:val="20"/>
                <w:color w:val="auto"/>
              </w:rPr>
            </w:pPr>
            <w:r>
              <w:rPr>
                <w:rFonts w:ascii="Arial" w:cs="Arial" w:eastAsia="Arial" w:hAnsi="Arial"/>
                <w:sz w:val="18"/>
                <w:szCs w:val="18"/>
                <w:color w:val="auto"/>
              </w:rPr>
              <w:t>January 1, 2016</w:t>
            </w:r>
          </w:p>
        </w:tc>
      </w:tr>
      <w:tr>
        <w:trPr>
          <w:trHeight w:val="378"/>
        </w:trPr>
        <w:tc>
          <w:tcPr>
            <w:tcW w:w="4520" w:type="dxa"/>
            <w:vAlign w:val="bottom"/>
            <w:gridSpan w:val="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Certification of Principal Executive Officer.</w:t>
              </w:r>
            </w:hyperlink>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34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56">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Certification of Principal Financial Officer.</w:t>
              </w:r>
            </w:hyperlink>
          </w:p>
        </w:tc>
        <w:tc>
          <w:tcPr>
            <w:tcW w:w="4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4" w:lineRule="exact"/>
        <w:rPr>
          <w:sz w:val="20"/>
          <w:szCs w:val="20"/>
          <w:color w:val="auto"/>
        </w:rPr>
      </w:pPr>
    </w:p>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32 Certification Pursuant to 18 U.S.C. Section 1350, as Adopted Pursuant to Section 906 of the Sarbanes-Oxley Act of 2002.</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00" w:type="dxa"/>
            <w:vAlign w:val="bottom"/>
          </w:tcPr>
          <w:p>
            <w:pPr>
              <w:spacing w:after="0"/>
              <w:rPr>
                <w:sz w:val="18"/>
                <w:szCs w:val="18"/>
                <w:color w:val="auto"/>
              </w:rPr>
            </w:pPr>
          </w:p>
        </w:tc>
      </w:tr>
      <w:tr>
        <w:trPr>
          <w:trHeight w:val="194"/>
        </w:trPr>
        <w:tc>
          <w:tcPr>
            <w:tcW w:w="460" w:type="dxa"/>
            <w:vAlign w:val="bottom"/>
          </w:tcPr>
          <w:p>
            <w:pPr>
              <w:spacing w:after="0" w:line="194" w:lineRule="exact"/>
              <w:rPr>
                <w:sz w:val="20"/>
                <w:szCs w:val="20"/>
                <w:color w:val="auto"/>
              </w:rPr>
            </w:pPr>
            <w:r>
              <w:rPr>
                <w:rFonts w:ascii="Arial" w:cs="Arial" w:eastAsia="Arial" w:hAnsi="Arial"/>
                <w:sz w:val="18"/>
                <w:szCs w:val="18"/>
                <w:b w:val="1"/>
                <w:bCs w:val="1"/>
                <w:color w:val="auto"/>
              </w:rPr>
              <w:t>No.</w:t>
            </w:r>
          </w:p>
        </w:tc>
        <w:tc>
          <w:tcPr>
            <w:tcW w:w="180" w:type="dxa"/>
            <w:vAlign w:val="bottom"/>
          </w:tcPr>
          <w:p>
            <w:pPr>
              <w:spacing w:after="0"/>
              <w:rPr>
                <w:sz w:val="16"/>
                <w:szCs w:val="16"/>
                <w:color w:val="auto"/>
              </w:rPr>
            </w:pPr>
          </w:p>
        </w:tc>
        <w:tc>
          <w:tcPr>
            <w:tcW w:w="101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30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101.INS</w:t>
            </w:r>
          </w:p>
        </w:tc>
        <w:tc>
          <w:tcPr>
            <w:tcW w:w="100" w:type="dxa"/>
            <w:vAlign w:val="bottom"/>
          </w:tcPr>
          <w:p>
            <w:pPr>
              <w:spacing w:after="0"/>
              <w:rPr>
                <w:sz w:val="24"/>
                <w:szCs w:val="24"/>
                <w:color w:val="auto"/>
              </w:rPr>
            </w:pPr>
          </w:p>
        </w:tc>
        <w:tc>
          <w:tcPr>
            <w:tcW w:w="10080" w:type="dxa"/>
            <w:vAlign w:val="bottom"/>
            <w:gridSpan w:val="2"/>
          </w:tcPr>
          <w:p>
            <w:pPr>
              <w:ind w:left="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2"/>
          </w:tcPr>
          <w:p>
            <w:pPr>
              <w:ind w:left="560"/>
              <w:spacing w:after="0"/>
              <w:rPr>
                <w:sz w:val="20"/>
                <w:szCs w:val="20"/>
                <w:color w:val="auto"/>
              </w:rPr>
            </w:pPr>
            <w:r>
              <w:rPr>
                <w:rFonts w:ascii="Arial" w:cs="Arial" w:eastAsia="Arial" w:hAnsi="Arial"/>
                <w:sz w:val="18"/>
                <w:szCs w:val="18"/>
                <w:color w:val="auto"/>
              </w:rPr>
              <w:t>within the Inline XBRL</w:t>
            </w:r>
          </w:p>
        </w:tc>
      </w:tr>
      <w:tr>
        <w:trPr>
          <w:trHeight w:val="311"/>
        </w:trPr>
        <w:tc>
          <w:tcPr>
            <w:tcW w:w="740" w:type="dxa"/>
            <w:vAlign w:val="bottom"/>
            <w:gridSpan w:val="3"/>
          </w:tcPr>
          <w:p>
            <w:pPr>
              <w:spacing w:after="0"/>
              <w:rPr>
                <w:sz w:val="20"/>
                <w:szCs w:val="20"/>
                <w:color w:val="auto"/>
              </w:rPr>
            </w:pPr>
            <w:r>
              <w:rPr>
                <w:rFonts w:ascii="Arial" w:cs="Arial" w:eastAsia="Arial" w:hAnsi="Arial"/>
                <w:sz w:val="18"/>
                <w:szCs w:val="18"/>
                <w:color w:val="auto"/>
                <w:w w:val="98"/>
              </w:rPr>
              <w:t>101.SCH</w:t>
            </w:r>
          </w:p>
        </w:tc>
        <w:tc>
          <w:tcPr>
            <w:tcW w:w="1008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310"/>
        </w:trPr>
        <w:tc>
          <w:tcPr>
            <w:tcW w:w="7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Calculation Linkbase</w:t>
            </w:r>
          </w:p>
        </w:tc>
      </w:tr>
      <w:tr>
        <w:trPr>
          <w:trHeight w:val="297"/>
        </w:trPr>
        <w:tc>
          <w:tcPr>
            <w:tcW w:w="7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311"/>
        </w:trPr>
        <w:tc>
          <w:tcPr>
            <w:tcW w:w="7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311"/>
        </w:trPr>
        <w:tc>
          <w:tcPr>
            <w:tcW w:w="740" w:type="dxa"/>
            <w:vAlign w:val="bottom"/>
            <w:gridSpan w:val="3"/>
          </w:tcPr>
          <w:p>
            <w:pPr>
              <w:spacing w:after="0"/>
              <w:rPr>
                <w:sz w:val="20"/>
                <w:szCs w:val="20"/>
                <w:color w:val="auto"/>
              </w:rPr>
            </w:pPr>
            <w:r>
              <w:rPr>
                <w:rFonts w:ascii="Arial" w:cs="Arial" w:eastAsia="Arial" w:hAnsi="Arial"/>
                <w:sz w:val="18"/>
                <w:szCs w:val="18"/>
                <w:color w:val="auto"/>
                <w:w w:val="99"/>
              </w:rPr>
              <w:t>101.PRE</w:t>
            </w:r>
          </w:p>
        </w:tc>
        <w:tc>
          <w:tcPr>
            <w:tcW w:w="10080" w:type="dxa"/>
            <w:vAlign w:val="bottom"/>
            <w:gridSpan w:val="2"/>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480" w:firstLine="445"/>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November 2, 2021</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29"/>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November 2, 2021</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Christopher D. Wampler</w:t>
            </w:r>
          </w:p>
        </w:tc>
      </w:tr>
      <w:tr>
        <w:trPr>
          <w:trHeight w:val="230"/>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w w:val="99"/>
              </w:rPr>
              <w:t>Vice President, Chief Financial Officer, Controller and Treasurer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21"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 TO AMENDED AND RESTATED CREDIT AGREEMENT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SECOND AMENDMENT TO AMENDED AND RESTATED CREDIT AGREEMENT dated as of March 20, 2020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among Ducommun Incorporated,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Guarantors, the Lenders party hereto, and Bank of America, N.A., as Administrative Agent. All capitalized terms used herein and not otherwise defined herein shall have the meanings given to such terms in the Credit Agreement (as defined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Guarantors, the Lenders, and Bank of America, N.A., as Administrative Agent, Swing Line Lender and an L/C Issuer, have entered into that certain Amended and Restated Credit Agreement dated as of November 21, 2018 (as amended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has requested that the Lenders amend the Credit Agreement as set forth below.</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hereby amended as follows:</w:t>
      </w:r>
    </w:p>
    <w:p>
      <w:pPr>
        <w:spacing w:after="0" w:line="215" w:lineRule="exact"/>
        <w:rPr>
          <w:rFonts w:ascii="Arial" w:cs="Arial" w:eastAsia="Arial" w:hAnsi="Arial"/>
          <w:sz w:val="20"/>
          <w:szCs w:val="20"/>
          <w:color w:val="auto"/>
        </w:rPr>
      </w:pPr>
    </w:p>
    <w:p>
      <w:pPr>
        <w:ind w:left="660" w:firstLine="644"/>
        <w:spacing w:after="0" w:line="260" w:lineRule="auto"/>
        <w:tabs>
          <w:tab w:leader="none" w:pos="1734" w:val="left"/>
        </w:tabs>
        <w:numPr>
          <w:ilvl w:val="1"/>
          <w:numId w:val="16"/>
        </w:numPr>
        <w:rPr>
          <w:rFonts w:ascii="Arial" w:cs="Arial" w:eastAsia="Arial" w:hAnsi="Arial"/>
          <w:sz w:val="20"/>
          <w:szCs w:val="20"/>
          <w:color w:val="auto"/>
        </w:rPr>
      </w:pPr>
      <w:r>
        <w:rPr>
          <w:rFonts w:ascii="Arial" w:cs="Arial" w:eastAsia="Arial" w:hAnsi="Arial"/>
          <w:sz w:val="20"/>
          <w:szCs w:val="20"/>
          <w:color w:val="auto"/>
        </w:rPr>
        <w:t>The reference to “MLPFS” in the definition of “Arrangers” in Section 1.01 of the Credit Agreement is hereby amended to be a reference to “BofA Securities”.</w:t>
      </w:r>
    </w:p>
    <w:p>
      <w:pPr>
        <w:spacing w:after="0" w:line="176" w:lineRule="exact"/>
        <w:rPr>
          <w:rFonts w:ascii="Arial" w:cs="Arial" w:eastAsia="Arial" w:hAnsi="Arial"/>
          <w:sz w:val="20"/>
          <w:szCs w:val="20"/>
          <w:color w:val="auto"/>
        </w:rPr>
      </w:pPr>
    </w:p>
    <w:p>
      <w:pPr>
        <w:ind w:left="1720" w:hanging="416"/>
        <w:spacing w:after="0"/>
        <w:tabs>
          <w:tab w:leader="none" w:pos="17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definition of “Bail-In Action” in Section 1.01 of the Credit Agreement is hereby amended to read as follows:</w:t>
      </w:r>
    </w:p>
    <w:p>
      <w:pPr>
        <w:spacing w:after="0" w:line="227" w:lineRule="exact"/>
        <w:rPr>
          <w:sz w:val="20"/>
          <w:szCs w:val="20"/>
          <w:color w:val="auto"/>
        </w:rPr>
      </w:pPr>
    </w:p>
    <w:p>
      <w:pPr>
        <w:jc w:val="both"/>
        <w:ind w:left="130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The definition of “Bail-In Legislation” in Section 1.01 of the Credit Agreement is hereby amended to read as follows:</w:t>
      </w:r>
    </w:p>
    <w:p>
      <w:pPr>
        <w:spacing w:after="0" w:line="216" w:lineRule="exact"/>
        <w:rPr>
          <w:sz w:val="20"/>
          <w:szCs w:val="20"/>
          <w:color w:val="auto"/>
        </w:rPr>
      </w:pPr>
    </w:p>
    <w:p>
      <w:pPr>
        <w:jc w:val="both"/>
        <w:ind w:left="130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The definition of “MLPFS” in Section 1.01 of the Credit Agreement is hereby amended to read as follows:</w:t>
      </w:r>
    </w:p>
    <w:p>
      <w:pPr>
        <w:sectPr>
          <w:pgSz w:w="11900" w:h="16838" w:orient="portrait"/>
          <w:cols w:equalWidth="0" w:num="1">
            <w:col w:w="11240"/>
          </w:cols>
          <w:pgMar w:left="320" w:top="132" w:right="339" w:bottom="1440" w:gutter="0" w:footer="0" w:header="0"/>
        </w:sectPr>
      </w:pPr>
    </w:p>
    <w:bookmarkStart w:id="36" w:name="page37"/>
    <w:bookmarkEnd w:id="36"/>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MLPFS</w:t>
      </w:r>
      <w:r>
        <w:rPr>
          <w:rFonts w:ascii="Arial" w:cs="Arial" w:eastAsia="Arial" w:hAnsi="Arial"/>
          <w:sz w:val="20"/>
          <w:szCs w:val="20"/>
          <w:color w:val="auto"/>
        </w:rPr>
        <w:t>” means Merrill Lynch, Pierce, Fenner &amp; Smith Incorporated.</w:t>
      </w:r>
    </w:p>
    <w:p>
      <w:pPr>
        <w:spacing w:after="0" w:line="216" w:lineRule="exact"/>
        <w:rPr>
          <w:sz w:val="20"/>
          <w:szCs w:val="20"/>
          <w:color w:val="auto"/>
        </w:rPr>
      </w:pPr>
    </w:p>
    <w:p>
      <w:pPr>
        <w:ind w:right="20" w:firstLine="644"/>
        <w:spacing w:after="0" w:line="260" w:lineRule="auto"/>
        <w:tabs>
          <w:tab w:leader="none" w:pos="1075"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definition of “Write-Down and Conversion Powers” in Section 1.01 of the Credit Agreement is hereby amended to read as follows:</w:t>
      </w:r>
    </w:p>
    <w:p>
      <w:pPr>
        <w:spacing w:after="0" w:line="177"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 w:lineRule="exact"/>
        <w:rPr>
          <w:sz w:val="20"/>
          <w:szCs w:val="20"/>
          <w:color w:val="auto"/>
        </w:rPr>
      </w:pPr>
    </w:p>
    <w:p>
      <w:pPr>
        <w:jc w:val="both"/>
        <w:ind w:left="640" w:firstLine="4"/>
        <w:spacing w:after="0"/>
        <w:tabs>
          <w:tab w:leader="none" w:pos="9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7" w:lineRule="exact"/>
        <w:rPr>
          <w:sz w:val="20"/>
          <w:szCs w:val="20"/>
          <w:color w:val="auto"/>
        </w:rPr>
      </w:pPr>
    </w:p>
    <w:p>
      <w:pPr>
        <w:ind w:left="1080" w:hanging="43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defined terms are hereby added to Section 1.01 of the Credit Agreement in the appropriate alphabetical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27"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Securities</w:t>
      </w:r>
      <w:r>
        <w:rPr>
          <w:rFonts w:ascii="Arial" w:cs="Arial" w:eastAsia="Arial" w:hAnsi="Arial"/>
          <w:sz w:val="20"/>
          <w:szCs w:val="20"/>
          <w:color w:val="auto"/>
        </w:rPr>
        <w:t>” means BofA Securities, Inc.</w:t>
      </w:r>
    </w:p>
    <w:p>
      <w:pPr>
        <w:spacing w:after="0" w:line="216"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216"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left="64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216"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19" w:right="339" w:bottom="1440" w:gutter="0" w:footer="0" w:header="0"/>
        </w:sectPr>
      </w:pPr>
    </w:p>
    <w:bookmarkStart w:id="37" w:name="page38"/>
    <w:bookmarkEnd w:id="37"/>
    <w:p>
      <w:pPr>
        <w:jc w:val="both"/>
        <w:ind w:left="64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left="64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11.23</w:t>
      </w:r>
      <w:r>
        <w:rPr>
          <w:rFonts w:ascii="Arial" w:cs="Arial" w:eastAsia="Arial" w:hAnsi="Arial"/>
          <w:sz w:val="20"/>
          <w:szCs w:val="20"/>
          <w:color w:val="auto"/>
        </w:rPr>
        <w:t>.</w:t>
      </w:r>
    </w:p>
    <w:p>
      <w:pPr>
        <w:spacing w:after="0" w:line="216" w:lineRule="exact"/>
        <w:rPr>
          <w:sz w:val="20"/>
          <w:szCs w:val="20"/>
          <w:color w:val="auto"/>
        </w:rPr>
      </w:pPr>
    </w:p>
    <w:p>
      <w:pPr>
        <w:jc w:val="both"/>
        <w:ind w:firstLine="644"/>
        <w:spacing w:after="0" w:line="250" w:lineRule="auto"/>
        <w:tabs>
          <w:tab w:leader="none" w:pos="120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reference to “EEA Financial Institutions” in the heading of Section 5.25 of the Credit Agreement is hereby replaced with a reference to “Affected Financial Institutions”. The reference to “EEA Financial Institution” in Section 5.25 of the Credit Agreement is hereby replaced with a reference to “Affected Financial Institution”.</w:t>
      </w:r>
    </w:p>
    <w:p>
      <w:pPr>
        <w:spacing w:after="0" w:line="185" w:lineRule="exact"/>
        <w:rPr>
          <w:rFonts w:ascii="Arial" w:cs="Arial" w:eastAsia="Arial" w:hAnsi="Arial"/>
          <w:sz w:val="20"/>
          <w:szCs w:val="20"/>
          <w:color w:val="auto"/>
        </w:rPr>
      </w:pPr>
    </w:p>
    <w:p>
      <w:pPr>
        <w:ind w:firstLine="644"/>
        <w:spacing w:after="0" w:line="260" w:lineRule="auto"/>
        <w:tabs>
          <w:tab w:leader="none" w:pos="1077" w:val="left"/>
        </w:tabs>
        <w:numPr>
          <w:ilvl w:val="0"/>
          <w:numId w:val="20"/>
        </w:numPr>
        <w:rPr>
          <w:rFonts w:ascii="Arial" w:cs="Arial" w:eastAsia="Arial" w:hAnsi="Arial"/>
          <w:sz w:val="20"/>
          <w:szCs w:val="20"/>
          <w:color w:val="auto"/>
        </w:rPr>
      </w:pPr>
      <w:r>
        <w:rPr>
          <w:rFonts w:ascii="Arial" w:cs="Arial" w:eastAsia="Arial" w:hAnsi="Arial"/>
          <w:sz w:val="20"/>
          <w:szCs w:val="20"/>
          <w:color w:val="auto"/>
        </w:rPr>
        <w:t>Article V of the Credit Agreement is hereby amended to add a new Section 5.26 immediately following Section 5.25 to read as follows:</w:t>
      </w:r>
    </w:p>
    <w:p>
      <w:pPr>
        <w:spacing w:after="0" w:line="17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b w:val="1"/>
          <w:bCs w:val="1"/>
          <w:color w:val="auto"/>
        </w:rPr>
        <w:t>5.26</w:t>
      </w:r>
      <w:r>
        <w:rPr>
          <w:sz w:val="20"/>
          <w:szCs w:val="20"/>
          <w:color w:val="auto"/>
        </w:rPr>
        <w:tab/>
      </w:r>
      <w:r>
        <w:rPr>
          <w:rFonts w:ascii="Arial" w:cs="Arial" w:eastAsia="Arial" w:hAnsi="Arial"/>
          <w:sz w:val="16"/>
          <w:szCs w:val="16"/>
          <w:b w:val="1"/>
          <w:bCs w:val="1"/>
          <w:color w:val="auto"/>
        </w:rPr>
        <w:t>Covered Entities</w:t>
      </w:r>
      <w:r>
        <w:rPr>
          <w:rFonts w:ascii="Arial" w:cs="Arial" w:eastAsia="Arial" w:hAnsi="Arial"/>
          <w:sz w:val="16"/>
          <w:szCs w:val="16"/>
          <w:color w:val="auto"/>
        </w:rPr>
        <w:t>.</w:t>
      </w:r>
    </w:p>
    <w:p>
      <w:pPr>
        <w:spacing w:after="0" w:line="22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No Loan Party is a Covered Entity.</w:t>
      </w:r>
    </w:p>
    <w:p>
      <w:pPr>
        <w:spacing w:after="0" w:line="216" w:lineRule="exact"/>
        <w:rPr>
          <w:sz w:val="20"/>
          <w:szCs w:val="20"/>
          <w:color w:val="auto"/>
        </w:rPr>
      </w:pPr>
    </w:p>
    <w:p>
      <w:pPr>
        <w:ind w:left="1060" w:hanging="4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reference to “MLPFS” in Section 11.04(a) of the Credit Agreement is hereby amended to be a reference to “BofA</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Securities”.</w:t>
      </w:r>
    </w:p>
    <w:p>
      <w:pPr>
        <w:spacing w:after="0" w:line="199" w:lineRule="exact"/>
        <w:rPr>
          <w:rFonts w:ascii="Arial" w:cs="Arial" w:eastAsia="Arial" w:hAnsi="Arial"/>
          <w:sz w:val="18"/>
          <w:szCs w:val="18"/>
          <w:color w:val="auto"/>
        </w:rPr>
      </w:pPr>
    </w:p>
    <w:p>
      <w:pPr>
        <w:ind w:left="1080" w:hanging="43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reference to “MLPFS” in Section 11.17 of the Credit Agreement is hereby amended to be a reference to “BofA</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Securities”.</w:t>
      </w:r>
    </w:p>
    <w:p>
      <w:pPr>
        <w:spacing w:after="0" w:line="199" w:lineRule="exact"/>
        <w:rPr>
          <w:rFonts w:ascii="Arial" w:cs="Arial" w:eastAsia="Arial" w:hAnsi="Arial"/>
          <w:sz w:val="18"/>
          <w:szCs w:val="18"/>
          <w:color w:val="auto"/>
        </w:rPr>
      </w:pPr>
    </w:p>
    <w:p>
      <w:pPr>
        <w:jc w:val="both"/>
        <w:ind w:firstLine="644"/>
        <w:spacing w:after="0" w:line="282" w:lineRule="auto"/>
        <w:tabs>
          <w:tab w:leader="none" w:pos="1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reference to “EEA Financial Institutions” in the heading of Section 11.21 of the Credit Agreement is hereby replaced with a reference to “Affected Financial Institutions”. Each reference to “EEA Financial Institution” in Section 11.21 of the Credit Agreement is hereby replaced with a reference to “Affected Financial Institution”. Each reference to “an EEA Resolution Authority” in Section 11.21 of the Credit Agreement is hereby replaced with a reference to “the applicable Resolution Authority”.</w:t>
      </w:r>
    </w:p>
    <w:p>
      <w:pPr>
        <w:spacing w:after="0" w:line="161" w:lineRule="exact"/>
        <w:rPr>
          <w:rFonts w:ascii="Arial" w:cs="Arial" w:eastAsia="Arial" w:hAnsi="Arial"/>
          <w:sz w:val="18"/>
          <w:szCs w:val="18"/>
          <w:color w:val="auto"/>
        </w:rPr>
      </w:pPr>
    </w:p>
    <w:p>
      <w:pPr>
        <w:ind w:firstLine="644"/>
        <w:spacing w:after="0" w:line="260" w:lineRule="auto"/>
        <w:tabs>
          <w:tab w:leader="none" w:pos="1034" w:val="left"/>
        </w:tabs>
        <w:numPr>
          <w:ilvl w:val="0"/>
          <w:numId w:val="21"/>
        </w:numPr>
        <w:rPr>
          <w:rFonts w:ascii="Arial" w:cs="Arial" w:eastAsia="Arial" w:hAnsi="Arial"/>
          <w:sz w:val="20"/>
          <w:szCs w:val="20"/>
          <w:color w:val="auto"/>
        </w:rPr>
      </w:pPr>
      <w:r>
        <w:rPr>
          <w:rFonts w:ascii="Arial" w:cs="Arial" w:eastAsia="Arial" w:hAnsi="Arial"/>
          <w:sz w:val="20"/>
          <w:szCs w:val="20"/>
          <w:color w:val="auto"/>
        </w:rPr>
        <w:t>Article XI of the Credit Agreement is hereby amended to add a new Section 11.23 immediately following Section 11.22 to read as follows:</w:t>
      </w:r>
    </w:p>
    <w:p>
      <w:pPr>
        <w:spacing w:after="0" w:line="17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6"/>
          <w:szCs w:val="16"/>
          <w:b w:val="1"/>
          <w:bCs w:val="1"/>
          <w:color w:val="auto"/>
        </w:rPr>
        <w:t>Acknowledgement Regarding Any Supported QFCs</w:t>
      </w:r>
      <w:r>
        <w:rPr>
          <w:rFonts w:ascii="Arial" w:cs="Arial" w:eastAsia="Arial" w:hAnsi="Arial"/>
          <w:sz w:val="16"/>
          <w:szCs w:val="16"/>
          <w:color w:val="auto"/>
        </w:rPr>
        <w:t>.</w:t>
      </w:r>
    </w:p>
    <w:p>
      <w:pPr>
        <w:spacing w:after="0" w:line="222"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19"/>
          <w:szCs w:val="19"/>
          <w:color w:val="auto"/>
        </w:rPr>
        <w:t>To the extent that the Loan Documents provide support, through a guarantee or otherwise, for any Swap Contract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1419" w:right="339" w:bottom="1440" w:gutter="0" w:footer="0" w:header="0"/>
        </w:sectPr>
      </w:pPr>
    </w:p>
    <w:bookmarkStart w:id="38" w:name="page39"/>
    <w:bookmarkEnd w:id="38"/>
    <w:p>
      <w:pPr>
        <w:jc w:val="both"/>
        <w:ind w:left="1960"/>
        <w:spacing w:after="0" w:line="305" w:lineRule="auto"/>
        <w:rPr>
          <w:sz w:val="20"/>
          <w:szCs w:val="20"/>
          <w:color w:val="auto"/>
        </w:rPr>
      </w:pPr>
      <w:r>
        <w:rPr>
          <w:rFonts w:ascii="Arial" w:cs="Arial" w:eastAsia="Arial" w:hAnsi="Arial"/>
          <w:sz w:val="16"/>
          <w:szCs w:val="16"/>
          <w:color w:val="auto"/>
        </w:rPr>
        <w:t>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76" w:lineRule="exact"/>
        <w:rPr>
          <w:sz w:val="20"/>
          <w:szCs w:val="20"/>
          <w:color w:val="auto"/>
        </w:rPr>
      </w:pPr>
    </w:p>
    <w:p>
      <w:pPr>
        <w:ind w:firstLine="656"/>
        <w:spacing w:after="0" w:line="260" w:lineRule="auto"/>
        <w:tabs>
          <w:tab w:leader="none" w:pos="1129"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Condition Precedent</w:t>
      </w:r>
      <w:r>
        <w:rPr>
          <w:rFonts w:ascii="Arial" w:cs="Arial" w:eastAsia="Arial" w:hAnsi="Arial"/>
          <w:sz w:val="20"/>
          <w:szCs w:val="20"/>
          <w:color w:val="auto"/>
        </w:rPr>
        <w:t>. This Agreement shall be effective upon receipt by the Administrative Agent of counterparts of this Agreement duly executed by the Borrower, the Guarantors, the Required Lenders, and the Administrative Agent.</w:t>
      </w:r>
    </w:p>
    <w:p>
      <w:pPr>
        <w:spacing w:after="0" w:line="176" w:lineRule="exact"/>
        <w:rPr>
          <w:rFonts w:ascii="Arial" w:cs="Arial" w:eastAsia="Arial" w:hAnsi="Arial"/>
          <w:sz w:val="20"/>
          <w:szCs w:val="20"/>
          <w:color w:val="auto"/>
        </w:rPr>
      </w:pPr>
    </w:p>
    <w:p>
      <w:pPr>
        <w:ind w:left="1000" w:hanging="344"/>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right="20" w:firstLine="644"/>
        <w:spacing w:after="0" w:line="250" w:lineRule="auto"/>
        <w:tabs>
          <w:tab w:leader="none" w:pos="1789"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Credit Agreement, and the obligations of the Loan Parties thereunder and under the other Loan Documents, are hereby ratified and confirmed and shall remain in full force and effect according to their terms. This Agreement shall constitute a Loan Document.</w:t>
      </w:r>
    </w:p>
    <w:p>
      <w:pPr>
        <w:spacing w:after="0" w:line="185" w:lineRule="exact"/>
        <w:rPr>
          <w:rFonts w:ascii="Arial" w:cs="Arial" w:eastAsia="Arial" w:hAnsi="Arial"/>
          <w:sz w:val="20"/>
          <w:szCs w:val="20"/>
          <w:color w:val="auto"/>
        </w:rPr>
      </w:pPr>
    </w:p>
    <w:p>
      <w:pPr>
        <w:jc w:val="both"/>
        <w:ind w:left="660" w:firstLine="644"/>
        <w:spacing w:after="0" w:line="269" w:lineRule="auto"/>
        <w:tabs>
          <w:tab w:leader="none" w:pos="1737" w:val="left"/>
        </w:tabs>
        <w:numPr>
          <w:ilvl w:val="1"/>
          <w:numId w:val="22"/>
        </w:numPr>
        <w:rPr>
          <w:rFonts w:ascii="Arial" w:cs="Arial" w:eastAsia="Arial" w:hAnsi="Arial"/>
          <w:sz w:val="19"/>
          <w:szCs w:val="19"/>
          <w:color w:val="auto"/>
        </w:rPr>
      </w:pPr>
      <w:r>
        <w:rPr>
          <w:rFonts w:ascii="Arial" w:cs="Arial" w:eastAsia="Arial" w:hAnsi="Arial"/>
          <w:sz w:val="19"/>
          <w:szCs w:val="19"/>
          <w:color w:val="auto"/>
        </w:rPr>
        <w:t>Each Guarantor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Credit Agreement or the other Loan Documents.</w:t>
      </w:r>
    </w:p>
    <w:p>
      <w:pPr>
        <w:spacing w:after="0" w:line="169" w:lineRule="exact"/>
        <w:rPr>
          <w:rFonts w:ascii="Arial" w:cs="Arial" w:eastAsia="Arial" w:hAnsi="Arial"/>
          <w:sz w:val="19"/>
          <w:szCs w:val="19"/>
          <w:color w:val="auto"/>
        </w:rPr>
      </w:pPr>
    </w:p>
    <w:p>
      <w:pPr>
        <w:ind w:left="1720" w:hanging="416"/>
        <w:spacing w:after="0"/>
        <w:tabs>
          <w:tab w:leader="none" w:pos="172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Borrower and the Guarantors hereby represent and warrant as follows:</w:t>
      </w:r>
    </w:p>
    <w:p>
      <w:pPr>
        <w:spacing w:after="0" w:line="215" w:lineRule="exact"/>
        <w:rPr>
          <w:rFonts w:ascii="Arial" w:cs="Arial" w:eastAsia="Arial" w:hAnsi="Arial"/>
          <w:sz w:val="20"/>
          <w:szCs w:val="20"/>
          <w:color w:val="auto"/>
        </w:rPr>
      </w:pPr>
    </w:p>
    <w:p>
      <w:pPr>
        <w:ind w:left="1300" w:right="20" w:firstLine="652"/>
        <w:spacing w:after="0" w:line="260" w:lineRule="auto"/>
        <w:tabs>
          <w:tab w:leader="none" w:pos="2415" w:val="left"/>
        </w:tabs>
        <w:numPr>
          <w:ilvl w:val="2"/>
          <w:numId w:val="22"/>
        </w:numPr>
        <w:rPr>
          <w:rFonts w:ascii="Arial" w:cs="Arial" w:eastAsia="Arial" w:hAnsi="Arial"/>
          <w:sz w:val="20"/>
          <w:szCs w:val="20"/>
          <w:color w:val="auto"/>
        </w:rPr>
      </w:pPr>
      <w:r>
        <w:rPr>
          <w:rFonts w:ascii="Arial" w:cs="Arial" w:eastAsia="Arial" w:hAnsi="Arial"/>
          <w:sz w:val="20"/>
          <w:szCs w:val="20"/>
          <w:color w:val="auto"/>
        </w:rPr>
        <w:t>Each Loan Party has taken all necessary corporate or other organizational action to authorize the execution, delivery and performance of this Agreement.</w:t>
      </w:r>
    </w:p>
    <w:p>
      <w:pPr>
        <w:spacing w:after="0" w:line="176" w:lineRule="exact"/>
        <w:rPr>
          <w:rFonts w:ascii="Arial" w:cs="Arial" w:eastAsia="Arial" w:hAnsi="Arial"/>
          <w:sz w:val="20"/>
          <w:szCs w:val="20"/>
          <w:color w:val="auto"/>
        </w:rPr>
      </w:pPr>
    </w:p>
    <w:p>
      <w:pPr>
        <w:jc w:val="both"/>
        <w:ind w:left="1300" w:firstLine="652"/>
        <w:spacing w:after="0" w:line="250" w:lineRule="auto"/>
        <w:tabs>
          <w:tab w:leader="none" w:pos="2448" w:val="left"/>
        </w:tabs>
        <w:numPr>
          <w:ilvl w:val="2"/>
          <w:numId w:val="22"/>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Loan Party and constitutes a legal, valid and binding obligation of each Loan Party, enforceable against each such Loan Party in accordance with its terms, subject to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39" w:name="page40"/>
    <w:bookmarkEnd w:id="39"/>
    <w:p>
      <w:pPr>
        <w:ind w:left="180"/>
        <w:spacing w:after="0" w:line="260" w:lineRule="auto"/>
        <w:rPr>
          <w:sz w:val="20"/>
          <w:szCs w:val="20"/>
          <w:color w:val="auto"/>
        </w:rPr>
      </w:pPr>
      <w:r>
        <w:rPr>
          <w:rFonts w:ascii="Arial" w:cs="Arial" w:eastAsia="Arial" w:hAnsi="Arial"/>
          <w:sz w:val="20"/>
          <w:szCs w:val="20"/>
          <w:color w:val="auto"/>
        </w:rPr>
        <w:t>bankruptcy, insolvency, reorganization, moratorium or other laws affecting creditors’ rights generally and subject to general principles of equity, regardless of whether considered in a proceeding in equity or at law.</w:t>
      </w:r>
    </w:p>
    <w:p>
      <w:pPr>
        <w:spacing w:after="0" w:line="177" w:lineRule="exact"/>
        <w:rPr>
          <w:sz w:val="20"/>
          <w:szCs w:val="20"/>
          <w:color w:val="auto"/>
        </w:rPr>
      </w:pPr>
    </w:p>
    <w:p>
      <w:pPr>
        <w:jc w:val="both"/>
        <w:ind w:left="180" w:firstLine="652"/>
        <w:spacing w:after="0" w:line="274" w:lineRule="auto"/>
        <w:tabs>
          <w:tab w:leader="none" w:pos="14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execution, delivery and performance by each Loan Party of this Agreement does not and will not (A) contravene the terms of any of such Loan Party’s Organization Documents, (B) conflict with or result in any breach or contravention of, or the creation of any Lien under, or require any payment to be made under (x) any Contractual Obligation to which such Person is a party or affecting such Person or the properties of such Person or any of its Restricted Subsidiaries or (y) any order, injunction, writ or decree of any Governmental Authority or any arbitral award to which such Person or its property is subject, or (C) violate any Law, except in each case referred to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would not, individually or in the aggregate, reasonably be expected to have a Material Adverse Effect.</w:t>
      </w:r>
    </w:p>
    <w:p>
      <w:pPr>
        <w:spacing w:after="0" w:line="168" w:lineRule="exact"/>
        <w:rPr>
          <w:rFonts w:ascii="Arial" w:cs="Arial" w:eastAsia="Arial" w:hAnsi="Arial"/>
          <w:sz w:val="18"/>
          <w:szCs w:val="18"/>
          <w:color w:val="auto"/>
        </w:rPr>
      </w:pPr>
    </w:p>
    <w:p>
      <w:pPr>
        <w:jc w:val="both"/>
        <w:ind w:left="180" w:firstLine="652"/>
        <w:spacing w:after="0" w:line="250" w:lineRule="auto"/>
        <w:tabs>
          <w:tab w:leader="none" w:pos="1536"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w:t>
      </w:r>
    </w:p>
    <w:p>
      <w:pPr>
        <w:spacing w:after="0" w:line="185" w:lineRule="exact"/>
        <w:rPr>
          <w:rFonts w:ascii="Arial" w:cs="Arial" w:eastAsia="Arial" w:hAnsi="Arial"/>
          <w:sz w:val="20"/>
          <w:szCs w:val="20"/>
          <w:color w:val="auto"/>
        </w:rPr>
      </w:pPr>
    </w:p>
    <w:p>
      <w:pPr>
        <w:jc w:val="both"/>
        <w:ind w:left="-460" w:firstLine="644"/>
        <w:spacing w:after="0" w:line="273" w:lineRule="auto"/>
        <w:tabs>
          <w:tab w:leader="none" w:pos="6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Loan Parties represent and warrant to the Lenders that (i) after giving effect to this Agreement, the representations and warranties of the Borrower and each other Loan Party contained in Article VI of the Credit Agreement or any other Loan Document, or which are contained in any document furnished at any time under or in connection therewith, are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are true and correct in all material respects (and in all respects if any such representation or warranty is already qualified by materiality or reference to Material Adverse Effect) as of such earlier date, and (ii) after giving effect to this Agreement, no event has occurred and is continuing which constitutes a Default or an Event of Default.</w:t>
      </w:r>
    </w:p>
    <w:p>
      <w:pPr>
        <w:spacing w:after="0" w:line="168" w:lineRule="exact"/>
        <w:rPr>
          <w:rFonts w:ascii="Arial" w:cs="Arial" w:eastAsia="Arial" w:hAnsi="Arial"/>
          <w:sz w:val="18"/>
          <w:szCs w:val="18"/>
          <w:color w:val="auto"/>
        </w:rPr>
      </w:pPr>
    </w:p>
    <w:p>
      <w:pPr>
        <w:ind w:left="-460" w:firstLine="644"/>
        <w:spacing w:after="0" w:line="316"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party hereto acknowledges and agrees to the provisions set forth in Section 11.21 of the Credit Agreement (as amended by this Agreement) and the provisions set forth in Section 11.23 of the Credit Agreement (as amended by this Agreement).</w:t>
      </w:r>
    </w:p>
    <w:p>
      <w:pPr>
        <w:spacing w:after="0" w:line="129" w:lineRule="exact"/>
        <w:rPr>
          <w:rFonts w:ascii="Arial" w:cs="Arial" w:eastAsia="Arial" w:hAnsi="Arial"/>
          <w:sz w:val="18"/>
          <w:szCs w:val="18"/>
          <w:color w:val="auto"/>
        </w:rPr>
      </w:pPr>
    </w:p>
    <w:p>
      <w:pPr>
        <w:jc w:val="both"/>
        <w:ind w:left="-460" w:firstLine="644"/>
        <w:spacing w:after="0" w:line="246" w:lineRule="auto"/>
        <w:tabs>
          <w:tab w:leader="none" w:pos="672"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other electronic imaging means (e.g. “pdf” or “tif”) shall be effective as delivery of a manually executed counterpart of this Agreement.</w:t>
      </w:r>
    </w:p>
    <w:p>
      <w:pPr>
        <w:spacing w:after="0" w:line="185" w:lineRule="exact"/>
        <w:rPr>
          <w:rFonts w:ascii="Arial" w:cs="Arial" w:eastAsia="Arial" w:hAnsi="Arial"/>
          <w:sz w:val="20"/>
          <w:szCs w:val="20"/>
          <w:color w:val="auto"/>
        </w:rPr>
      </w:pPr>
    </w:p>
    <w:p>
      <w:pPr>
        <w:jc w:val="both"/>
        <w:ind w:left="-460" w:firstLine="644"/>
        <w:spacing w:after="0" w:line="248" w:lineRule="auto"/>
        <w:tabs>
          <w:tab w:leader="none" w:pos="913"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THIS AGREEMENT AND ANY CLAIMS, CONTROVERSY, DISPUTE OR CAUSE OF ACTION (WHETHER IN CONTRACT OR TORT OR OTHERWISE) BASED UPON, ARISING OUT OF OR RELATING HERETO, AND THE TRANSACTIONS CONTEMPLATED HEREBY, SHALL BE GOVERNED BY, AND CONSTRUED IN ACCORDANCE WITH, THE LAW OF THE STATE OF NEW YORK.</w:t>
      </w:r>
    </w:p>
    <w:p>
      <w:pPr>
        <w:spacing w:after="0" w:line="189"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19" w:right="339" w:bottom="1440" w:gutter="0" w:footer="0" w:header="0"/>
        </w:sectPr>
      </w:pPr>
    </w:p>
    <w:bookmarkStart w:id="40" w:name="page41"/>
    <w:bookmarkEnd w:id="40"/>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39"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DUCOMMUN INCORPORATED,</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jc w:val="right"/>
        <w:spacing w:after="0"/>
        <w:tabs>
          <w:tab w:leader="none" w:pos="69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 Interim Chief Financial Officer and Treasurer, and Controller and Chief</w:t>
      </w:r>
    </w:p>
    <w:p>
      <w:pPr>
        <w:ind w:left="3900"/>
        <w:spacing w:after="0"/>
        <w:rPr>
          <w:sz w:val="20"/>
          <w:szCs w:val="20"/>
          <w:color w:val="auto"/>
        </w:rPr>
      </w:pPr>
      <w:r>
        <w:rPr>
          <w:rFonts w:ascii="Arial" w:cs="Arial" w:eastAsia="Arial" w:hAnsi="Arial"/>
          <w:sz w:val="20"/>
          <w:szCs w:val="20"/>
          <w:color w:val="auto"/>
        </w:rPr>
        <w:t>Accounting Officer</w:t>
      </w:r>
    </w:p>
    <w:p>
      <w:pPr>
        <w:spacing w:after="0" w:line="25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DUCOMMUN AEROSTRUCTURES, INC.,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COMPOSITE STRUCTURES, LLC,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 and Treasurer</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DUCOMMUN AEROSTRUCTURES NEW YORK, INC.,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New York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DUCOMMUN LABARGE TECHNOLOGIES, INC.,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 Arizona corporation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DUCOMMUN AEROSTRUCTURES MEXICO, LLC,</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63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80"/>
          </w:cols>
          <w:pgMar w:left="320" w:top="1440" w:right="799" w:bottom="1440" w:gutter="0" w:footer="0" w:header="0"/>
        </w:sectPr>
      </w:pPr>
    </w:p>
    <w:bookmarkStart w:id="41" w:name="page42"/>
    <w:bookmarkEnd w:id="41"/>
    <w:p>
      <w:pPr>
        <w:ind w:left="2120"/>
        <w:spacing w:after="0"/>
        <w:rPr>
          <w:sz w:val="20"/>
          <w:szCs w:val="20"/>
          <w:color w:val="auto"/>
        </w:rPr>
      </w:pPr>
      <w:r>
        <w:rPr>
          <w:rFonts w:ascii="Arial" w:cs="Arial" w:eastAsia="Arial" w:hAnsi="Arial"/>
          <w:sz w:val="19"/>
          <w:szCs w:val="19"/>
          <w:color w:val="auto"/>
        </w:rPr>
        <w:t>DUCOMMUN LABARGE TECHNOLOGIES, INC.,</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corporation</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LABARGE ACQUISITION COMPANY, INC.,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Missouri corporation</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LS HOLDINGS COMPANY, LLC,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limited liability company</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LIGHTNING DIVERSION SYSTEMS, LLC,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limited liability company</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CERTIFIED THERMOPLASTICS CO., LLC,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limited liability company</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NOBLES PARENT INC.,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corporation</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10120"/>
          </w:cols>
          <w:pgMar w:left="144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SECOND AMENDMENT TO AMENDED AND RESTATED CREDIT AGREEMENT</w:t>
      </w:r>
    </w:p>
    <w:p>
      <w:pPr>
        <w:sectPr>
          <w:pgSz w:w="11900" w:h="16838" w:orient="portrait"/>
          <w:cols w:equalWidth="0" w:num="1">
            <w:col w:w="10120"/>
          </w:cols>
          <w:pgMar w:left="1440" w:top="1419" w:right="339" w:bottom="1440" w:gutter="0" w:footer="0" w:header="0"/>
          <w:type w:val="continuous"/>
        </w:sectPr>
      </w:pPr>
    </w:p>
    <w:bookmarkStart w:id="42" w:name="page43"/>
    <w:bookmarkEnd w:id="42"/>
    <w:p>
      <w:pPr>
        <w:ind w:left="2120"/>
        <w:spacing w:after="0"/>
        <w:rPr>
          <w:sz w:val="20"/>
          <w:szCs w:val="20"/>
          <w:color w:val="auto"/>
        </w:rPr>
      </w:pPr>
      <w:r>
        <w:rPr>
          <w:rFonts w:ascii="Arial" w:cs="Arial" w:eastAsia="Arial" w:hAnsi="Arial"/>
          <w:sz w:val="20"/>
          <w:szCs w:val="20"/>
          <w:color w:val="auto"/>
        </w:rPr>
        <w:t>NOBLES HOLDINGS INC.,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Delaware corporation</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637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Christopher D. Wampler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NOBLES WORLDWIDE, INC.,</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 Minnesota corporation</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74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Stephen G. Oswald</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43" w:name="page44"/>
    <w:bookmarkEnd w:id="43"/>
    <w:p>
      <w:pPr>
        <w:jc w:val="right"/>
        <w:ind w:right="6040"/>
        <w:spacing w:after="0"/>
        <w:tabs>
          <w:tab w:leader="none" w:pos="8380" w:val="left"/>
        </w:tabs>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BANK OF AMERICA, N.A.,</w:t>
      </w:r>
    </w:p>
    <w:p>
      <w:pPr>
        <w:spacing w:after="0" w:line="16" w:lineRule="exact"/>
        <w:rPr>
          <w:sz w:val="20"/>
          <w:szCs w:val="20"/>
          <w:color w:val="auto"/>
        </w:rPr>
      </w:pPr>
    </w:p>
    <w:p>
      <w:pPr>
        <w:jc w:val="right"/>
        <w:ind w:right="6060"/>
        <w:spacing w:after="0"/>
        <w:rPr>
          <w:sz w:val="20"/>
          <w:szCs w:val="20"/>
          <w:color w:val="auto"/>
        </w:rPr>
      </w:pPr>
      <w:r>
        <w:rPr>
          <w:rFonts w:ascii="Arial" w:cs="Arial" w:eastAsia="Arial" w:hAnsi="Arial"/>
          <w:sz w:val="20"/>
          <w:szCs w:val="20"/>
          <w:color w:val="auto"/>
        </w:rPr>
        <w:t>as Administrative Agent</w:t>
      </w:r>
    </w:p>
    <w:p>
      <w:pPr>
        <w:spacing w:after="0" w:line="30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Denise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186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ind w:left="3240"/>
        <w:spacing w:after="0"/>
        <w:tabs>
          <w:tab w:leader="none" w:pos="39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Denise Jones</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1240"/>
          </w:cols>
          <w:pgMar w:left="320" w:top="1419" w:right="339" w:bottom="1440" w:gutter="0" w:footer="0" w:header="0"/>
        </w:sectPr>
      </w:pPr>
    </w:p>
    <w:bookmarkStart w:id="44" w:name="page45"/>
    <w:bookmarkEnd w:id="44"/>
    <w:p>
      <w:pPr>
        <w:spacing w:after="0"/>
        <w:tabs>
          <w:tab w:leader="none" w:pos="1140" w:val="left"/>
        </w:tabs>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BANK OF AMERICA, N.A.,</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 /s/ Angel Sutoyo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12217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3240"/>
        <w:spacing w:after="0"/>
        <w:tabs>
          <w:tab w:leader="none" w:pos="3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Angel Sutoyo</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1240"/>
          </w:cols>
          <w:pgMar w:left="320" w:top="1419" w:right="339" w:bottom="1440" w:gutter="0" w:footer="0" w:header="0"/>
        </w:sectPr>
      </w:pPr>
    </w:p>
    <w:bookmarkStart w:id="45" w:name="page46"/>
    <w:bookmarkEnd w:id="45"/>
    <w:p>
      <w:pPr>
        <w:ind w:left="2120"/>
        <w:spacing w:after="0"/>
        <w:rPr>
          <w:sz w:val="20"/>
          <w:szCs w:val="20"/>
          <w:color w:val="auto"/>
        </w:rPr>
      </w:pPr>
      <w:r>
        <w:rPr>
          <w:rFonts w:ascii="Arial" w:cs="Arial" w:eastAsia="Arial" w:hAnsi="Arial"/>
          <w:sz w:val="20"/>
          <w:szCs w:val="20"/>
          <w:color w:val="auto"/>
        </w:rPr>
        <w:t>TRUIST BANK,</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082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ind w:left="2120"/>
        <w:spacing w:after="0"/>
        <w:tabs>
          <w:tab w:leader="none" w:pos="28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Anika Kirs</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46" w:name="page47"/>
    <w:bookmarkEnd w:id="46"/>
    <w:p>
      <w:pPr>
        <w:ind w:left="2120"/>
        <w:spacing w:after="0"/>
        <w:rPr>
          <w:sz w:val="20"/>
          <w:szCs w:val="20"/>
          <w:color w:val="auto"/>
        </w:rPr>
      </w:pPr>
      <w:r>
        <w:rPr>
          <w:rFonts w:ascii="Arial" w:cs="Arial" w:eastAsia="Arial" w:hAnsi="Arial"/>
          <w:sz w:val="20"/>
          <w:szCs w:val="20"/>
          <w:color w:val="auto"/>
        </w:rPr>
        <w:t>ROYAL BANK OF CANADA,</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Richard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76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C. Smith</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47" w:name="page48"/>
    <w:bookmarkEnd w:id="47"/>
    <w:p>
      <w:pPr>
        <w:ind w:left="2120"/>
        <w:spacing w:after="0"/>
        <w:rPr>
          <w:sz w:val="20"/>
          <w:szCs w:val="20"/>
          <w:color w:val="auto"/>
        </w:rPr>
      </w:pPr>
      <w:r>
        <w:rPr>
          <w:rFonts w:ascii="Arial" w:cs="Arial" w:eastAsia="Arial" w:hAnsi="Arial"/>
          <w:sz w:val="20"/>
          <w:szCs w:val="20"/>
          <w:color w:val="auto"/>
        </w:rPr>
        <w:t>CITY NATIONAL BANK,</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Katie McDowell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67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Katie McDowell</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48" w:name="page49"/>
    <w:bookmarkEnd w:id="48"/>
    <w:p>
      <w:pPr>
        <w:ind w:left="2120"/>
        <w:spacing w:after="0"/>
        <w:rPr>
          <w:sz w:val="20"/>
          <w:szCs w:val="20"/>
          <w:color w:val="auto"/>
        </w:rPr>
      </w:pPr>
      <w:r>
        <w:rPr>
          <w:rFonts w:ascii="Arial" w:cs="Arial" w:eastAsia="Arial" w:hAnsi="Arial"/>
          <w:sz w:val="20"/>
          <w:szCs w:val="20"/>
          <w:color w:val="auto"/>
        </w:rPr>
        <w:t>BANK OF MONTREAL,</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Josh Hovermale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39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Josh Hovermale</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49" w:name="page50"/>
    <w:bookmarkEnd w:id="49"/>
    <w:p>
      <w:pPr>
        <w:ind w:left="2120"/>
        <w:spacing w:after="0"/>
        <w:rPr>
          <w:sz w:val="20"/>
          <w:szCs w:val="20"/>
          <w:color w:val="auto"/>
        </w:rPr>
      </w:pPr>
      <w:r>
        <w:rPr>
          <w:rFonts w:ascii="Arial" w:cs="Arial" w:eastAsia="Arial" w:hAnsi="Arial"/>
          <w:sz w:val="20"/>
          <w:szCs w:val="20"/>
          <w:color w:val="auto"/>
        </w:rPr>
        <w:t>BANK OF THE WEST,</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a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Bryan L. Bains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290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Bryan L. Bains</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50" w:name="page51"/>
    <w:bookmarkEnd w:id="50"/>
    <w:p>
      <w:pPr>
        <w:ind w:left="2120"/>
        <w:spacing w:after="0"/>
        <w:rPr>
          <w:sz w:val="20"/>
          <w:szCs w:val="20"/>
          <w:color w:val="auto"/>
        </w:rPr>
      </w:pPr>
      <w:r>
        <w:rPr>
          <w:rFonts w:ascii="Arial" w:cs="Arial" w:eastAsia="Arial" w:hAnsi="Arial"/>
          <w:sz w:val="20"/>
          <w:szCs w:val="20"/>
          <w:color w:val="auto"/>
        </w:rPr>
        <w:t>AMMC CLO 16, LIMITED.</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Lender</w:t>
      </w:r>
    </w:p>
    <w:p>
      <w:pPr>
        <w:ind w:left="2120"/>
        <w:spacing w:after="0"/>
        <w:rPr>
          <w:sz w:val="20"/>
          <w:szCs w:val="20"/>
          <w:color w:val="auto"/>
        </w:rPr>
      </w:pPr>
      <w:r>
        <w:rPr>
          <w:rFonts w:ascii="Arial" w:cs="Arial" w:eastAsia="Arial" w:hAnsi="Arial"/>
          <w:sz w:val="20"/>
          <w:szCs w:val="20"/>
          <w:color w:val="auto"/>
        </w:rPr>
        <w:t>By: American Money Management Corp.,</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as Collateral Manager</w:t>
      </w:r>
    </w:p>
    <w:p>
      <w:pPr>
        <w:spacing w:after="0" w:line="30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119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P. Meyer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51" w:name="page52"/>
    <w:bookmarkEnd w:id="51"/>
    <w:p>
      <w:pPr>
        <w:ind w:left="2120"/>
        <w:spacing w:after="0"/>
        <w:rPr>
          <w:sz w:val="20"/>
          <w:szCs w:val="20"/>
          <w:color w:val="auto"/>
        </w:rPr>
      </w:pPr>
      <w:r>
        <w:rPr>
          <w:rFonts w:ascii="Arial" w:cs="Arial" w:eastAsia="Arial" w:hAnsi="Arial"/>
          <w:sz w:val="20"/>
          <w:szCs w:val="20"/>
          <w:color w:val="auto"/>
        </w:rPr>
        <w:t>AMMC CLO 19, LIMITED.</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Lender</w:t>
      </w:r>
    </w:p>
    <w:p>
      <w:pPr>
        <w:ind w:left="2120"/>
        <w:spacing w:after="0"/>
        <w:rPr>
          <w:sz w:val="20"/>
          <w:szCs w:val="20"/>
          <w:color w:val="auto"/>
        </w:rPr>
      </w:pPr>
      <w:r>
        <w:rPr>
          <w:rFonts w:ascii="Arial" w:cs="Arial" w:eastAsia="Arial" w:hAnsi="Arial"/>
          <w:sz w:val="20"/>
          <w:szCs w:val="20"/>
          <w:color w:val="auto"/>
        </w:rPr>
        <w:t>By: American Money Management Corp.,</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as Collateral Manager</w:t>
      </w:r>
    </w:p>
    <w:p>
      <w:pPr>
        <w:spacing w:after="0" w:line="30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David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1931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David Meyer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52" w:name="page53"/>
    <w:bookmarkEnd w:id="52"/>
    <w:p>
      <w:pPr>
        <w:ind w:left="2120"/>
        <w:spacing w:after="0"/>
        <w:rPr>
          <w:sz w:val="20"/>
          <w:szCs w:val="20"/>
          <w:color w:val="auto"/>
        </w:rPr>
      </w:pPr>
      <w:r>
        <w:rPr>
          <w:rFonts w:ascii="Arial" w:cs="Arial" w:eastAsia="Arial" w:hAnsi="Arial"/>
          <w:sz w:val="20"/>
          <w:szCs w:val="20"/>
          <w:color w:val="auto"/>
        </w:rPr>
        <w:t>AMMC CLO 22, LIMITED.</w:t>
      </w:r>
    </w:p>
    <w:p>
      <w:pPr>
        <w:spacing w:after="0" w:line="15"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Lender</w:t>
      </w:r>
    </w:p>
    <w:p>
      <w:pPr>
        <w:ind w:left="2120"/>
        <w:spacing w:after="0"/>
        <w:rPr>
          <w:sz w:val="20"/>
          <w:szCs w:val="20"/>
          <w:color w:val="auto"/>
        </w:rPr>
      </w:pPr>
      <w:r>
        <w:rPr>
          <w:rFonts w:ascii="Arial" w:cs="Arial" w:eastAsia="Arial" w:hAnsi="Arial"/>
          <w:sz w:val="20"/>
          <w:szCs w:val="20"/>
          <w:color w:val="auto"/>
        </w:rPr>
        <w:t>By: American Money Management Corp.,</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as Collateral Manager</w:t>
      </w:r>
    </w:p>
    <w:p>
      <w:pPr>
        <w:spacing w:after="0" w:line="30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David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1931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David Meyer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53" w:name="page54"/>
    <w:bookmarkEnd w:id="53"/>
    <w:p>
      <w:pPr>
        <w:ind w:left="2120"/>
        <w:spacing w:after="0"/>
        <w:rPr>
          <w:sz w:val="20"/>
          <w:szCs w:val="20"/>
          <w:color w:val="auto"/>
        </w:rPr>
      </w:pPr>
      <w:r>
        <w:rPr>
          <w:rFonts w:ascii="Arial" w:cs="Arial" w:eastAsia="Arial" w:hAnsi="Arial"/>
          <w:sz w:val="20"/>
          <w:szCs w:val="20"/>
          <w:color w:val="auto"/>
        </w:rPr>
        <w:t>AMMC CLO XIV, LIMITED.</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as Lender</w:t>
      </w:r>
    </w:p>
    <w:p>
      <w:pPr>
        <w:spacing w:after="0" w:line="308"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-14605</wp:posOffset>
            </wp:positionV>
            <wp:extent cx="13119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2120"/>
        <w:spacing w:after="0"/>
        <w:tabs>
          <w:tab w:leader="none" w:pos="28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David P. Meyer</w:t>
      </w:r>
    </w:p>
    <w:p>
      <w:pPr>
        <w:ind w:left="2120"/>
        <w:spacing w:after="0"/>
        <w:tabs>
          <w:tab w:leader="none" w:pos="2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DUCOMMUN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AMENDED AND RESTATED CREDIT AGREEMENT</w:t>
      </w:r>
    </w:p>
    <w:p>
      <w:pPr>
        <w:sectPr>
          <w:pgSz w:w="11900" w:h="16838" w:orient="portrait"/>
          <w:cols w:equalWidth="0" w:num="1">
            <w:col w:w="10120"/>
          </w:cols>
          <w:pgMar w:left="1440" w:top="1419"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of Ducommun Incorporated (the “registrant”) on Form 10-Q for the period ended October 2, 2021;</w:t>
      </w:r>
    </w:p>
    <w:p>
      <w:pPr>
        <w:spacing w:after="0" w:line="11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656"/>
        <w:spacing w:after="0" w:line="263" w:lineRule="auto"/>
        <w:tabs>
          <w:tab w:leader="none" w:pos="19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of Ducommun Incorporated (the “registrant”) on Form 10-Q for the period ended October 2, 2021;</w:t>
      </w:r>
    </w:p>
    <w:p>
      <w:pPr>
        <w:spacing w:after="0" w:line="10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80" w:hanging="656"/>
        <w:spacing w:after="0" w:line="263" w:lineRule="auto"/>
        <w:tabs>
          <w:tab w:leader="none" w:pos="19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D. Wampler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Controller and Treasurer</w:t>
      </w:r>
    </w:p>
    <w:p>
      <w:pPr>
        <w:sectPr>
          <w:pgSz w:w="11900" w:h="16838" w:orient="portrait"/>
          <w:cols w:equalWidth="0" w:num="1">
            <w:col w:w="11240"/>
          </w:cols>
          <w:pgMar w:left="320" w:top="8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In connection with the Quarterly Report of Ducommun Incorporated (the “Company”) on Form 10-Q for the period ending October 2, 2021,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95" w:lineRule="exact"/>
        <w:rPr>
          <w:sz w:val="20"/>
          <w:szCs w:val="20"/>
          <w:color w:val="auto"/>
        </w:rPr>
      </w:pPr>
    </w:p>
    <w:p>
      <w:pPr>
        <w:ind w:left="1160" w:hanging="26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7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Stephen G. Oswald</w:t>
            </w:r>
          </w:p>
        </w:tc>
      </w:tr>
      <w:tr>
        <w:trPr>
          <w:trHeight w:val="222"/>
        </w:trPr>
        <w:tc>
          <w:tcPr>
            <w:tcW w:w="260" w:type="dxa"/>
            <w:vAlign w:val="bottom"/>
          </w:tcPr>
          <w:p>
            <w:pPr>
              <w:spacing w:after="0"/>
              <w:rPr>
                <w:sz w:val="19"/>
                <w:szCs w:val="19"/>
                <w:color w:val="auto"/>
              </w:rPr>
            </w:pPr>
          </w:p>
        </w:tc>
        <w:tc>
          <w:tcPr>
            <w:tcW w:w="4740" w:type="dxa"/>
            <w:vAlign w:val="bottom"/>
          </w:tcPr>
          <w:p>
            <w:pPr>
              <w:ind w:left="920"/>
              <w:spacing w:after="0"/>
              <w:rPr>
                <w:sz w:val="20"/>
                <w:szCs w:val="20"/>
                <w:color w:val="auto"/>
              </w:rPr>
            </w:pPr>
            <w:r>
              <w:rPr>
                <w:rFonts w:ascii="Arial" w:cs="Arial" w:eastAsia="Arial" w:hAnsi="Arial"/>
                <w:sz w:val="18"/>
                <w:szCs w:val="18"/>
                <w:color w:val="auto"/>
              </w:rPr>
              <w:t>Stephen G. Oswald</w:t>
            </w:r>
          </w:p>
        </w:tc>
      </w:tr>
      <w:tr>
        <w:trPr>
          <w:trHeight w:val="229"/>
        </w:trPr>
        <w:tc>
          <w:tcPr>
            <w:tcW w:w="260" w:type="dxa"/>
            <w:vAlign w:val="bottom"/>
          </w:tcPr>
          <w:p>
            <w:pPr>
              <w:spacing w:after="0"/>
              <w:rPr>
                <w:sz w:val="19"/>
                <w:szCs w:val="19"/>
                <w:color w:val="auto"/>
              </w:rPr>
            </w:pPr>
          </w:p>
        </w:tc>
        <w:tc>
          <w:tcPr>
            <w:tcW w:w="4740" w:type="dxa"/>
            <w:vAlign w:val="bottom"/>
          </w:tcPr>
          <w:p>
            <w:pPr>
              <w:ind w:left="920"/>
              <w:spacing w:after="0"/>
              <w:rPr>
                <w:sz w:val="20"/>
                <w:szCs w:val="20"/>
                <w:color w:val="auto"/>
              </w:rPr>
            </w:pPr>
            <w:r>
              <w:rPr>
                <w:rFonts w:ascii="Arial" w:cs="Arial" w:eastAsia="Arial" w:hAnsi="Arial"/>
                <w:sz w:val="18"/>
                <w:szCs w:val="18"/>
                <w:color w:val="auto"/>
                <w:w w:val="98"/>
              </w:rPr>
              <w:t>Chairman, President and Chief Executive Officer</w:t>
            </w:r>
          </w:p>
        </w:tc>
      </w:tr>
      <w:tr>
        <w:trPr>
          <w:trHeight w:val="230"/>
        </w:trPr>
        <w:tc>
          <w:tcPr>
            <w:tcW w:w="260" w:type="dxa"/>
            <w:vAlign w:val="bottom"/>
          </w:tcPr>
          <w:p>
            <w:pPr>
              <w:spacing w:after="0"/>
              <w:rPr>
                <w:sz w:val="20"/>
                <w:szCs w:val="20"/>
                <w:color w:val="auto"/>
              </w:rPr>
            </w:pPr>
          </w:p>
        </w:tc>
        <w:tc>
          <w:tcPr>
            <w:tcW w:w="4740" w:type="dxa"/>
            <w:vAlign w:val="bottom"/>
          </w:tcPr>
          <w:p>
            <w:pPr>
              <w:ind w:left="920"/>
              <w:spacing w:after="0"/>
              <w:rPr>
                <w:sz w:val="20"/>
                <w:szCs w:val="20"/>
                <w:color w:val="auto"/>
              </w:rPr>
            </w:pPr>
            <w:r>
              <w:rPr>
                <w:rFonts w:ascii="Arial" w:cs="Arial" w:eastAsia="Arial" w:hAnsi="Arial"/>
                <w:sz w:val="18"/>
                <w:szCs w:val="18"/>
                <w:color w:val="auto"/>
              </w:rPr>
              <w:t>November 2, 2021</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connection with the Quarterly Report of Ducommun Incorporated (the “Company”) on Form 10-Q for the period ending October 2, 2021,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spacing w:after="0" w:line="133" w:lineRule="exact"/>
        <w:rPr>
          <w:sz w:val="20"/>
          <w:szCs w:val="20"/>
          <w:color w:val="auto"/>
        </w:rPr>
      </w:pPr>
    </w:p>
    <w:p>
      <w:pPr>
        <w:ind w:left="1160" w:hanging="26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tbl>
      <w:tblPr>
        <w:tblLayout w:type="fixed"/>
        <w:tblInd w:w="62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7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Christopher D. Wampler</w:t>
            </w:r>
          </w:p>
        </w:tc>
      </w:tr>
      <w:tr>
        <w:trPr>
          <w:trHeight w:val="222"/>
        </w:trPr>
        <w:tc>
          <w:tcPr>
            <w:tcW w:w="260" w:type="dxa"/>
            <w:vAlign w:val="bottom"/>
          </w:tcPr>
          <w:p>
            <w:pPr>
              <w:spacing w:after="0"/>
              <w:rPr>
                <w:sz w:val="19"/>
                <w:szCs w:val="19"/>
                <w:color w:val="auto"/>
              </w:rPr>
            </w:pPr>
          </w:p>
        </w:tc>
        <w:tc>
          <w:tcPr>
            <w:tcW w:w="4740" w:type="dxa"/>
            <w:vAlign w:val="bottom"/>
          </w:tcPr>
          <w:p>
            <w:pPr>
              <w:ind w:left="920"/>
              <w:spacing w:after="0"/>
              <w:rPr>
                <w:sz w:val="20"/>
                <w:szCs w:val="20"/>
                <w:color w:val="auto"/>
              </w:rPr>
            </w:pPr>
            <w:r>
              <w:rPr>
                <w:rFonts w:ascii="Arial" w:cs="Arial" w:eastAsia="Arial" w:hAnsi="Arial"/>
                <w:sz w:val="18"/>
                <w:szCs w:val="18"/>
                <w:color w:val="auto"/>
              </w:rPr>
              <w:t>Christopher D. Wampler</w:t>
            </w:r>
          </w:p>
        </w:tc>
      </w:tr>
      <w:tr>
        <w:trPr>
          <w:trHeight w:val="176"/>
        </w:trPr>
        <w:tc>
          <w:tcPr>
            <w:tcW w:w="260" w:type="dxa"/>
            <w:vAlign w:val="bottom"/>
          </w:tcPr>
          <w:p>
            <w:pPr>
              <w:spacing w:after="0"/>
              <w:rPr>
                <w:sz w:val="15"/>
                <w:szCs w:val="15"/>
                <w:color w:val="auto"/>
              </w:rPr>
            </w:pPr>
          </w:p>
        </w:tc>
        <w:tc>
          <w:tcPr>
            <w:tcW w:w="4740" w:type="dxa"/>
            <w:vAlign w:val="bottom"/>
          </w:tcPr>
          <w:p>
            <w:pPr>
              <w:ind w:left="920"/>
              <w:spacing w:after="0" w:line="176" w:lineRule="exact"/>
              <w:rPr>
                <w:sz w:val="20"/>
                <w:szCs w:val="20"/>
                <w:color w:val="auto"/>
              </w:rPr>
            </w:pPr>
            <w:r>
              <w:rPr>
                <w:rFonts w:ascii="Arial" w:cs="Arial" w:eastAsia="Arial" w:hAnsi="Arial"/>
                <w:sz w:val="18"/>
                <w:szCs w:val="18"/>
                <w:color w:val="auto"/>
                <w:w w:val="97"/>
              </w:rPr>
              <w:t>Vice President, Chief Financial Officer, Controller</w:t>
            </w:r>
          </w:p>
        </w:tc>
      </w:tr>
      <w:tr>
        <w:trPr>
          <w:trHeight w:val="229"/>
        </w:trPr>
        <w:tc>
          <w:tcPr>
            <w:tcW w:w="26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260" w:type="dxa"/>
            <w:vAlign w:val="bottom"/>
          </w:tcPr>
          <w:p>
            <w:pPr>
              <w:spacing w:after="0"/>
              <w:rPr>
                <w:sz w:val="20"/>
                <w:szCs w:val="20"/>
                <w:color w:val="auto"/>
              </w:rPr>
            </w:pPr>
          </w:p>
        </w:tc>
        <w:tc>
          <w:tcPr>
            <w:tcW w:w="4740" w:type="dxa"/>
            <w:vAlign w:val="bottom"/>
          </w:tcPr>
          <w:p>
            <w:pPr>
              <w:ind w:left="920"/>
              <w:spacing w:after="0"/>
              <w:rPr>
                <w:sz w:val="20"/>
                <w:szCs w:val="20"/>
                <w:color w:val="auto"/>
              </w:rPr>
            </w:pPr>
            <w:r>
              <w:rPr>
                <w:rFonts w:ascii="Arial" w:cs="Arial" w:eastAsia="Arial" w:hAnsi="Arial"/>
                <w:sz w:val="18"/>
                <w:szCs w:val="18"/>
                <w:color w:val="auto"/>
              </w:rPr>
              <w:t>November 2,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2)"/>
      <w:numFmt w:val="lowerLetter"/>
      <w:start w:val="1"/>
    </w:lvl>
  </w:abstractNum>
  <w:abstractNum w:abstractNumId="16">
    <w:nsid w:val="2443A858"/>
    <w:multiLevelType w:val="hybridMultilevel"/>
    <w:lvl w:ilvl="0">
      <w:lvlJc w:val="left"/>
      <w:lvlText w:val="(%1)"/>
      <w:numFmt w:val="lowerLetter"/>
      <w:start w:val="5"/>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6"/>
    </w:lvl>
  </w:abstractNum>
  <w:abstractNum w:abstractNumId="19">
    <w:nsid w:val="75A2A8D4"/>
    <w:multiLevelType w:val="hybridMultilevel"/>
    <w:lvl w:ilvl="0">
      <w:lvlJc w:val="left"/>
      <w:lvlText w:val="(%1)"/>
      <w:numFmt w:val="lowerLetter"/>
      <w:start w:val="7"/>
    </w:lvl>
  </w:abstractNum>
  <w:abstractNum w:abstractNumId="20">
    <w:nsid w:val="8EDBDAB"/>
    <w:multiLevelType w:val="hybridMultilevel"/>
    <w:lvl w:ilvl="0">
      <w:lvlJc w:val="left"/>
      <w:lvlText w:val="(%1)"/>
      <w:numFmt w:val="lowerLetter"/>
      <w:start w:val="9"/>
    </w:lvl>
  </w:abstractNum>
  <w:abstractNum w:abstractNumId="21">
    <w:nsid w:val="79838C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4353D0CD"/>
    <w:multiLevelType w:val="hybridMultilevel"/>
    <w:lvl w:ilvl="0">
      <w:lvlJc w:val="left"/>
      <w:lvlText w:val="%1"/>
      <w:numFmt w:val="lowerLetter"/>
      <w:start w:val="1"/>
    </w:lvl>
    <w:lvl w:ilvl="1">
      <w:lvlJc w:val="left"/>
      <w:lvlText w:val="(%2)"/>
      <w:numFmt w:val="lowerRoman"/>
      <w:start w:val="3"/>
    </w:lvl>
  </w:abstractNum>
  <w:abstractNum w:abstractNumId="23">
    <w:nsid w:val="B03E0C6"/>
    <w:multiLevelType w:val="hybridMultilevel"/>
    <w:lvl w:ilvl="0">
      <w:lvlJc w:val="left"/>
      <w:lvlText w:val="(%1)"/>
      <w:numFmt w:val="lowerLetter"/>
      <w:start w:val="4"/>
    </w:lvl>
    <w:lvl w:ilvl="1">
      <w:lvlJc w:val="left"/>
      <w:lvlText w:val="%2"/>
      <w:numFmt w:val="lowerRoman"/>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40" Type="http://schemas.openxmlformats.org/officeDocument/2006/relationships/hyperlink" Target="http://www.sec.gov/Archives/edgar/data/30305/000119312517281838/d414212dex21.htm" TargetMode="External"/><Relationship Id="rId41" Type="http://schemas.openxmlformats.org/officeDocument/2006/relationships/hyperlink" Target="http://www.sec.gov/Archives/edgar/data/30305/000119312519264787/d817718dex21.htm" TargetMode="External"/><Relationship Id="rId42" Type="http://schemas.openxmlformats.org/officeDocument/2006/relationships/hyperlink" Target="http://www.sec.gov/Archives/edgar/data/30305/0000892569-99-000620-index.html" TargetMode="External"/><Relationship Id="rId43" Type="http://schemas.openxmlformats.org/officeDocument/2006/relationships/hyperlink" Target="http://www.sec.gov/Archives/edgar/data/30305/000119312513121993/d505045dex991.htm" TargetMode="External"/><Relationship Id="rId44" Type="http://schemas.openxmlformats.org/officeDocument/2006/relationships/hyperlink" Target="http://www.sec.gov/Archives/edgar/data/30305/000119312517005088/d321215dex992.htm" TargetMode="External"/><Relationship Id="rId45" Type="http://schemas.openxmlformats.org/officeDocument/2006/relationships/hyperlink" Target="http://www.sec.gov/Archives/edgar/data/30305/000119312518058275/0001193125-18-058275-index.htm" TargetMode="External"/><Relationship Id="rId46" Type="http://schemas.openxmlformats.org/officeDocument/2006/relationships/hyperlink" Target="http://www.sec.gov/Archives/edgar/data/30305/000119312521073228/0001193125-21-073228-index.htm" TargetMode="External"/><Relationship Id="rId47" Type="http://schemas.openxmlformats.org/officeDocument/2006/relationships/hyperlink" Target="http://www.sec.gov/Archives/edgar/data/30305/000162828020001898/dco10-k2019exhibit4_1.htm" TargetMode="External"/><Relationship Id="rId48" Type="http://schemas.openxmlformats.org/officeDocument/2006/relationships/hyperlink" Target="http://www.sec.gov/Archives/edgar/data/30305/000119312519321137/d834392dex101.htm" TargetMode="External"/><Relationship Id="rId49" Type="http://schemas.openxmlformats.org/officeDocument/2006/relationships/hyperlink" Target="http://www.sec.gov/Archives/edgar/data/30305/000119312518333904/0001193125-18-333904-index.htm" TargetMode="External"/><Relationship Id="rId50" Type="http://schemas.openxmlformats.org/officeDocument/2006/relationships/hyperlink" Target="http://www.sec.gov/Archives/edgar/data/30305/000119312518093774/d536991ddef14a.htm" TargetMode="External"/><Relationship Id="rId51" Type="http://schemas.openxmlformats.org/officeDocument/2006/relationships/hyperlink" Target="http://www.sec.gov/Archives/edgar/data/30305/000119312520080692/d859194ddef14a.htm" TargetMode="External"/><Relationship Id="rId52" Type="http://schemas.openxmlformats.org/officeDocument/2006/relationships/hyperlink" Target="http://www.sec.gov/Archives/edgar/data/30305/000119312504034525/dex108.htm" TargetMode="External"/><Relationship Id="rId53" Type="http://schemas.openxmlformats.org/officeDocument/2006/relationships/hyperlink" Target="http://www.sec.gov/Archives/edgar/data/30305/000162828017002221/dco10-k2016_ex105.htm" TargetMode="External"/><Relationship Id="rId54" Type="http://schemas.openxmlformats.org/officeDocument/2006/relationships/hyperlink" Target="http://www.sec.gov/Archives/edgar/data/30305/000119312518159343/d596690dex47.htm" TargetMode="External"/><Relationship Id="rId55" Type="http://schemas.openxmlformats.org/officeDocument/2006/relationships/hyperlink" Target="http://www.sec.gov/Archives/edgar/data/30305/000162828017002221/dco10-k2016_ex109.htm" TargetMode="External"/><Relationship Id="rId56" Type="http://schemas.openxmlformats.org/officeDocument/2006/relationships/hyperlink" Target="http://www.sec.gov/Archives/edgar/data/30305/000162828017002221/dco10-k2016_ex1011.htm" TargetMode="External"/><Relationship Id="rId57" Type="http://schemas.openxmlformats.org/officeDocument/2006/relationships/hyperlink" Target="http://www.sec.gov/Archives/edgar/data/30305/000162828020011005/dco-q2202010xqex1018.htm" TargetMode="External"/><Relationship Id="rId60" Type="http://schemas.openxmlformats.org/officeDocument/2006/relationships/hyperlink" Target="http://www.sec.gov/Archives/edgar/data/30305/000162828020011005/dco-q2202010xqex1019.htm" TargetMode="External"/><Relationship Id="rId61" Type="http://schemas.openxmlformats.org/officeDocument/2006/relationships/hyperlink" Target="http://www.sec.gov/Archives/edgar/data/30305/000162828020011005/dco-q2202010xqex1020.htm" TargetMode="External"/><Relationship Id="rId62" Type="http://schemas.openxmlformats.org/officeDocument/2006/relationships/hyperlink" Target="http://www.sec.gov/Archives/edgar/data/30305/000162828020011005/dco-q2202010xqex1021.htm" TargetMode="External"/><Relationship Id="rId63" Type="http://schemas.openxmlformats.org/officeDocument/2006/relationships/hyperlink" Target="http://www.sec.gov/Archives/edgar/data/30305/000162828020011005/dco-q2202010xqex1022.htm" TargetMode="External"/><Relationship Id="rId64" Type="http://schemas.openxmlformats.org/officeDocument/2006/relationships/hyperlink" Target="http://www.sec.gov/Archives/edgar/data/30305/000119312510036507/dex1015.htm" TargetMode="External"/><Relationship Id="rId65" Type="http://schemas.openxmlformats.org/officeDocument/2006/relationships/hyperlink" Target="http://www.sec.gov/Archives/edgar/data/30305/000119312519301183/0001193125-19-301183-index.htm" TargetMode="External"/><Relationship Id="rId66" Type="http://schemas.openxmlformats.org/officeDocument/2006/relationships/hyperlink" Target="http://www.sec.gov/Archives/edgar/data/30305/000119312517020975/d284517dex991.htm" TargetMode="External"/><Relationship Id="rId67" Type="http://schemas.openxmlformats.org/officeDocument/2006/relationships/hyperlink" Target="http://www.sec.gov/Archives/edgar/data/30305/000119312517020975/d284517dex992.htm" TargetMode="External"/><Relationship Id="rId68" Type="http://schemas.openxmlformats.org/officeDocument/2006/relationships/hyperlink" Target="http://www.sec.gov/Archives/edgar/data/30305/000119312517005088/d321215dex991.htm" TargetMode="External"/><Relationship Id="rId69" Type="http://schemas.openxmlformats.org/officeDocument/2006/relationships/hyperlink" Target="http://www.sec.gov/Archives/edgar/data/30305/000119312519184565/d6370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2021-11-02T15:30:00Z</dcterms:created>
  <dcterms:modified xsi:type="dcterms:W3CDTF">2021-11-02T15:30:00Z</dcterms:modified>
</cp:coreProperties>
</file>