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Gonzalez Laureen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ANTON BLVD.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DUCOMMUN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65"/>
        <w:spacing w:after="0"/>
        <w:rPr>
          <w:sz w:val="20"/>
          <w:szCs w:val="20"/>
          <w:color w:val="auto"/>
        </w:rPr>
      </w:pPr>
      <w:r>
        <w:rPr>
          <w:rFonts w:ascii="Times New Roman" w:cs="Times New Roman" w:eastAsia="Times New Roman" w:hAnsi="Times New Roman"/>
          <w:sz w:val="17"/>
          <w:szCs w:val="17"/>
          <w:color w:val="0000FF"/>
        </w:rPr>
        <w:t>V.P., CHRO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COSTA MESA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92626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312</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137.23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12,725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317</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12,408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reduction in shares to satisfy the tax withholding obligations of the Issuer with respect to the settlement, on May 8, 2026, of 629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operation of the Issuer's Second Amended and Restated Clawback Policy (the "Clawback Policy") with respect to the restatement and revision of the Issuer's previously issued financial statements, as reported in the Issuer's Form 8-K filed on May 1, 2026, the Issuer determined that the Reporting Person would not have earned certain compensation had such compensation been determined based on the restated financial statements. As a result, 629 restricted stock units that vested on May 8, 2026 were not delivered to the Reporting Person and 317 shares of Issuer common stock were returned to the Issuer in accordance with the Issuer's Clawback Policy.</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Laureen S. Gonzalez</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4018" TargetMode="External"/><Relationship Id="rId14" Type="http://schemas.openxmlformats.org/officeDocument/2006/relationships/hyperlink" Target="http://www.sec.gov/cgi-bin/browse-edgar?action=getcompany&amp;CIK=00000303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2026-05-12T16:26:05Z</dcterms:created>
  <dcterms:modified xsi:type="dcterms:W3CDTF">2026-05-12T16:26:05Z</dcterms:modified>
</cp:coreProperties>
</file>