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1" w:lineRule="auto"/>
        <w:tabs>
          <w:tab w:leader="none" w:pos="940" w:val="left"/>
        </w:tabs>
        <w:numPr>
          <w:ilvl w:val="0"/>
          <w:numId w:val="1"/>
        </w:numPr>
        <w:rPr>
          <w:rFonts w:ascii="Wingdings" w:cs="Wingdings" w:eastAsia="Wingdings" w:hAnsi="Wingdings"/>
          <w:sz w:val="39"/>
          <w:szCs w:val="39"/>
          <w:b w:val="1"/>
          <w:bCs w:val="1"/>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8"/>
                <w:szCs w:val="18"/>
                <w:b w:val="1"/>
                <w:bCs w:val="1"/>
                <w:color w:val="auto"/>
                <w:w w:val="99"/>
              </w:rPr>
              <w:t>600 Anton Boulevard, Suite 1100, Costa Mesa,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92626-7100</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02"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620"/>
        <w:spacing w:after="0" w:line="29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As of October 29, 2024, the registrant had 14,779,300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4"/>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28, 2024 and December 31, 2023</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September 28, 2024 and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September 30, 2023</w:t>
            </w:r>
          </w:p>
        </w:tc>
        <w:tc>
          <w:tcPr>
            <w:tcW w:w="654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28,</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2024 and September 30, 2023</w:t>
            </w:r>
          </w:p>
        </w:tc>
        <w:tc>
          <w:tcPr>
            <w:tcW w:w="6300" w:type="dxa"/>
            <w:vAlign w:val="bottom"/>
            <w:tcBorders>
              <w:top w:val="single" w:sz="8" w:color="0000FF"/>
            </w:tcBorders>
            <w:gridSpan w:val="10"/>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Nine Months Ended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September 28, 2024 and September 30, 2023</w:t>
            </w:r>
          </w:p>
        </w:tc>
        <w:tc>
          <w:tcPr>
            <w:tcW w:w="3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28, 2024 and September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30, 2023</w:t>
            </w: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62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6"/>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7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gridSpan w:val="3"/>
          </w:tcPr>
          <w:p>
            <w:pPr>
              <w:spacing w:after="0"/>
              <w:rPr>
                <w:sz w:val="22"/>
                <w:szCs w:val="22"/>
                <w:color w:val="auto"/>
              </w:rPr>
            </w:pPr>
          </w:p>
        </w:tc>
        <w:tc>
          <w:tcPr>
            <w:tcW w:w="6240" w:type="dxa"/>
            <w:vAlign w:val="bottom"/>
            <w:gridSpan w:val="10"/>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2023 (“Form 10-K”).</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our credit facilities impose restrictions that may limit our operating and financial flexibility;</w:t>
      </w:r>
    </w:p>
    <w:p>
      <w:pPr>
        <w:spacing w:after="0" w:line="117"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trading volume of our common stock may affect an investor’s ability to sell significant stock holdings in the future without negatively impacting our stock price;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amount of debt may require us to raise additional capital to fund acquisitions;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 use markets are cyclical and we depend upon a select base of industries and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business depends on the U.S. Government defense spending;</w:t>
      </w:r>
    </w:p>
    <w:p>
      <w:pPr>
        <w:spacing w:after="0" w:line="117" w:lineRule="exact"/>
        <w:rPr>
          <w:rFonts w:ascii="Times New Roman" w:cs="Times New Roman" w:eastAsia="Times New Roman" w:hAnsi="Times New Roman"/>
          <w:sz w:val="18"/>
          <w:szCs w:val="18"/>
          <w:color w:val="auto"/>
        </w:rPr>
      </w:pPr>
    </w:p>
    <w:p>
      <w:pPr>
        <w:ind w:left="980" w:right="5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exports of certain of our products and our production facility in Guaymas, Mexico are subject to various export control regulations and authorizations for proposed sales to certain foreign customers;</w:t>
      </w:r>
    </w:p>
    <w:p>
      <w:pPr>
        <w:spacing w:after="0" w:line="53"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some of our customers give them a variety of rights that are unfavorable to us and the OEMs to whom we provide products and services, including the ability to terminate a contract at any time for convenience;</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in the aerospace industry;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which includes evaluating select acquisitions;</w:t>
      </w:r>
    </w:p>
    <w:p>
      <w:pPr>
        <w:spacing w:after="0" w:line="117" w:lineRule="exact"/>
        <w:rPr>
          <w:rFonts w:ascii="Times New Roman" w:cs="Times New Roman" w:eastAsia="Times New Roman" w:hAnsi="Times New Roman"/>
          <w:sz w:val="18"/>
          <w:szCs w:val="18"/>
          <w:color w:val="auto"/>
        </w:rPr>
      </w:pPr>
    </w:p>
    <w:p>
      <w:pPr>
        <w:ind w:left="980" w:right="280" w:hanging="648"/>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spacing w:after="0" w:line="67"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design, product development, manufacturing, supply chain project management and other skills will be required as we move up the value chain to become a more value added supplier, and we are dependent upon our ability to attract and retain key personnel;</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and conducting our business outside the United States;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pricing pressures could reduce the demand and/or price for our products and services;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right="30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processes are subject to risk of obsolescence as a result of changes in technology and evolving industrial and regulatory standards;</w:t>
      </w:r>
    </w:p>
    <w:p>
      <w:pPr>
        <w:spacing w:after="0" w:line="53"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renew facilities leases on terms favorable to us and relocation of operations presents risks due to business interruptions;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procurement laws with which we must comply;</w:t>
      </w:r>
    </w:p>
    <w:p>
      <w:pPr>
        <w:spacing w:after="0" w:line="117" w:lineRule="exact"/>
        <w:rPr>
          <w:rFonts w:ascii="Times New Roman" w:cs="Times New Roman" w:eastAsia="Times New Roman" w:hAnsi="Times New Roman"/>
          <w:sz w:val="18"/>
          <w:szCs w:val="18"/>
          <w:color w:val="auto"/>
        </w:rPr>
      </w:pPr>
    </w:p>
    <w:p>
      <w:pPr>
        <w:ind w:left="980" w:right="360" w:hanging="648"/>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extensive, complex, costly and evolving laws, regulations and restrictions, including the Defense Contract Audit Agency and cybersecurity requirements;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 and our environmental, social and governance, and sustainability responsibilities;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other legal proceedings and indemnity claims;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changes in estimates when bidding on fixed-price contracts;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 or exposure to additional income tax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report our financial results or prevent fraud if our internal control over financial reporting is not effective;</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disruptions and the ability of our suppliers to meet the quality and delivery expectations of our customers;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violations of intellectual property rights;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destruction of our facilities caused by natural disasters.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 28,</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$2,681 and $2,006 at September 28, 2024 and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104,692</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17,349</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549,569</w:t>
            </w: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$191,685 and $181,412 at September 28,</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1,129,917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42,260</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2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256,961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w:t>
            </w: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484,825</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10, 12)</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14,776,627 and 14,600,766 shares issued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outstanding at September 28, 2024 and December 31, 2023, 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421,980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6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564,761</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443,270</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121,491</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88,755</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0" w:type="dxa"/>
            <w:vAlign w:val="bottom"/>
          </w:tcPr>
          <w:p>
            <w:pPr>
              <w:spacing w:after="0"/>
              <w:rPr>
                <w:sz w:val="1"/>
                <w:szCs w:val="1"/>
                <w:color w:val="auto"/>
              </w:rPr>
            </w:pP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6"/>
                <w:szCs w:val="16"/>
                <w:color w:val="auto"/>
              </w:rPr>
            </w:pPr>
          </w:p>
        </w:tc>
        <w:tc>
          <w:tcPr>
            <w:tcW w:w="23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4"/>
                <w:szCs w:val="14"/>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3"/>
        </w:trPr>
        <w:tc>
          <w:tcPr>
            <w:tcW w:w="6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$14 and $13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for the three months ended September 28, 2024 and September 30, 2023,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respectively, and $43 and $40 for the nine months ended September 28, 2024 and</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2023, respectively</w:t>
            </w: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 in net unrealized gains on cash flow hedges, net of tax (benefit) expense of</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$(1,543) and $1,413 for the three months ended September 28, 2024 and September</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30, 2023, respectively, and $(806) and $1,719 for the nine months ended September</w:t>
            </w:r>
          </w:p>
        </w:tc>
        <w:tc>
          <w:tcPr>
            <w:tcW w:w="120" w:type="dxa"/>
            <w:vAlign w:val="bottom"/>
          </w:tcPr>
          <w:p>
            <w:pPr>
              <w:spacing w:after="0"/>
              <w:rPr>
                <w:sz w:val="15"/>
                <w:szCs w:val="15"/>
                <w:color w:val="auto"/>
              </w:rPr>
            </w:pPr>
          </w:p>
        </w:tc>
        <w:tc>
          <w:tcPr>
            <w:tcW w:w="10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 2024 and September 30, 2023, respectively</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4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8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4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8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175"/>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in public offering,</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228,063</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(118,924)</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1, 2023</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14,569,589</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199,526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413,657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622,143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14,596,379</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635,402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14,600,766</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421,980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636,094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210,159</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(104,724)</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29,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14,746,921</w:t>
            </w:r>
          </w:p>
        </w:tc>
        <w:tc>
          <w:tcPr>
            <w:tcW w:w="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208,930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436,553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655,899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 vested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28,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14,776,627</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665,572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September 28,</w:t>
            </w: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write down and property and equipment impairment due to restructuring</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Recognition of insurance recoveries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(31,967)</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for acquisition of BLR Aerospace L.L.C., net of cash acquired</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(114,378)</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(130,006)</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152,500</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(123,700)</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term loan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issuance of common stock in public offering, net of issuance costs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85,107</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106,384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2023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2023 (“2023 Form 10-K”). The financial information included in this Quarterly Report on Form 10-Q (“Form 10-Q”) should be read in conjunction with the 2023 Form 10-K.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including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and nine months ended September 28, 2024 are not necessarily indicative of the results to be expected for the full year ending December 31, 2024.</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Board of Directors</w:t>
      </w:r>
    </w:p>
    <w:p>
      <w:pPr>
        <w:spacing w:after="0" w:line="10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Subsequent to our quarter ended September 28, 2024, effective as of November 5, 2024, we appointed two new independent directors, Daniel G. Korte and Daniel L. Boehle, to the Board.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Unsolicited Non-Binding Indication of Interest</w:t>
      </w:r>
    </w:p>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April 8, 2024, our Board of Directors (“BOD”) confirmed receipt of the first unsolicited non-binding indication of interest dated April 1, 2024 (“First IOI”) from Albion River LLC (“Albion”), a private direct investment firm. Albion expressed interest in acquiring all the outstanding shares of Ducommun for $60.00 per share in cash. On April 16, 2024, we issued a press release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responding to the First IOI that the BOD had unanimously determined it was not in the best interests of Ducommun and Ducommun shareholders to pursue further discussions regarding the proposal.</w:t>
      </w:r>
    </w:p>
    <w:p>
      <w:pPr>
        <w:spacing w:after="0" w:line="2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July 15, 2024, our BOD received an unsolicited revised non-binding indication of interest from Albion (“Second IOI”), to acquire all outstanding shares of Ducommun for $65.00 per share in cash. On July 25, 2024, we issued a press release responding to the Second IOI that the BOD had unanimously determined it was not in the best interests of Ducommun and Ducommun shareholders to pursue further discussions regarding the revised proposal.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2"/>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tcPr>
          <w:p>
            <w:pPr>
              <w:jc w:val="right"/>
              <w:ind w:right="717"/>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4"/>
                <w:szCs w:val="14"/>
                <w:color w:val="auto"/>
              </w:rPr>
            </w:pPr>
          </w:p>
        </w:tc>
        <w:tc>
          <w:tcPr>
            <w:tcW w:w="1140" w:type="dxa"/>
            <w:vAlign w:val="bottom"/>
          </w:tcPr>
          <w:p>
            <w:pPr>
              <w:jc w:val="right"/>
              <w:ind w:right="157"/>
              <w:spacing w:after="0"/>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14,528</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3"/>
                <w:szCs w:val="13"/>
                <w:color w:val="auto"/>
              </w:rPr>
            </w:pPr>
          </w:p>
        </w:tc>
        <w:tc>
          <w:tcPr>
            <w:tcW w:w="256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except per share data)</w:t>
            </w:r>
          </w:p>
        </w:tc>
        <w:tc>
          <w:tcPr>
            <w:tcW w:w="160" w:type="dxa"/>
            <w:vAlign w:val="bottom"/>
          </w:tcPr>
          <w:p>
            <w:pPr>
              <w:spacing w:after="0"/>
              <w:rPr>
                <w:sz w:val="16"/>
                <w:szCs w:val="16"/>
                <w:color w:val="auto"/>
              </w:rPr>
            </w:pPr>
          </w:p>
        </w:tc>
        <w:tc>
          <w:tcPr>
            <w:tcW w:w="2560" w:type="dxa"/>
            <w:vAlign w:val="bottom"/>
            <w:gridSpan w:val="4"/>
          </w:tcPr>
          <w:p>
            <w:pPr>
              <w:jc w:val="center"/>
              <w:ind w:right="95"/>
              <w:spacing w:after="0"/>
              <w:rPr>
                <w:sz w:val="20"/>
                <w:szCs w:val="20"/>
                <w:color w:val="auto"/>
              </w:rPr>
            </w:pPr>
            <w:r>
              <w:rPr>
                <w:rFonts w:ascii="Times New Roman" w:cs="Times New Roman" w:eastAsia="Times New Roman" w:hAnsi="Times New Roman"/>
                <w:sz w:val="14"/>
                <w:szCs w:val="14"/>
                <w:color w:val="auto"/>
              </w:rPr>
              <w:t>except per share data)</w:t>
            </w:r>
          </w:p>
        </w:tc>
        <w:tc>
          <w:tcPr>
            <w:tcW w:w="0" w:type="dxa"/>
            <w:vAlign w:val="bottom"/>
          </w:tcPr>
          <w:p>
            <w:pPr>
              <w:spacing w:after="0"/>
              <w:rPr>
                <w:sz w:val="1"/>
                <w:szCs w:val="1"/>
                <w:color w:val="auto"/>
              </w:rPr>
            </w:pPr>
          </w:p>
        </w:tc>
      </w:tr>
      <w:tr>
        <w:trPr>
          <w:trHeight w:val="193"/>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center"/>
              <w:ind w:right="75"/>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58"/>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3"/>
                <w:szCs w:val="13"/>
                <w:color w:val="auto"/>
              </w:rPr>
            </w:pPr>
          </w:p>
        </w:tc>
        <w:tc>
          <w:tcPr>
            <w:tcW w:w="126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3"/>
                <w:szCs w:val="13"/>
                <w:color w:val="auto"/>
              </w:rPr>
            </w:pPr>
          </w:p>
        </w:tc>
        <w:tc>
          <w:tcPr>
            <w:tcW w:w="126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3"/>
                <w:szCs w:val="13"/>
                <w:color w:val="auto"/>
              </w:rPr>
            </w:pPr>
          </w:p>
        </w:tc>
        <w:tc>
          <w:tcPr>
            <w:tcW w:w="1140" w:type="dxa"/>
            <w:vAlign w:val="bottom"/>
          </w:tcPr>
          <w:p>
            <w:pPr>
              <w:jc w:val="right"/>
              <w:ind w:right="155"/>
              <w:spacing w:after="0" w:line="15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5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234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r>
      <w:tr>
        <w:trPr>
          <w:trHeight w:val="203"/>
        </w:trPr>
        <w:tc>
          <w:tcPr>
            <w:tcW w:w="5660" w:type="dxa"/>
            <w:vAlign w:val="bottom"/>
          </w:tcPr>
          <w:p>
            <w:pPr>
              <w:spacing w:after="0"/>
              <w:rPr>
                <w:sz w:val="17"/>
                <w:szCs w:val="17"/>
                <w:color w:val="auto"/>
              </w:rPr>
            </w:pPr>
          </w:p>
        </w:tc>
        <w:tc>
          <w:tcPr>
            <w:tcW w:w="234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5660" w:type="dxa"/>
            <w:vAlign w:val="bottom"/>
          </w:tcPr>
          <w:p>
            <w:pPr>
              <w:spacing w:after="0"/>
              <w:rPr>
                <w:sz w:val="14"/>
                <w:szCs w:val="14"/>
                <w:color w:val="auto"/>
              </w:rPr>
            </w:pPr>
          </w:p>
        </w:tc>
        <w:tc>
          <w:tcPr>
            <w:tcW w:w="11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September 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September 30,</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28,</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67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2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320" w:type="dxa"/>
            <w:vAlign w:val="bottom"/>
          </w:tcPr>
          <w:p>
            <w:pPr>
              <w:jc w:val="right"/>
              <w:ind w:right="442"/>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1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45</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September 28,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10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At the time we entered into the Forward Interest Rate Swaps, there was a high probability of forecasted interest payments on our debts occurring and the swaps were highly effective in offsetting those interest payments; therefore, we elected to apply cash flow hedge accounting. In July 2022, as a result of refinancing all our existing debt, which allowed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relationships were still highly effective as of the amendment date. See Note 4 and Note 8. As of September 28, 2024, all of our derivative instruments were designated as cash flow hedges.</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Prior to the Amended Forward Interest Rate Swaps being effective on January 1, 2024, we only recorded the changes in fair value of the derivative instruments that were highly effective and that were designated and qualified as cash flow hedges prior to the effective date. See Note 4.</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104" w:lineRule="exact"/>
        <w:rPr>
          <w:sz w:val="20"/>
          <w:szCs w:val="20"/>
          <w:color w:val="auto"/>
        </w:rPr>
      </w:pPr>
    </w:p>
    <w:p>
      <w:pPr>
        <w:jc w:val="both"/>
        <w:ind w:right="7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3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Contract estimates, known as estimates at completion, are based on various assumptions to project the outcome of future events that can span multiple months or years. These assumptions include among others,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favorable and unfavorable catch-up adjustments to contracts had the following impact on our operating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6"/>
                <w:szCs w:val="16"/>
                <w:color w:val="auto"/>
              </w:rPr>
            </w:pPr>
          </w:p>
        </w:tc>
        <w:tc>
          <w:tcPr>
            <w:tcW w:w="23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2"/>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7"/>
                <w:szCs w:val="17"/>
                <w:color w:val="auto"/>
              </w:rPr>
            </w:pPr>
          </w:p>
        </w:tc>
        <w:tc>
          <w:tcPr>
            <w:tcW w:w="23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58"/>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3"/>
                <w:szCs w:val="13"/>
                <w:color w:val="auto"/>
              </w:rPr>
            </w:pPr>
          </w:p>
        </w:tc>
        <w:tc>
          <w:tcPr>
            <w:tcW w:w="114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3"/>
                <w:szCs w:val="13"/>
                <w:color w:val="auto"/>
              </w:rPr>
            </w:pPr>
          </w:p>
        </w:tc>
        <w:tc>
          <w:tcPr>
            <w:tcW w:w="116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3"/>
                <w:szCs w:val="13"/>
                <w:color w:val="auto"/>
              </w:rPr>
            </w:pPr>
          </w:p>
        </w:tc>
        <w:tc>
          <w:tcPr>
            <w:tcW w:w="1020" w:type="dxa"/>
            <w:vAlign w:val="bottom"/>
          </w:tcPr>
          <w:p>
            <w:pPr>
              <w:jc w:val="right"/>
              <w:ind w:right="79"/>
              <w:spacing w:after="0" w:line="159" w:lineRule="exact"/>
              <w:rPr>
                <w:sz w:val="20"/>
                <w:szCs w:val="20"/>
                <w:color w:val="auto"/>
              </w:rPr>
            </w:pPr>
            <w:r>
              <w:rPr>
                <w:rFonts w:ascii="Times New Roman" w:cs="Times New Roman" w:eastAsia="Times New Roman" w:hAnsi="Times New Roman"/>
                <w:sz w:val="14"/>
                <w:szCs w:val="14"/>
                <w:color w:val="auto"/>
              </w:rPr>
              <w:t>September 30,</w:t>
            </w:r>
          </w:p>
        </w:tc>
      </w:tr>
      <w:tr>
        <w:trPr>
          <w:trHeight w:val="196"/>
        </w:trPr>
        <w:tc>
          <w:tcPr>
            <w:tcW w:w="6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r>
    </w:tbl>
    <w:p>
      <w:pPr>
        <w:spacing w:after="0" w:line="200" w:lineRule="exact"/>
        <w:rPr>
          <w:sz w:val="20"/>
          <w:szCs w:val="20"/>
          <w:color w:val="auto"/>
        </w:rPr>
      </w:pPr>
    </w:p>
    <w:p>
      <w:pPr>
        <w:spacing w:after="0" w:line="2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September 28, 2024 and December 31, 2023, provision for estimated losses on contracts were $3.7 million and $5.4 million, respectively. It is reasonably possible we may incur additional losses in the future.</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September 28, 2024 and December 31, 2023, production cost of contracts were $5.7 million and $7.8 million, respectively.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9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177,686</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53,492</w:t>
            </w:r>
          </w:p>
        </w:tc>
      </w:tr>
    </w:tbl>
    <w:p>
      <w:pPr>
        <w:spacing w:after="0" w:line="2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September 28, 2024 compared to December 31, 2023 was primarily due to a net increase of products in work in process in the current period.</w:t>
      </w:r>
    </w:p>
    <w:p>
      <w:pPr>
        <w:spacing w:after="0" w:line="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September 28, 2024 compared to December 31, 2023 was primarily due to a net decrease of advance or progress payments received from our customers in the current period. We recognized $30.6 million of the contract liabilities as of December 31, 2023 as revenues during the nine months ended September 28, 2024.</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September 28, 2024 totaled $957.0 million. Of the remaining performance obligations as of September 28, 2024, we anticipate recognizing an estimated 65% of our remaining performance obligations as revenue during the next 12 months with the remaining performance obligations being recognized in the remainder of 2025 and beyond.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25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7"/>
                <w:szCs w:val="17"/>
                <w:color w:val="auto"/>
              </w:rPr>
            </w:pPr>
          </w:p>
        </w:tc>
        <w:tc>
          <w:tcPr>
            <w:tcW w:w="25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2023</w:t>
            </w:r>
          </w:p>
        </w:tc>
      </w:tr>
      <w:tr>
        <w:trPr>
          <w:trHeight w:val="194"/>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6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111,402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104,806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310,869</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299,846</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230,375</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220,679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68,238</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79,167</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162,137</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241,304</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Financial Accounting Standards Board (“FASB”) issued Accounting Standards Update (“ASU”) 2024-02, “Codification Improvements</w:t>
      </w:r>
    </w:p>
    <w:p>
      <w:pPr>
        <w:spacing w:after="0" w:line="27" w:lineRule="exact"/>
        <w:rPr>
          <w:sz w:val="20"/>
          <w:szCs w:val="20"/>
          <w:color w:val="auto"/>
        </w:rPr>
      </w:pPr>
    </w:p>
    <w:p>
      <w:pPr>
        <w:ind w:firstLine="8"/>
        <w:spacing w:after="0" w:line="253" w:lineRule="auto"/>
        <w:tabs>
          <w:tab w:leader="none" w:pos="1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Remove References to the Concepts Statements” (“ASU 2024-02”), which removed references to various FASB Concepts Statements and updates technical corrections such as conforming amendments, clarification to guidance, simplifications to wording or the structure of guidance, and other minor improvements. The new guidance is effective for fiscal years beginning after December 15, 2024, which is our annual period beginning January 1, 2025. Early adoption is permitted. We are evaluating the impact of this standard.</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provides more transparency about tax information primarily related to the rate reconciliation and the income taxes paid. The new guidance is effective for fiscal years beginning after December 15, 2024, which will be our annual period beginning January 1, 2025. Early adoption is permitted. We are evaluating the impact of this standard.</w:t>
      </w:r>
    </w:p>
    <w:p>
      <w:pPr>
        <w:spacing w:after="0" w:line="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reportable segment disclosure requirements, primarily through enhanced disclosures about significant segment expenses. The new guidance is effective for fiscal years beginning after December 15, 2023, which is our annual period beginning January 1, 2024, and interim periods within fiscal years beginning after December 15, 2024, which will be our interim period beginning January 1, 2025. Early adoption is permitted. We will be implementing the requirements of this standard in our Annual Report on Form 10-K for 2024.</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incorporates updates to the Accounting Standards Codification to align certain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We are evaluating the impact of this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BLR Aerospace, L.L.C. Acquisition</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added to our strategy to diversify and offer more customized, value-driven engineered products with aftermarket opportunities.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purchase price for BLR was $115.0 million, net of cash acquired, all payable in cash, subject to adjustments for working capital. We paid a gross aggregate of $117.0 million in cash upon the closing of the transaction. Subsequent to the closing of the transaction, during the three months ended September 30, 2023, the working capital was finalized, resulting in an immaterial adjustment for a final purchase price of $114.4 million, net of cash acquired. We allocated the gross purchase price of $117.0 million to the assets acquired and liabilities assumed at their estimated fair values. The excess of the purchase price over the aggregate fair values of the net assets was recorded as goodwill.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the assets acquired and liabilities assumed at the date of acquisition (in thousands):</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intangible assets acquired of $55.5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included (i) future revenues, (ii) the technology decay rate, (iii) the royalty rate, and (iv) the discount rate. The more significant inputs used in the customer relationships intangible asset valuation included (i) future revenues, (ii) the projected earnings before interest, taxes, and amortization (“EBITA”) margins, (iii) the customer attrition rates, and (iv) the discount rate.</w:t>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goodwill of $41.2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BLR acquisition, for tax purposes, is deemed an asset acquisition and thus, the goodwill recognized is deductible for income tax purposes.</w:t>
      </w:r>
    </w:p>
    <w:p>
      <w:pPr>
        <w:spacing w:after="0" w:line="90"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7"/>
          <w:szCs w:val="17"/>
          <w:color w:val="auto"/>
        </w:rPr>
        <w:t>Acquisition related transaction costs were not included as components of consideration transferred but have been expensed as incurred. Total acquisition-related transaction costs incurred by us were zero for each of the three months ended September 28, 2024 and September 30, 2023, and zero and</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$1.3 million during the nine months ended September 28, 2024 and September 30, 2023, respectively, and charged to selling, general and administrative expenses.</w:t>
      </w:r>
    </w:p>
    <w:p>
      <w:pPr>
        <w:spacing w:after="0" w:line="6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BLR’s results of operations have been included in our condensed consolidated statements of income since the date of acquisition as part of the Structural Systems segment, and its revenues were less than three percent of total company revenues since the date of acquisition. Pro forma results of operations of the BLR acquisition have not been presented as the effect of the BLR acquisition was not material to our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is intended to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and nine months ended September 28, 2024, we recorded total charges of $1.9 million and $5.4 million ($0.9 million of which was recorded as cost of sales), respectively. Cumulative through the nine months ended September 28, 2024, we recorded aggregate total charges of $26.9 million ($1.7 million of which was recorded as cost of sales). As of September 28, 2024, we estimate the remaining amount of charges related to this initiative will be $2.0 million to $3.0 million in total pre-tax restructuring charges through early 2025 for facility consolidation related expenses.</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Electronics Systems segment, we recorded charges of $0.1 million during the three months ended September 28, 2024 for severance and benefits that were classified as restructuring charges. We recorded charges of $0.4 million and $0.2 million during the nine months ended September 28, 2024, for severance and benefits that were classified as restructuring charges and other restructuring charges, respectively. Cumulative through the nine months ended September 28, 2024,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of $10.0 million, $0.3 million, $0.3 million, and $0.2 million, respectively.</w:t>
      </w:r>
    </w:p>
    <w:p>
      <w:pPr>
        <w:spacing w:after="0" w:line="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Structural Systems segment, we recorded $0.7 million and $1.1 million during the three months ended September 28, 2024 for severance and benefits that were classified as restructuring charges and other restructuring charges, respectively. We recorded charges of $1.7 million and $2.3 million during the nine months ended September 28, 2024, for severance and benefits that were classified as restructuring charges and other restructuring charges, respectively. Cumulative through the nine months ended September 28, 2024, we recorded total charges for severance and benefits that were classified as restructuring charges, accelerated depreciation of property and equipment/impairment of property and equipment that was classified as restructuring charges, charges for inventory write down that was classified as cost of sales, and other restructuring of $7.6 million, $2.0 million, $1.4 million, and $5.1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nine months ended September 28, 2024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Nine Months Ended September 28, 2024</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28, 2024</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Estimates</w:t>
            </w: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write down</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restructuring activities accrual for severance and benefits of $3.4 million as of September 28, 2024 was included as part of accrued and other liabilities and is expected to be paid out through early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cash flow hedges consists of forward interest rate swaps to manage our exposure to interest rate movements on a portion of our debt through January 1, 2031. Our forward interest rate swaps hedge forecasted transactions through January 1, 2031.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derivative instruments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on the condensed consolidated balance sheets for derivative instruments: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5580" w:type="dxa"/>
            <w:vAlign w:val="bottom"/>
          </w:tcPr>
          <w:p>
            <w:pPr>
              <w:spacing w:after="0"/>
              <w:rPr>
                <w:sz w:val="13"/>
                <w:szCs w:val="13"/>
                <w:color w:val="auto"/>
              </w:rPr>
            </w:pPr>
          </w:p>
        </w:tc>
        <w:tc>
          <w:tcPr>
            <w:tcW w:w="30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Balance Sheet Location</w:t>
            </w:r>
          </w:p>
        </w:tc>
        <w:tc>
          <w:tcPr>
            <w:tcW w:w="160" w:type="dxa"/>
            <w:vAlign w:val="bottom"/>
          </w:tcPr>
          <w:p>
            <w:pPr>
              <w:spacing w:after="0"/>
              <w:rPr>
                <w:sz w:val="13"/>
                <w:szCs w:val="13"/>
                <w:color w:val="auto"/>
              </w:rPr>
            </w:pPr>
          </w:p>
        </w:tc>
        <w:tc>
          <w:tcPr>
            <w:tcW w:w="120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3"/>
                <w:szCs w:val="13"/>
                <w:color w:val="auto"/>
              </w:rPr>
            </w:pPr>
          </w:p>
        </w:tc>
        <w:tc>
          <w:tcPr>
            <w:tcW w:w="1080" w:type="dxa"/>
            <w:vAlign w:val="bottom"/>
          </w:tcPr>
          <w:p>
            <w:pPr>
              <w:jc w:val="right"/>
              <w:ind w:right="139"/>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8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designated as hedging instruments:</w:t>
            </w:r>
          </w:p>
        </w:tc>
        <w:tc>
          <w:tcPr>
            <w:tcW w:w="2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activities during the nine months ended September 28, 2024 were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3"/>
                <w:szCs w:val="13"/>
                <w:color w:val="auto"/>
              </w:rPr>
            </w:pPr>
          </w:p>
        </w:tc>
        <w:tc>
          <w:tcPr>
            <w:tcW w:w="302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4"/>
                <w:szCs w:val="14"/>
                <w:color w:val="auto"/>
              </w:rPr>
              <w:t>Nine Months Ended September 28, 2024</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44"/>
              <w:spacing w:after="0"/>
              <w:rPr>
                <w:sz w:val="20"/>
                <w:szCs w:val="20"/>
                <w:color w:val="auto"/>
              </w:rPr>
            </w:pPr>
            <w:r>
              <w:rPr>
                <w:rFonts w:ascii="Times New Roman" w:cs="Times New Roman" w:eastAsia="Times New Roman" w:hAnsi="Times New Roman"/>
                <w:sz w:val="14"/>
                <w:szCs w:val="14"/>
                <w:color w:val="auto"/>
              </w:rPr>
              <w:t>September 28,</w:t>
            </w: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Balance</w:t>
            </w:r>
          </w:p>
        </w:tc>
        <w:tc>
          <w:tcPr>
            <w:tcW w:w="120" w:type="dxa"/>
            <w:vAlign w:val="bottom"/>
          </w:tcPr>
          <w:p>
            <w:pPr>
              <w:spacing w:after="0"/>
              <w:rPr>
                <w:sz w:val="11"/>
                <w:szCs w:val="11"/>
                <w:color w:val="auto"/>
              </w:rPr>
            </w:pPr>
          </w:p>
        </w:tc>
        <w:tc>
          <w:tcPr>
            <w:tcW w:w="15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color w:val="auto"/>
              </w:rPr>
              <w:t>Changes in Fair Value</w:t>
            </w:r>
          </w:p>
        </w:tc>
        <w:tc>
          <w:tcPr>
            <w:tcW w:w="14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Estimates</w:t>
            </w:r>
          </w:p>
        </w:tc>
        <w:tc>
          <w:tcPr>
            <w:tcW w:w="220" w:type="dxa"/>
            <w:vAlign w:val="bottom"/>
          </w:tcPr>
          <w:p>
            <w:pPr>
              <w:spacing w:after="0"/>
              <w:rPr>
                <w:sz w:val="11"/>
                <w:szCs w:val="11"/>
                <w:color w:val="auto"/>
              </w:rPr>
            </w:pPr>
          </w:p>
        </w:tc>
        <w:tc>
          <w:tcPr>
            <w:tcW w:w="130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Recognized</w:t>
            </w: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 before tax totals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12,187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gains associated with our hedging transactions recognized in other comprehensive income are presented in the following table: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3"/>
                <w:szCs w:val="13"/>
                <w:color w:val="auto"/>
              </w:rPr>
            </w:pPr>
          </w:p>
        </w:tc>
        <w:tc>
          <w:tcPr>
            <w:tcW w:w="244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88"/>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6"/>
                <w:szCs w:val="16"/>
                <w:color w:val="auto"/>
              </w:rPr>
            </w:pPr>
          </w:p>
        </w:tc>
        <w:tc>
          <w:tcPr>
            <w:tcW w:w="244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59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5"/>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in other comprehensive income, net of tax: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(5,060)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5,523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reclassified gains associated with our cash flow hedges from accumulated other comprehensive income to the condensed income statements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Interest Rate Swaps became effective as of January 1, 2024 and are presented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color w:val="auto"/>
              </w:rPr>
              <w:t>(Dollars in thousands)</w:t>
            </w:r>
          </w:p>
        </w:tc>
        <w:tc>
          <w:tcPr>
            <w:tcW w:w="244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88"/>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color w:val="auto"/>
              </w:rPr>
              <w:t>Three Months Ended</w:t>
            </w:r>
          </w:p>
        </w:tc>
        <w:tc>
          <w:tcPr>
            <w:tcW w:w="2440" w:type="dxa"/>
            <w:vAlign w:val="bottom"/>
            <w:gridSpan w:val="4"/>
          </w:tcPr>
          <w:p>
            <w:pPr>
              <w:jc w:val="center"/>
              <w:ind w:right="8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9"/>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28,</w:t>
            </w:r>
          </w:p>
        </w:tc>
        <w:tc>
          <w:tcPr>
            <w:tcW w:w="16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color w:val="auto"/>
              </w:rPr>
              <w:t>2023</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pre-tax deferred gains recorded in other comprehensive income that will mature in the next 12 months total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320" w:type="dxa"/>
            <w:vAlign w:val="bottom"/>
          </w:tcPr>
          <w:p>
            <w:pPr>
              <w:spacing w:after="0"/>
              <w:rPr>
                <w:sz w:val="13"/>
                <w:szCs w:val="13"/>
                <w:color w:val="auto"/>
              </w:rPr>
            </w:pPr>
          </w:p>
        </w:tc>
        <w:tc>
          <w:tcPr>
            <w:tcW w:w="1540" w:type="dxa"/>
            <w:vAlign w:val="bottom"/>
          </w:tcPr>
          <w:p>
            <w:pPr>
              <w:jc w:val="right"/>
              <w:ind w:right="43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174,624</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199,201</w:t>
            </w: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a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4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business acquisitions and the transaction values observed and its related control premiums.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material adverse factors/changes have occurred since the fourth quarter of 2023 that would require us to perform another qualitative or quantitative assessment. As such, for the third quarter of 2024, it was also not more likely than not that the fair values of the reporting units were less than their carrying amounts and thus, the respective goodwill amounts were not deemed to be impaired.</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April 2023, we completed the acquisition of BLR. The excess of the purchase price over the aggregate fair values of the net assets was recorded as goodwill. See Note 2 for further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326,322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244,600</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244,600</w:t>
            </w: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58"/>
        </w:trPr>
        <w:tc>
          <w:tcPr>
            <w:tcW w:w="7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300" w:type="dxa"/>
            <w:vAlign w:val="bottom"/>
          </w:tcPr>
          <w:p>
            <w:pPr>
              <w:spacing w:after="0"/>
              <w:rPr>
                <w:sz w:val="13"/>
                <w:szCs w:val="13"/>
                <w:color w:val="auto"/>
              </w:rPr>
            </w:pPr>
          </w:p>
        </w:tc>
        <w:tc>
          <w:tcPr>
            <w:tcW w:w="1480" w:type="dxa"/>
            <w:vAlign w:val="bottom"/>
          </w:tcPr>
          <w:p>
            <w:pPr>
              <w:jc w:val="right"/>
              <w:ind w:right="396"/>
              <w:spacing w:after="0" w:line="159" w:lineRule="exact"/>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7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r>
      <w:tr>
        <w:trPr>
          <w:trHeight w:val="22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42,260</w:t>
            </w:r>
          </w:p>
        </w:tc>
      </w:tr>
      <w:tr>
        <w:trPr>
          <w:trHeight w:val="21"/>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60" w:type="dxa"/>
            <w:vAlign w:val="bottom"/>
            <w:gridSpan w:val="4"/>
          </w:tcPr>
          <w:p>
            <w:pPr>
              <w:jc w:val="right"/>
              <w:ind w:right="1273"/>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340" w:type="dxa"/>
            <w:vAlign w:val="bottom"/>
          </w:tcPr>
          <w:p>
            <w:pPr>
              <w:spacing w:after="0"/>
              <w:rPr>
                <w:sz w:val="13"/>
                <w:szCs w:val="13"/>
                <w:color w:val="auto"/>
              </w:rPr>
            </w:pPr>
          </w:p>
        </w:tc>
        <w:tc>
          <w:tcPr>
            <w:tcW w:w="1620" w:type="dxa"/>
            <w:vAlign w:val="bottom"/>
          </w:tcPr>
          <w:p>
            <w:pPr>
              <w:jc w:val="right"/>
              <w:ind w:right="493"/>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239,063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242,188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23,800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257,863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265,988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(7,813)</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246,925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258,175</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245,988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256,961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35"/>
              <w:spacing w:after="0" w:line="203" w:lineRule="exact"/>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(1) Included as part of other assets.</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credit facilities (“2022 Credit Facilities”).</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7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monthly or quarterly basis, depending on the interest rate selected, on the last business day each month or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our prior credit facilities.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28, 2024 and September 30, 2023, we made the required quarterly amortization payments on the 2022 Term Loan of zero and $1.6 million, respectively. The required quarterly amortization payment due on September 30, 2024 is in the fiscal fourth quarter of 2024. For the nine months ended September 28, 2024 and September 30, 2023, we made the required amortization payments on the 2022 Term Loan totaling $3.1 million and $4.7 million, respectively.</w:t>
      </w:r>
    </w:p>
    <w:p>
      <w:pPr>
        <w:spacing w:after="0" w:line="4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28, 2024, we had $181.0 million of unused borrowing capacity under the 2022 Revolving Credit Facility, after deducting $0.2 million for standby letters of credit.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2024,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prior term loans of $1.0 million as of the modification date will be amortized over the life of the 2022 Term Loan, using the effective interest method.</w:t>
      </w:r>
    </w:p>
    <w:p>
      <w:pPr>
        <w:spacing w:after="0" w:line="51"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prior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prior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prior revolving credit facility of $0.8 million as of the modification date will also be amortized over the life of the 2022 Revolving Credit Facility.</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for further information.</w:t>
      </w:r>
    </w:p>
    <w:p>
      <w:pPr>
        <w:spacing w:after="0" w:line="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We utilized the net proceeds plus cash on hand to pay down $85.2 million on the 2022 Revolving Credit Facility. See Note 9 for further information.</w:t>
      </w:r>
    </w:p>
    <w:p>
      <w:pPr>
        <w:spacing w:after="0" w:line="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were not effective until January 1, 2024, we only recorded the changes in fair value of the derivative instruments that were highly effective and that were designated and qualified as cash flow hedges in other comprehensive income through December 31, 2023. See Note 1 and Note 4 for further information.</w:t>
      </w:r>
    </w:p>
    <w:p>
      <w:pPr>
        <w:spacing w:after="0" w:line="70"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were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2023, we completed a public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net proceeds of the public stock offering along with cash on hand were used to pay down $85.2 million on the 2022 Revolving Credit Facility that was drawn on and utilized to complete the acquisition of BLR. See Note 2 and Note 8 for further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Indemnifications</w:t>
      </w:r>
    </w:p>
    <w:p>
      <w:pPr>
        <w:spacing w:after="0" w:line="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$1.3 million for the three months ended September 28, 2024 compared to less than $0.1 million for the three months ended September 30, 2023. The increase in income tax expense for the third quarter of 2024 compared to the third quarter of 2023 was primarily due to higher pre-tax income and higher income tax expense related to non-deductible book compensation expenses in the third quarter of 2024 compared to the third quarter of 2023. The increase in income tax expense was partially offset by higher income tax benefits related to the U.S. Federal research and development credit recognized in the third quarter of 2024 compared to the third quarter of 2023.</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$5.4 million for the nine months ended September 28, 2024 compared to $1.8 million for the nine months ended September 30, 2023. The increase in income tax expense for the nine months ended September 28, 2024 compared to the nine months ended September 30, 2023 was primarily due to higher pre-tax income and higher income tax expense related to non-deductible book compensation expenses in the nine months ended September 28, 2024 compared to the nine months ended September 30, 2023. The increase in income tax expense was partially offset by higher income tax benefits related to the U.S. Federal research and development credit recognized in the nine months ended September 28, 2024 compared to the nine months ended September 30, 2023.</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$5.1 million and $4.5 million as of September 28, 2024 and December 31, 2023, respectively. If recognized, $3.3 million would affect the effective tax rate. We record interest and penalty charges, if any, related to uncertain tax positions as a component of tax expense and unrecognized tax benefits. The amounts accrued for interest and penalty charges as of September 28, 2024 and December 31, 2023 were not significant. As a result of statute of limitations set to expire in the fourth quarter of 2024, we expect decreases to our unrecognized tax benefits of approximately $1.0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California’s Wage and Hour Laws Complaint</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against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remained unchanged as of December 31, 2022 as we were awaiting final court approval of this settlement. Subsequent to final court approval and paying of the $0.9 million in January 2023, during the third quarter of 2023 and upon plaintiff's motion, the court re-opened the settlement agreement to determine whether the class list captured all affected employees. We are appealing this decision and intend to defend our position vigorously. Any amount of additional liability is still undetermined pending the appeal and as such, there is no amount of loss that is probable and reasonably estimable at this time. Thus, no additional accrual was recorded during the three and nine months ended September 28,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Groundwater</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September 28, 2024 and December 31, 2023, which is reflected in other long-term liabilities on our condensed consolidated balance sheets.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Waste Disposal</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September 28, 2024 and December 31, 2023, which is reflected in other long-term liabilities on our condensed consolidated balance sheets. We anticipate an updated estimate will be available over the next 12 to 24 months however, and will update our accrual for the estimated liability at that time, if needed. Our ultimate liability in connection with these matters will depend upon a number of factors, including changes in existing laws and regulations, the design and cost of construction, operation and maintenance activities related to a final remedy, and the allocation of liability among potentially responsible parties.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Guaymas Performance Center Fire</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with 117,000 square feet in Guaymas. 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seeking unspecified amounts for damages relating to the fire. In addition, subsequent to the quarter end, we received a subrogation demand from our landlord’s insurer, which we are currently evaluating. We intend to defend these matters vigorously and believe we have substantial defenses in relation to these claims. As responsibility for the fire is still undetermined,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losses and incremental costs incurred are recognized when receipt is probable. The anticipated insurance recoveries in excess of net book value of the damaged operating assets and business interruption are not recorded until all contingencies related to our claim have been resolved.</w:t>
      </w:r>
    </w:p>
    <w:p>
      <w:pPr>
        <w:spacing w:after="0" w:line="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insurance claim for damages to our operating assets and business interruption was deemed final and closed by our insurance company during the three months ended July 1, 2023. Thus, the final $3.8 million of insurance recoveries were also received and recorded as other income during the three months ended July 1, 2023. In addition, the gain contingencies associated with the remaining general insurance recoveries that were received in 2020 of</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$3.9 million, but for which recognition was deferred until all the gain contingencies were resolved, were deemed resolved, and thus, recorded as other income during the three months ended July 1, 2023. Cumulatively, as of July 1, 2023, we received insurance recoveries in aggregate total of $23.7 million, with $7.5 million for business interruption and $16.2 million for damages to property and equipment, inventories, and tooling. Further, all insurance recovery amounts received related to this claim have been recognized up to the amount of net book value loss and presented within the same financial statement line item in the condensed consolidated statements of income resulting in no net impact, with the remaining amounts recognized as other income in our condensed consolidated statements of income when the contingencies were deemed resolved.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Structural Systems Performance Center Fire</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There were no injuries; however, subsequent to the fire, we determined that some property and equipment in this company-owned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later that same quarter. As such, during the three months ended July 1, 2023, we wrote off property and equipment with an aggregate total net book value of $0.2 million. Also during the three months ended July 1, 2023, we received insurance recoveries of $0.3 million (which was net of our deductible of $0.1 million) and thus, such insurance recoveries were also presented within the same financial statement line item in the condensed consolidated statements of income resulting in no net impact. The amount of the insurance recoveries received in excess of the loss on operating assets was deemed a contingent gain, and since the gain contingencies were deemed resolved, the $0.1 million was also recorded as other income during the three months ended July 1, 2023. Finally, during the three months ended December 31, 2023, the insurance claim was deemed final and closed by our insurance company and we received a final payment of $0.3 million, which was recorded as other income.</w:t>
      </w:r>
    </w:p>
    <w:p>
      <w:pPr>
        <w:spacing w:after="0" w:line="13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Business Segment Information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25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6"/>
                <w:szCs w:val="16"/>
                <w:color w:val="auto"/>
              </w:rPr>
            </w:pPr>
          </w:p>
        </w:tc>
        <w:tc>
          <w:tcPr>
            <w:tcW w:w="25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2"/>
                <w:szCs w:val="12"/>
                <w:color w:val="auto"/>
              </w:rPr>
            </w:pPr>
          </w:p>
        </w:tc>
        <w:tc>
          <w:tcPr>
            <w:tcW w:w="1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September 28,</w:t>
            </w:r>
          </w:p>
        </w:tc>
        <w:tc>
          <w:tcPr>
            <w:tcW w:w="180" w:type="dxa"/>
            <w:vAlign w:val="bottom"/>
          </w:tcPr>
          <w:p>
            <w:pPr>
              <w:spacing w:after="0"/>
              <w:rPr>
                <w:sz w:val="12"/>
                <w:szCs w:val="12"/>
                <w:color w:val="auto"/>
              </w:rPr>
            </w:pPr>
          </w:p>
        </w:tc>
        <w:tc>
          <w:tcPr>
            <w:tcW w:w="11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323,457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241,304</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564,761</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 xml:space="preserve">Segment Operating Income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(29,136)</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16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for the three months and nine months ended September 28, 2024 include BLR’s results of operations, which have been included in our condensed consolidated statements of income since the date of acquisition as part of the Structural Systems segment. See Note 2.</w:t>
      </w:r>
    </w:p>
    <w:p>
      <w:pPr>
        <w:spacing w:after="0" w:line="40"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6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28,</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505,371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1,120,919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173,214</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Structural Systems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237,729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410,943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140" w:hanging="329"/>
        <w:spacing w:after="0" w:line="266"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2023, we acquired 100.0% of the outstanding equity interests of BLR for an initial purchase price of $115.0 million, net of cash acquired. We allocated the gross purchase price of $117.0 million to the assets acquired and liabilities assumed at their estimated fair values. The excess of the purchase price over the aggregate fair values of the net assets was recorded as goodwill. See Note 2.</w:t>
      </w:r>
    </w:p>
    <w:p>
      <w:pPr>
        <w:spacing w:after="0" w:line="54" w:lineRule="exact"/>
        <w:rPr>
          <w:rFonts w:ascii="Times New Roman" w:cs="Times New Roman" w:eastAsia="Times New Roman" w:hAnsi="Times New Roman"/>
          <w:sz w:val="18"/>
          <w:szCs w:val="18"/>
          <w:color w:val="auto"/>
        </w:rPr>
      </w:pPr>
    </w:p>
    <w:p>
      <w:pPr>
        <w:ind w:left="580" w:right="120" w:hanging="329"/>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its 2023 Annual Report on Form 10-K, The Boeing Company (“Boeing”) indicated that in 2023, global air traffic largely recovered to 2019 levels with domestic travel continuing to be the most robust and international travel has mostly recovered. For 2024, while both major large aircraft manufacturers, Boeing and Airbus SE, have announced either similar or increases in build rates compared to 2023, the ramp up to date has been slower than initially expected and below pre-pandemic levels. In addition, Boeing, one of our largest customers, was notified by the Federal Aviation Administration (“FAA”) in early January 2024 that the FAA had initiated an investigation into Boeing’s quality control system. This notification was followed by the FAA announcing actions to increase its oversight of Boeing as well as not approving production rate increases or additional production lines for the 737 MAX until it is satisfied that Boeing is in full compliance with required quality control procedures. In July 2024, Boeing also pleaded guilty to conspiracy fraud charges, which may result in additional external oversight on its manufacturing and quality control process. Further, in September 2024, the International Association of Machinists and Aerospace Workers District 751 voted to initiate a labor strike affecting more than 30,000 Boeing manufacturing employees primarily located in Washington state, and the manufacturing employees, after rejecting the contract offer in October, voted to approve the revised contract offer in November 2024. Since Boeing is one of our largest customers, if Boeing is unable to meet the full compliance of the FAA’s required quality control procedures, and/or recover from the impact of the labor strike in the near term, it could have a material adverse impact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recap:</w:t>
      </w:r>
    </w:p>
    <w:p>
      <w:pPr>
        <w:spacing w:after="0" w:line="121"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$201.4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$10.1 million, or 5.0% of net revenues, or $0.67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$31.9 million, or 15.8% of net revenues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of 2024 Compared to Third Quarter of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gridSpan w:val="7"/>
          </w:tcPr>
          <w:p>
            <w:pPr>
              <w:jc w:val="center"/>
              <w:ind w:left="67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gridSpan w:val="7"/>
          </w:tcPr>
          <w:p>
            <w:pPr>
              <w:jc w:val="center"/>
              <w:ind w:left="67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September 28,</w:t>
            </w:r>
          </w:p>
        </w:tc>
        <w:tc>
          <w:tcPr>
            <w:tcW w:w="1000" w:type="dxa"/>
            <w:vAlign w:val="bottom"/>
            <w:gridSpan w:val="2"/>
          </w:tcPr>
          <w:p>
            <w:pPr>
              <w:jc w:val="center"/>
              <w:ind w:left="3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September 28,</w:t>
            </w:r>
          </w:p>
        </w:tc>
        <w:tc>
          <w:tcPr>
            <w:tcW w:w="1020" w:type="dxa"/>
            <w:vAlign w:val="bottom"/>
            <w:gridSpan w:val="2"/>
          </w:tcPr>
          <w:p>
            <w:pPr>
              <w:jc w:val="center"/>
              <w:ind w:left="1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201,412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196,250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589,259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564,761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148,736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151,648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438,401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443,270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52,676</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44,602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150,858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121,491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35,486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32,182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104,498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88,755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1,924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4,548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12,750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15,266</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41,812</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19,986</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(11,687)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(15,324)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7,945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11,437</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30,125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12,607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10,148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24,721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and nine months ended September 28, 2024 and September 30, 2023,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w w:val="99"/>
              </w:rPr>
              <w:t>Three Months 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Nine Months Ended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760" w:type="dxa"/>
            <w:vAlign w:val="bottom"/>
            <w:tcBorders>
              <w:top w:val="single" w:sz="8" w:color="auto"/>
            </w:tcBorders>
            <w:gridSpan w:val="3"/>
          </w:tcPr>
          <w:p>
            <w:pPr>
              <w:jc w:val="right"/>
              <w:ind w:right="431"/>
              <w:spacing w:after="0"/>
              <w:rPr>
                <w:sz w:val="20"/>
                <w:szCs w:val="20"/>
                <w:color w:val="auto"/>
              </w:rPr>
            </w:pPr>
            <w:r>
              <w:rPr>
                <w:rFonts w:ascii="Times New Roman" w:cs="Times New Roman" w:eastAsia="Times New Roman" w:hAnsi="Times New Roman"/>
                <w:sz w:val="11"/>
                <w:szCs w:val="11"/>
                <w:color w:val="auto"/>
              </w:rPr>
              <w:t>% of Net Revenues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780" w:type="dxa"/>
            <w:vAlign w:val="bottom"/>
            <w:tcBorders>
              <w:top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10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30,</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September 28,</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September 30,</w:t>
            </w: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10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30,</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September 28,</w:t>
            </w: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1"/>
                <w:szCs w:val="11"/>
                <w:color w:val="auto"/>
              </w:rPr>
              <w:t>September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2"/>
                <w:szCs w:val="12"/>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0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111,402</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104,806</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53.4 %</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11,023</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310,869</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299,846</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81,791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251,186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9,653</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27,204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196,250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589,259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92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9,853</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85,433</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75,580</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68.3 %</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tcPr>
          <w:p>
            <w:pPr>
              <w:jc w:val="right"/>
              <w:ind w:right="12"/>
              <w:spacing w:after="0"/>
              <w:rPr>
                <w:sz w:val="20"/>
                <w:szCs w:val="20"/>
                <w:color w:val="auto"/>
              </w:rPr>
            </w:pPr>
            <w:r>
              <w:rPr>
                <w:rFonts w:ascii="Times New Roman" w:cs="Times New Roman" w:eastAsia="Times New Roman" w:hAnsi="Times New Roman"/>
                <w:sz w:val="14"/>
                <w:szCs w:val="14"/>
                <w:color w:val="auto"/>
              </w:rPr>
              <w:t>227,925</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220,679</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68.2 %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25,474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69,262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9,653</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27,204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115,412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110,707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324,391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9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29,226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82,944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79,167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56,317</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181,924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162,137</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68.7 %</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8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86,000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85,543</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264,868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241,304</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September 28, 2024 were $201.4 million, compared to $196.3 million for the three months ended September 30, 2023. The year-over-year increase in our key end-use markets were primarily due to the following:</w:t>
      </w:r>
    </w:p>
    <w:p>
      <w:pPr>
        <w:spacing w:after="0" w:line="40" w:lineRule="exact"/>
        <w:rPr>
          <w:sz w:val="20"/>
          <w:szCs w:val="20"/>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higher revenues in our military and space end-use markets due to higher rates on selected radar, electronic warfare, and other military and space platforms, partially offset by lower rates on rotary-wing and fixed-wing aircraft platforms; and</w:t>
      </w:r>
    </w:p>
    <w:p>
      <w:pPr>
        <w:spacing w:after="0" w:line="4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higher revenues in our commercial aerospace end-use markets due to growth in Airbus and selected business aircraft platforms, partially offset by lower revenues from the Boeing 737 MAX and in-flight entertainment.</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three months ended September 28, 2024 decreased $4.3 million compared to the three months ended September 30, 2023 mainly due to our selectively pruning non-core business.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revenues for the nine months ended September 28, 2024 were $589.3 million, compared to $564.8 million for the nine months ended September 30, 2023. The year-over-year increase in our key end-use markets were primarily due to the following:</w:t>
      </w:r>
    </w:p>
    <w:p>
      <w:pPr>
        <w:spacing w:after="0" w:line="27" w:lineRule="exact"/>
        <w:rPr>
          <w:sz w:val="20"/>
          <w:szCs w:val="20"/>
          <w:color w:val="auto"/>
        </w:rPr>
      </w:pPr>
    </w:p>
    <w:p>
      <w:pPr>
        <w:jc w:val="both"/>
        <w:ind w:left="660" w:right="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 million higher revenues in our commercial aerospace end-use markets due to growth in Airbus, customer required buffer stock build for the Monrovia performance center closure, higher rates on rotary-wing platforms, and growth in selected business aircraft platforms, partially offset by lower revenues from in-flight entertainment and other commercial aerospace platforms; and</w:t>
      </w:r>
    </w:p>
    <w:p>
      <w:pPr>
        <w:spacing w:after="0" w:line="54"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higher revenues in our military and space end-use markets due to higher rates on selected radar, electronic warfare, naval and submarine, and other military and space platforms, partially offset by lower rates on fixed-wing aircraft platforms.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nine months ended September 28, 2024 decreased $7.3 million compared to the nine months ended September 30, 2023 mainly due to our selectively pruning non-core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50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60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520" w:type="dxa"/>
            <w:vAlign w:val="bottom"/>
            <w:gridSpan w:val="3"/>
          </w:tcPr>
          <w:p>
            <w:pPr>
              <w:jc w:val="right"/>
              <w:ind w:right="59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23"/>
        </w:trPr>
        <w:tc>
          <w:tcPr>
            <w:tcW w:w="5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133"/>
        </w:trPr>
        <w:tc>
          <w:tcPr>
            <w:tcW w:w="5120" w:type="dxa"/>
            <w:vAlign w:val="bottom"/>
          </w:tcPr>
          <w:p>
            <w:pPr>
              <w:spacing w:after="0"/>
              <w:rPr>
                <w:sz w:val="11"/>
                <w:szCs w:val="11"/>
                <w:color w:val="auto"/>
              </w:rPr>
            </w:pPr>
          </w:p>
        </w:tc>
        <w:tc>
          <w:tcPr>
            <w:tcW w:w="1300" w:type="dxa"/>
            <w:vAlign w:val="bottom"/>
            <w:tcBorders>
              <w:top w:val="single" w:sz="8" w:color="auto"/>
            </w:tcBorders>
            <w:gridSpan w:val="2"/>
          </w:tcPr>
          <w:p>
            <w:pPr>
              <w:ind w:left="180"/>
              <w:spacing w:after="0" w:line="133" w:lineRule="exact"/>
              <w:rPr>
                <w:sz w:val="20"/>
                <w:szCs w:val="20"/>
                <w:color w:val="auto"/>
              </w:rPr>
            </w:pPr>
            <w:r>
              <w:rPr>
                <w:rFonts w:ascii="Times New Roman" w:cs="Times New Roman" w:eastAsia="Times New Roman" w:hAnsi="Times New Roman"/>
                <w:sz w:val="14"/>
                <w:szCs w:val="14"/>
                <w:color w:val="auto"/>
              </w:rPr>
              <w:t>September 28,</w:t>
            </w:r>
          </w:p>
        </w:tc>
        <w:tc>
          <w:tcPr>
            <w:tcW w:w="1200" w:type="dxa"/>
            <w:vAlign w:val="bottom"/>
            <w:tcBorders>
              <w:top w:val="single" w:sz="8" w:color="auto"/>
            </w:tcBorders>
          </w:tcPr>
          <w:p>
            <w:pPr>
              <w:jc w:val="right"/>
              <w:ind w:right="94"/>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1"/>
                <w:szCs w:val="11"/>
                <w:color w:val="auto"/>
              </w:rPr>
            </w:pPr>
          </w:p>
        </w:tc>
        <w:tc>
          <w:tcPr>
            <w:tcW w:w="1320" w:type="dxa"/>
            <w:vAlign w:val="bottom"/>
            <w:tcBorders>
              <w:top w:val="single" w:sz="8" w:color="auto"/>
            </w:tcBorders>
            <w:gridSpan w:val="2"/>
          </w:tcPr>
          <w:p>
            <w:pPr>
              <w:ind w:left="200"/>
              <w:spacing w:after="0" w:line="133" w:lineRule="exact"/>
              <w:rPr>
                <w:sz w:val="20"/>
                <w:szCs w:val="20"/>
                <w:color w:val="auto"/>
              </w:rPr>
            </w:pPr>
            <w:r>
              <w:rPr>
                <w:rFonts w:ascii="Times New Roman" w:cs="Times New Roman" w:eastAsia="Times New Roman" w:hAnsi="Times New Roman"/>
                <w:sz w:val="14"/>
                <w:szCs w:val="14"/>
                <w:color w:val="auto"/>
              </w:rPr>
              <w:t>September 28,</w:t>
            </w:r>
          </w:p>
        </w:tc>
        <w:tc>
          <w:tcPr>
            <w:tcW w:w="1200" w:type="dxa"/>
            <w:vAlign w:val="bottom"/>
            <w:tcBorders>
              <w:top w:val="single" w:sz="8" w:color="auto"/>
            </w:tcBorders>
          </w:tcPr>
          <w:p>
            <w:pPr>
              <w:jc w:val="right"/>
              <w:ind w:right="94"/>
              <w:spacing w:after="0" w:line="133" w:lineRule="exact"/>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5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 Martin Corporation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Corporation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r>
    </w:tbl>
    <w:p>
      <w:pPr>
        <w:spacing w:after="0" w:line="238" w:lineRule="exact"/>
        <w:rPr>
          <w:sz w:val="20"/>
          <w:szCs w:val="20"/>
          <w:color w:val="auto"/>
        </w:rPr>
      </w:pPr>
    </w:p>
    <w:p>
      <w:pPr>
        <w:ind w:left="340" w:right="38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Lockheed Martin Corporation (“Lockheed”), Northrop Grumman Corporation (“Northrop”), RTX Corporation (“RTX”), Spirit AeroSystems Holdings, Inc. (“Spirit”), and Viasat, Inc. (“Viasat”) for the three and nine months ended September 28, 2024 and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Lockheed, Northrop, RTX, Spirit, and Viasat represented the following percentages of total accounts receivable: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28,</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86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Lockheed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Lockheed, Northrop, RTX, Spirit, and Viasat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September 28, 2024 of 26.2%, compared to the three months ended September 30, 2023 of 22.7% primarily due to favorable product mix and higher manufacturing volume, partially offset by higher other manufacturing costs.</w:t>
      </w:r>
    </w:p>
    <w:p>
      <w:pPr>
        <w:spacing w:after="0" w:line="5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revenues increased year-over-year with the nine months ended September 28, 2024 of 25.6%, compared to the nine months ended September 30, 2023 of 21.5% primarily due to higher manufacturing volume and favorable product mix, partially offset by higher other manufacturing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SG&amp;A expenses increased $3.3 million year-over-year in the three months ended September 28, 2024 compared to the three months ended September 30, 2023 primarily due to higher various other SG&amp;A expenses of $1.5 million, higher professional services fees of $1.3 million, of which $1.0 million was related to the unsolicited non-binding offer to acquire all common stock outstanding of Ducommun Incorporated, and higher compensation and benefits expense of $0.6 million.</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SG&amp;A expenses increased $15.7 million year-over-year in the nine months ended September 28, 2024 compared to the nine months ended September 30, 2023 primarily due to BLR SG&amp;A expenses of $6.8 million which did not exist until the acquisition of BLR was completed at the end of April 2023, higher compensation and benefits expense of $3.8 million, and higher professional services fees of $3.5 million, of which $2.4 million was related to the unsolicited non-binding offer to acquire all common stock outstanding of Ducommun Incorporated.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Restructuring charges decreased $2.1 million and $7.5 million (including $0.9 million recorded as cost of sales in the nine months ended September 28, 2024) year-over-year in the three and nine months ended September 28, 2024, compared to the three and nine months ended September 30, 2023 (including $0.2 million recorded as cost of sales in each period), respectively, primarily due to the winding down of the previously disclosed restructuring plan that was approved and commenced in April 2022. See Note 3 for further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expense decreased $1.5 million and $3.6 million year-over-year in the three and nine months ended September 28, 2024, compared to the three and nine months ended September 30, 2023, respectively, primarily due to the interest rate swaps that became effective as of January 1, 2024, along with a lower debt balance.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$1.3 million for the three months ended September 28, 2024 compared to less than $0.1 million for the three months ended September 30, 2023. The increase in income tax expense for the third quarter of 2024 compared to the third quarter of 2023 was primarily due to higher pre-tax income and higher income tax expense related to non-deductible book compensation expenses in the third quarter of 2024 compared to the third quarter of 2023. The increase in income tax expense was partially offset by higher income tax benefits related to the U.S. Federal research and development credit recognized in the third quarter of 2024 compared to the third quarter of 2023.</w:t>
      </w:r>
    </w:p>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$5.4 million for the nine months ended September 28, 2024 compared to $1.8 million for the nine months ended September 30, 2023. The increase in income tax expense for the nine months ended September 28, 2024 compared to the nine months ended September 30, 2023 was primarily due to higher pre-tax income and higher income tax expense related to non-deductible book compensation expenses in the nine months ended September 28, 2024 compared to the nine months ended September 30, 2023. The increase in income tax expense was partially offset by higher income tax benefits related to the U.S. Federal research and development credit recognized in the nine months ended September 28, 2024 compared to the nine months ended September 30, 2023.</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$5.1 million and $4.5 million as of September 28, 2024 and December 31, 2023, respectively. If recognized, $3.3 million would affect the effective tax rate. We record interest and penalty charges, if any, related to uncertain tax positions as a component of tax expense and unrecognized tax benefits. The amounts accrued for interest and penalty charges as of September 28, 2024 and December 31, 2023 were not significant. As a result of statute of limitations set to expire in the fourth quarter of 2024, we expect decreases to our unrecognized tax benefits of approximately $1.0 million in the next twelve months.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2019 and by state taxing authorities for tax years after 2018.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Net income and earnings per share for the three months ended September 28, 2024 were $10.1 million, or 5.0% of revenues, or $0.67 per diluted share, compared to $3.2 million, or 1.6% of revenues, or $0.22 per diluted share, for the three months ended September 30, 2023. The increase in net income for the three months ended September 28, 2024 compared to the three months ended September 30, 2023 was primarily due to higher gross profit of $8.1 million and lower restructuring charges of $2.1 million (including $0.2 million recorded as cost of sales in the prior year period), partially offset by higher SG&amp;A expenses of $3.3 million. A portion of the higher SG&amp;A expenses were due to the unsolicited non-binding offer to acquire all common stock outstanding of Ducommun Incorporated.</w:t>
      </w:r>
    </w:p>
    <w:p>
      <w:pPr>
        <w:spacing w:after="0" w:line="6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income and earnings per share for the nine months ended September 28, 2024 were $24.7 million, or 4.2% of revenues, or $1.65 per diluted share, compared to $10.8 million, or 1.9% of revenues, or $0.79 per diluted share, for the nine months ended September 30, 2023. The increase in net income for the nine months ended September 28, 2024 compared to the nine months ended September 30, 2023 was primarily due to higher gross profit of $29.4 million and lower restructuring charges of $7.5 million (including $0.9 million and $0.2 million recorded as cost of sales in each period, respectively), partially offset by higher SG&amp;A expenses of $15.7 million and lower other income of $7.9 million. A portion of the higher SG&amp;A expenses were due to BLR SG&amp;A expenses of $6.8 million which did not exist until the end of April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nine months ended September 28, 2024 and September 30,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w w:val="96"/>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w w:val="97"/>
              </w:rPr>
              <w:t>Nine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6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280"/>
              <w:spacing w:after="0"/>
              <w:rPr>
                <w:sz w:val="20"/>
                <w:szCs w:val="20"/>
                <w:color w:val="auto"/>
              </w:rPr>
            </w:pPr>
            <w:r>
              <w:rPr>
                <w:rFonts w:ascii="Times New Roman" w:cs="Times New Roman" w:eastAsia="Times New Roman" w:hAnsi="Times New Roman"/>
                <w:sz w:val="11"/>
                <w:szCs w:val="11"/>
                <w:color w:val="auto"/>
              </w:rPr>
              <w:t>(Dollars in thousands)</w:t>
            </w:r>
          </w:p>
        </w:tc>
        <w:tc>
          <w:tcPr>
            <w:tcW w:w="1720" w:type="dxa"/>
            <w:vAlign w:val="bottom"/>
            <w:tcBorders>
              <w:top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 of Net Revenues</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6"/>
          </w:tcPr>
          <w:p>
            <w:pPr>
              <w:ind w:left="300"/>
              <w:spacing w:after="0"/>
              <w:rPr>
                <w:sz w:val="20"/>
                <w:szCs w:val="20"/>
                <w:color w:val="auto"/>
              </w:rPr>
            </w:pPr>
            <w:r>
              <w:rPr>
                <w:rFonts w:ascii="Times New Roman" w:cs="Times New Roman" w:eastAsia="Times New Roman" w:hAnsi="Times New Roman"/>
                <w:sz w:val="11"/>
                <w:szCs w:val="11"/>
                <w:color w:val="auto"/>
              </w:rPr>
              <w:t>(Dollars in thousands)</w:t>
            </w:r>
          </w:p>
        </w:tc>
        <w:tc>
          <w:tcPr>
            <w:tcW w:w="1760" w:type="dxa"/>
            <w:vAlign w:val="bottom"/>
            <w:tcBorders>
              <w:top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auto"/>
              </w:rPr>
              <w:t>Change</w:t>
            </w:r>
          </w:p>
        </w:tc>
        <w:tc>
          <w:tcPr>
            <w:tcW w:w="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10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30,</w:t>
            </w:r>
          </w:p>
        </w:tc>
        <w:tc>
          <w:tcPr>
            <w:tcW w:w="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1"/>
                <w:szCs w:val="11"/>
                <w:color w:val="auto"/>
              </w:rPr>
              <w:t>September 30,</w:t>
            </w:r>
          </w:p>
        </w:tc>
        <w:tc>
          <w:tcPr>
            <w:tcW w:w="120" w:type="dxa"/>
            <w:vAlign w:val="bottom"/>
          </w:tcPr>
          <w:p>
            <w:pPr>
              <w:spacing w:after="0"/>
              <w:rPr>
                <w:sz w:val="11"/>
                <w:szCs w:val="11"/>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Change</w:t>
            </w:r>
          </w:p>
        </w:tc>
        <w:tc>
          <w:tcPr>
            <w:tcW w:w="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September 30,</w:t>
            </w:r>
          </w:p>
        </w:tc>
        <w:tc>
          <w:tcPr>
            <w:tcW w:w="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September 28,</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1"/>
                <w:szCs w:val="11"/>
                <w:color w:val="auto"/>
              </w:rPr>
              <w:t>September 30,</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2"/>
                <w:szCs w:val="12"/>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22"/>
        </w:trPr>
        <w:tc>
          <w:tcPr>
            <w:tcW w:w="2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57.3 %</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324,391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57.3 %</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42.7 %</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264,868</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241,304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44.9 %</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42.7 %</w:t>
            </w:r>
          </w:p>
        </w:tc>
        <w:tc>
          <w:tcPr>
            <w:tcW w:w="0" w:type="dxa"/>
            <w:vAlign w:val="bottom"/>
          </w:tcPr>
          <w:p>
            <w:pPr>
              <w:spacing w:after="0"/>
              <w:rPr>
                <w:sz w:val="1"/>
                <w:szCs w:val="1"/>
                <w:color w:val="auto"/>
              </w:rPr>
            </w:pPr>
          </w:p>
        </w:tc>
      </w:tr>
      <w:tr>
        <w:trPr>
          <w:trHeight w:val="169"/>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Net Revenues</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201,412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196,250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589,259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564,761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16.4 %</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0" w:type="dxa"/>
            <w:vAlign w:val="bottom"/>
          </w:tcPr>
          <w:p>
            <w:pPr>
              <w:spacing w:after="0"/>
              <w:rPr>
                <w:sz w:val="1"/>
                <w:szCs w:val="1"/>
                <w:color w:val="auto"/>
              </w:rPr>
            </w:pPr>
          </w:p>
        </w:tc>
      </w:tr>
      <w:tr>
        <w:trPr>
          <w:trHeight w:val="170"/>
        </w:trPr>
        <w:tc>
          <w:tcPr>
            <w:tcW w:w="2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20" w:type="dxa"/>
            <w:vAlign w:val="bottom"/>
            <w:shd w:val="clear" w:color="auto" w:fill="CCEEFF"/>
          </w:tcPr>
          <w:p>
            <w:pPr>
              <w:ind w:left="360"/>
              <w:spacing w:after="0" w:line="141" w:lineRule="exact"/>
              <w:rPr>
                <w:sz w:val="20"/>
                <w:szCs w:val="20"/>
                <w:color w:val="auto"/>
              </w:rPr>
            </w:pPr>
            <w:r>
              <w:rPr>
                <w:rFonts w:ascii="Times New Roman" w:cs="Times New Roman" w:eastAsia="Times New Roman" w:hAnsi="Times New Roman"/>
                <w:sz w:val="14"/>
                <w:szCs w:val="14"/>
                <w:color w:val="auto"/>
              </w:rPr>
              <w:t>Corporate General and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Administrative Expenses </w:t>
            </w:r>
            <w:r>
              <w:rPr>
                <w:rFonts w:ascii="Times New Roman" w:cs="Times New Roman" w:eastAsia="Times New Roman" w:hAnsi="Times New Roman"/>
                <w:sz w:val="9"/>
                <w:szCs w:val="9"/>
                <w:color w:val="auto"/>
              </w:rPr>
              <w:t>(1)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(34,589)</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9"/>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Operating Income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15,266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41,812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Income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Depreciation and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 xml:space="preserve">Compensation Expense </w:t>
            </w:r>
            <w:r>
              <w:rPr>
                <w:rFonts w:ascii="Times New Roman" w:cs="Times New Roman" w:eastAsia="Times New Roman" w:hAnsi="Times New Roman"/>
                <w:sz w:val="9"/>
                <w:szCs w:val="9"/>
                <w:color w:val="auto"/>
              </w:rPr>
              <w:t>(2)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16.4 %</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15.2 %</w:t>
            </w: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Income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Depreciation and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 xml:space="preserve">Compensation Expense </w:t>
            </w:r>
            <w:r>
              <w:rPr>
                <w:rFonts w:ascii="Times New Roman" w:cs="Times New Roman" w:eastAsia="Times New Roman" w:hAnsi="Times New Roman"/>
                <w:sz w:val="9"/>
                <w:szCs w:val="9"/>
                <w:color w:val="auto"/>
              </w:rPr>
              <w:t>(3)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Guaymas Fire Related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Expenses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Other Fire Related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Expenses</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Inventory Purchase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Accounting Adjustments</w:t>
            </w: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19.3 %</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18.7 %</w:t>
            </w:r>
          </w:p>
        </w:tc>
        <w:tc>
          <w:tcPr>
            <w:tcW w:w="0" w:type="dxa"/>
            <w:vAlign w:val="bottom"/>
          </w:tcPr>
          <w:p>
            <w:pPr>
              <w:spacing w:after="0"/>
              <w:rPr>
                <w:sz w:val="1"/>
                <w:szCs w:val="1"/>
                <w:color w:val="auto"/>
              </w:rPr>
            </w:pPr>
          </w:p>
        </w:tc>
      </w:tr>
      <w:tr>
        <w:trPr>
          <w:trHeight w:val="135"/>
        </w:trPr>
        <w:tc>
          <w:tcPr>
            <w:tcW w:w="23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Corporate General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Administrative Expenses </w:t>
            </w:r>
            <w:r>
              <w:rPr>
                <w:rFonts w:ascii="Times New Roman" w:cs="Times New Roman" w:eastAsia="Times New Roman" w:hAnsi="Times New Roman"/>
                <w:sz w:val="9"/>
                <w:szCs w:val="9"/>
                <w:color w:val="auto"/>
              </w:rPr>
              <w:t>(1)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680"/>
              <w:spacing w:after="0" w:line="135" w:lineRule="exact"/>
              <w:rPr>
                <w:sz w:val="20"/>
                <w:szCs w:val="20"/>
                <w:color w:val="auto"/>
              </w:rPr>
            </w:pPr>
            <w:r>
              <w:rPr>
                <w:rFonts w:ascii="Times New Roman" w:cs="Times New Roman" w:eastAsia="Times New Roman" w:hAnsi="Times New Roman"/>
                <w:sz w:val="14"/>
                <w:szCs w:val="14"/>
                <w:color w:val="auto"/>
              </w:rPr>
              <w:t>Depreciation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xml:space="preserve">Compensation Expense </w:t>
            </w:r>
            <w:r>
              <w:rPr>
                <w:rFonts w:ascii="Times New Roman" w:cs="Times New Roman" w:eastAsia="Times New Roman" w:hAnsi="Times New Roman"/>
                <w:sz w:val="9"/>
                <w:szCs w:val="9"/>
                <w:color w:val="auto"/>
              </w:rPr>
              <w:t>(4)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Restructuring Charges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Professional Fees Related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20" w:type="dxa"/>
            <w:vAlign w:val="bottom"/>
            <w:shd w:val="clear" w:color="auto" w:fill="CCEEFF"/>
          </w:tcPr>
          <w:p>
            <w:pPr>
              <w:ind w:left="680"/>
              <w:spacing w:after="0" w:line="139" w:lineRule="exact"/>
              <w:rPr>
                <w:sz w:val="20"/>
                <w:szCs w:val="20"/>
                <w:color w:val="auto"/>
              </w:rPr>
            </w:pPr>
            <w:r>
              <w:rPr>
                <w:rFonts w:ascii="Times New Roman" w:cs="Times New Roman" w:eastAsia="Times New Roman" w:hAnsi="Times New Roman"/>
                <w:sz w:val="14"/>
                <w:szCs w:val="14"/>
                <w:color w:val="auto"/>
              </w:rPr>
              <w:t>to Unsolicited Non-</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Binding Acquisition Offer</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3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(19,729)</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(15,733)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Adjusted EBITDA</w:t>
            </w: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29,327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15.8 %</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89,251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78,516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Electronic Systems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Structural Systems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Administration</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320" w:type="dxa"/>
            <w:vAlign w:val="bottom"/>
          </w:tcPr>
          <w:p>
            <w:pPr>
              <w:ind w:left="680"/>
              <w:spacing w:after="0" w:line="115" w:lineRule="exact"/>
              <w:rPr>
                <w:sz w:val="20"/>
                <w:szCs w:val="20"/>
                <w:color w:val="auto"/>
              </w:rPr>
            </w:pPr>
            <w:r>
              <w:rPr>
                <w:rFonts w:ascii="Times New Roman" w:cs="Times New Roman" w:eastAsia="Times New Roman" w:hAnsi="Times New Roman"/>
                <w:sz w:val="13"/>
                <w:szCs w:val="13"/>
                <w:color w:val="auto"/>
              </w:rPr>
              <w:t>Total Capital</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Expenditures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10,146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63" w:lineRule="exact"/>
        <w:rPr>
          <w:rFonts w:ascii="Times New Roman" w:cs="Times New Roman" w:eastAsia="Times New Roman" w:hAnsi="Times New Roman"/>
          <w:sz w:val="18"/>
          <w:szCs w:val="18"/>
          <w:color w:val="auto"/>
        </w:rPr>
      </w:pPr>
    </w:p>
    <w:p>
      <w:pPr>
        <w:jc w:val="both"/>
        <w:ind w:left="580" w:right="160" w:hanging="329"/>
        <w:spacing w:after="0" w:line="266"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September 28, 2024 each included $0.1 million of stock-based compensation expense recorded as cost of sales. The three and nine months ended September 30, 2023 included less than $0.1 million and $0.1 million, respectively, of stock-based compensation expense recorded as cost of sales.</w:t>
      </w:r>
    </w:p>
    <w:p>
      <w:pPr>
        <w:spacing w:after="0" w:line="13" w:lineRule="exact"/>
        <w:rPr>
          <w:rFonts w:ascii="Times New Roman" w:cs="Times New Roman" w:eastAsia="Times New Roman" w:hAnsi="Times New Roman"/>
          <w:sz w:val="18"/>
          <w:szCs w:val="18"/>
          <w:color w:val="auto"/>
        </w:rPr>
      </w:pPr>
    </w:p>
    <w:p>
      <w:pPr>
        <w:ind w:left="580" w:right="40" w:hanging="329"/>
        <w:spacing w:after="0" w:line="266"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September 28, 2024 included $0.1 million and $0.2 million, respectively, of stock-based compensation expense recorded as cost of sales. The three and nine months ended September 30, 2023 included $0.1 million and $0.2 million, respectively, of stock-based compensation expense recorded as cost of sales.</w:t>
      </w:r>
    </w:p>
    <w:p>
      <w:pPr>
        <w:spacing w:after="0" w:line="13" w:lineRule="exact"/>
        <w:rPr>
          <w:rFonts w:ascii="Times New Roman" w:cs="Times New Roman" w:eastAsia="Times New Roman" w:hAnsi="Times New Roman"/>
          <w:sz w:val="18"/>
          <w:szCs w:val="18"/>
          <w:color w:val="auto"/>
        </w:rPr>
      </w:pPr>
    </w:p>
    <w:p>
      <w:pPr>
        <w:ind w:left="580" w:right="20" w:hanging="329"/>
        <w:spacing w:after="0" w:line="261" w:lineRule="auto"/>
        <w:tabs>
          <w:tab w:leader="none" w:pos="5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September 28, 2024 included $0.9 million and $2.8 million, respectively, of stock-based compensation expense for awards with both performance and market conditions that will be settled in cash. The three and nine months ended September 30, 2023 included $1.4 million and $2.7 million, respectively, of stock-based compensation expense for awards with both performance and market conditions that will be settled in cash.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September 28, 2024 compared to the three months ended September 30, 2023 increased $4.7 million primarily due to the following in our key end-use markets:</w:t>
      </w:r>
    </w:p>
    <w:p>
      <w:pPr>
        <w:spacing w:after="0" w:line="40" w:lineRule="exact"/>
        <w:rPr>
          <w:sz w:val="20"/>
          <w:szCs w:val="20"/>
          <w:color w:val="auto"/>
        </w:rPr>
      </w:pPr>
    </w:p>
    <w:p>
      <w:pPr>
        <w:ind w:left="660" w:right="2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higher revenues in our military and space end-use markets due to higher rates on select radar, electronic warfare, and other military and space platforms, partially offset by lower rates on fixed-wing aircraft platforms; partially offset by</w:t>
      </w:r>
    </w:p>
    <w:p>
      <w:pPr>
        <w:spacing w:after="0" w:line="40"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lower revenues in our commercial aerospace end-use markets due to lower in-flight entertainment revenues and lower rates on other commercial aerospace platforms, partially offset by higher rates on regional and business aircraft and selected single-aisle and twin-aisle aircraft platforms.</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three months ended September 28, 2024 decreased $4.3 million compared to the three months ended September 30, 2023 mainly due to our selectively pruning non-core business.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nine months ended September 28, 2024 compared to the nine months ended September 30, 2023 increased $0.9 million primarily due to the following in our key end-use markets:</w:t>
      </w:r>
    </w:p>
    <w:p>
      <w:pPr>
        <w:spacing w:after="0" w:line="40" w:lineRule="exact"/>
        <w:rPr>
          <w:sz w:val="20"/>
          <w:szCs w:val="20"/>
          <w:color w:val="auto"/>
        </w:rPr>
      </w:pPr>
    </w:p>
    <w:p>
      <w:pPr>
        <w:ind w:left="660" w:right="8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million higher revenues in our military and space end-use markets due to higher rates on select radar, electronic warfare, naval and submarine, and other military and space platforms, partially offset by lower rates on fixed-wing aircraft platforms; and</w:t>
      </w:r>
    </w:p>
    <w:p>
      <w:pPr>
        <w:spacing w:after="0" w:line="4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higher revenues in our commercial aerospace end-use markets due to higher rates on selected single-aisle and twin-aisle aircraft and growth in regional and business aircraft platforms, partially offset by lower revenues from in-flight entertainment.</w:t>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revenues for our industrial end-use markets for the nine months ended September 28, 2024 decreased $7.3 million compared to the nine months ended September 30, 2023 mainly due to our selectively pruning non-core business.</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September 28, 2024 compared to the three months ended September 30, 2023 increased $6.2 million primarily due to favorable product mix, higher manufacturing volume, and lower restructuring charges, partially offset by higher other manufacturing costs.</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Electronic Systems segment operating income in the nine months ended September 28, 2024 compared to the nine months ended September 30, 2023 increased $22.4 million primarily due to favorable product mix, higher manufacturing volume, and lower restructuring charges, partially offset by higher other manufacturing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September 28, 2024 compared to the three months ended September 30, 2023 increased $0.5 million primarily due to the following:</w:t>
      </w:r>
    </w:p>
    <w:p>
      <w:pPr>
        <w:spacing w:after="0" w:line="40" w:lineRule="exact"/>
        <w:rPr>
          <w:sz w:val="20"/>
          <w:szCs w:val="20"/>
          <w:color w:val="auto"/>
        </w:rPr>
      </w:pPr>
    </w:p>
    <w:p>
      <w:pPr>
        <w:ind w:left="660" w:right="1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higher revenues in our commercial aerospace end-use markets due to growth in Airbus and selected business jet platforms; partially offset by</w:t>
      </w:r>
    </w:p>
    <w:p>
      <w:pPr>
        <w:spacing w:after="0" w:line="40"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lower revenues in our military and space end-use markets due to lower rates on rotary-wing aircraft and other military and space platforms, partially offset by higher rates on fixed-wing aircraft platforms.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nine months ended September 28, 2024 compared to the nine months ended September 30, 2023 increased $23.6 million primarily due to the following:</w:t>
      </w:r>
    </w:p>
    <w:p>
      <w:pPr>
        <w:spacing w:after="0" w:line="27" w:lineRule="exact"/>
        <w:rPr>
          <w:sz w:val="20"/>
          <w:szCs w:val="20"/>
          <w:color w:val="auto"/>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 million higher revenues in our commercial aerospace end-use markets due to higher growth in Airbus, customer required buffer stock build for the Monrovia performance center closure, rotary-wing aircraft, and growth in selected business jet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platforms, partially offset by lower rates on other commercial aerospace platforms; and</w:t>
      </w:r>
    </w:p>
    <w:p>
      <w:pPr>
        <w:spacing w:after="0" w:line="90" w:lineRule="exact"/>
        <w:rPr>
          <w:sz w:val="20"/>
          <w:szCs w:val="20"/>
          <w:color w:val="auto"/>
        </w:rPr>
      </w:pPr>
    </w:p>
    <w:p>
      <w:pPr>
        <w:ind w:left="660" w:right="3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higher revenues in our military and space end-use markets due to higher rates on fixed-wing aircraft platforms, partially offset by lower rates on select missile platforms.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September 28, 2024 compared to the three months ended September 30, 2023 increased $1.5 million primarily due to favorable product mix and lower inventory purchase accounting adjustments.</w:t>
      </w:r>
    </w:p>
    <w:p>
      <w:pPr>
        <w:spacing w:after="0" w:line="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Structural Systems segment operating income in the nine months ended September 28, 2024 compared to the nine months ended September 30, 2023 increased $4.8 million primarily due to higher manufacturing volume, favorable product mix, lower Guaymas fire related expenses, and lower restructuring charges, partially offset by higher costs associated with the wind down of our Monrovia performance center.</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April 2023, we acquired 100.0% of BLR Aerospace L.L.C. (“BLR”). The initial purchase price for BLR was $115.0 million, net of cash acquired, all payable in cash. We paid a gross aggregate of $117.0 million in cash upon the closing of the transaction. BLR’s results of operations have been included in our condensed consolidated statements of income since the date of acquisition and is a part of the Structural Systems segment. See Note 2 to our condensed consolidated financial statements included in Part I, Item 1 of this Form 10-Q for further information.</w:t>
      </w:r>
    </w:p>
    <w:p>
      <w:pPr>
        <w:spacing w:after="0" w:line="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absorbed by our other existing performance centers; however, we have reestablished and are in the process of certification with various customers and ramping up our manufacturing capabilities in a different leased facility in Guaymas. A neighboring, non-related manufacturing facility also suffered fire damage during the same time as the fire that severely damaged our Guaymas performance center. In addition, subsequent to the quarter end, we received a subrogation demand from our landlord’s insurer, which we are currently evaluating. As responsibility for the fire is still undetermined,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12 to our condensed consolidated financial statements included in Part I, Item 1 of this Form 10-Q.</w:t>
      </w:r>
    </w:p>
    <w:p>
      <w:pPr>
        <w:spacing w:after="0" w:line="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April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the incident did not otherwise result in significant disruption to customer delivery schedules. Production in this damaged portion resumed during the three months ended July 1, 2023. See Note 12 to our condensed consolidated financial statements included in Part I, Item 1 of this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CG&amp;A expenses increased $1.1 million for the three months ended September 28, 2024 compared to the three months ended September 30, 2023 primarily due to higher professional services fees of $1.2 million, of which $1.0 million was related to the unsolicited non-binding offer to acquire all common stock outstanding of Ducommun Incorporated.</w:t>
      </w:r>
    </w:p>
    <w:p>
      <w:pPr>
        <w:spacing w:after="0" w:line="4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CG&amp;A expenses increased $5.5 million for the nine months ended September 28, 2024 compared to the nine months ended September 30, 2023 primarily due to higher professional services fees of $3.3 million, of which $2.4 million was related to the unsolicited non-binding offer to acquire all common stock outstanding of Ducommun Incorporated, and higher compensation and benefits expense of $0.8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professional fees related to unsolicited non-binding acquisition offer, Guaymas fire related expenses, insurance recoveries related to loss on operating assets, and inventory purchase accounting adjustments (“Adjusted EBITDA”) were $31.9 million and $29.3 million for the three months ended September 28, 2024 and September 30, 2023, respectively.</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7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54"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right="44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related to unsolicited non-binding acquisition offer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loss on operating assets (property and equipment, inventories, and other assets)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236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6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7"/>
                <w:szCs w:val="17"/>
                <w:color w:val="auto"/>
              </w:rPr>
            </w:pPr>
          </w:p>
        </w:tc>
        <w:tc>
          <w:tcPr>
            <w:tcW w:w="23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63"/>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28,</w:t>
            </w:r>
          </w:p>
        </w:tc>
        <w:tc>
          <w:tcPr>
            <w:tcW w:w="140" w:type="dxa"/>
            <w:vAlign w:val="bottom"/>
          </w:tcPr>
          <w:p>
            <w:pPr>
              <w:spacing w:after="0"/>
              <w:rPr>
                <w:sz w:val="14"/>
                <w:szCs w:val="14"/>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6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10,818</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15,324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1,789</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11,692</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12,729</w:t>
            </w: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13,769</w:t>
            </w: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charges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12,938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related to unsolicited non-binding acquisition offer</w:t>
            </w: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3,896</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fire related expenses</w:t>
            </w: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(5,563)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(2,160)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2,807</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31,884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29,327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89,251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78,516</w:t>
            </w:r>
          </w:p>
        </w:tc>
      </w:tr>
      <w:tr>
        <w:trPr>
          <w:trHeight w:val="23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as a % of net revenues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4"/>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 as a % of net revenues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bl>
    <w:p>
      <w:pPr>
        <w:spacing w:after="0" w:line="179" w:lineRule="exact"/>
        <w:rPr>
          <w:sz w:val="20"/>
          <w:szCs w:val="20"/>
          <w:color w:val="auto"/>
        </w:rPr>
      </w:pPr>
    </w:p>
    <w:p>
      <w:pPr>
        <w:ind w:left="260" w:right="60" w:hanging="252"/>
        <w:spacing w:after="0" w:line="256"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nine months ended September 28, 2024 included $0.9 million and $2.8 million, respectively, of stock-based compensation expense for awards with both performance and market conditions that will be settled in cash. The three and nine months ended September 30, 2023 included $1.4 million and $2.7 million, respectively, of stock-based compensation expense for awards with both performance and market conditions that will be settled in cash. The three and nine months ended September 28, 2024 included $0.1 million and $0.3 million, respectively, of stock-based compensation expense recorded as cost of sales. The three and nine months ended September 30, 2023 included $0.1 million and $0.3 million, respectively, of stock-based compensation expense recorded as cost of sales.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60" w:right="160" w:hanging="252"/>
        <w:spacing w:after="0" w:line="312" w:lineRule="auto"/>
        <w:tabs>
          <w:tab w:leader="none" w:pos="27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three and nine months ended September 28, 2024 included zero and $0.9 million, respectively, of restructuring charges that were recorded as cost of sales. The three and nine months ended September 30, 2023 each included $0.2 million of restructuring charges that were recorded as cost of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backlog was primarily in the military and space end-use markets, partially offset by a decrease in industrial end-use markets. $690.0 million of total backlog is expected to be delivered over the next 12 months. The following table summarizes our backlog as of September 28, 2024 and December 31,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color w:val="auto"/>
              </w:rPr>
              <w:t>September 28,</w:t>
            </w:r>
          </w:p>
        </w:tc>
        <w:tc>
          <w:tcPr>
            <w:tcW w:w="220" w:type="dxa"/>
            <w:vAlign w:val="bottom"/>
          </w:tcPr>
          <w:p>
            <w:pPr>
              <w:spacing w:after="0"/>
              <w:rPr>
                <w:sz w:val="13"/>
                <w:szCs w:val="13"/>
                <w:color w:val="auto"/>
              </w:rPr>
            </w:pPr>
          </w:p>
        </w:tc>
        <w:tc>
          <w:tcPr>
            <w:tcW w:w="1220" w:type="dxa"/>
            <w:vAlign w:val="bottom"/>
          </w:tcPr>
          <w:p>
            <w:pPr>
              <w:jc w:val="right"/>
              <w:ind w:right="233"/>
              <w:spacing w:after="0" w:line="15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680" w:type="dxa"/>
            <w:vAlign w:val="bottom"/>
            <w:tcBorders>
              <w:top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591,642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527,143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September 28,</w:t>
            </w: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3"/>
        </w:trPr>
        <w:tc>
          <w:tcPr>
            <w:tcW w:w="7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71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266.0</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interest rate</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176.0</w:t>
            </w:r>
          </w:p>
        </w:tc>
      </w:tr>
    </w:tbl>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represent our new credit facilities (“2022 Credit Facilities”). In conjunction with the closing of the 2022 Credit Facilities, we utilized the entire $250.0 million of proceeds from the 2022 Term Loan plus our existing cash on hand to pay off our entire debt balance outstanding of $254.2 million under our prior credit facilities. At the same leverage ratio, the interest rate spread in the 2022 Credit Facilities is lower than the interest rate spread under our prior credit facilities.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Further,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 As of September 28, 2024, we were in compliance with all covenants required under the 2022 Credit Facilities. See Note 8 to our condensed consolidated financial statements included in Part I, Item 1 of this Form 10-Q for further information.</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each of the three months ended September 28, 2024 and September 30, 2023, we made the required quarterly amortization payments on the 2022 Term Loan of zero and $1.6 million, respectively. The required quarterly amortization payment due on September 30, 2024 is in the fiscal fourth quarter of 2024. For the nine months ended September 28, 2024 and September 30, 2023, we made the required amortization payments on the 2022 Term Loan of $3.1 million and $4.7 million, respectively. We made no voluntary prepayments on our term loans during each of the three and nine months ended September 28, 2024 and September 30, 2023.</w:t>
      </w:r>
    </w:p>
    <w:p>
      <w:pPr>
        <w:spacing w:after="0" w:line="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September 28, 2024, we estimate the remaining amount of charges related to this initiative will be $2.0 million to $3.0 million in total pre-tax restructuring charges through early 2025 for facility consolidation related expenses. The restructuring accrual for severance and benefits of $3.4 million as of September 28, 2024 are expected to be paid out through early 2025. On an annualized basis, we anticipate these restructuring actions will result in total cost savings of $11.0 million to $13.0 million. See Note 3 to our condensed consolidated financial statements included in Part I, Item 1 of this Form 10-Q for further information.</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Note 4, and Note 8 to our condensed consolidated financial statements included in Part I, Item 1 of this Form 10-Q for further information.</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Note 4, and Note 8 to our condensed consolidated financial statements included in Part I, Item 1 of this Form 10-Q for further information.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2023, we completed a public offering of our common stock resulting in net proceeds of $85.1 million. The net proceeds of the public stock offering along with cash on hand were used to pay down $85.2 million on the 2022 Revolving Credit Facility that was drawn on and utilized to complete the acquisition of BLR. See Note 2, Note 8, and Note 9 to our condensed consolidated financial statements included in Part I, Item 1 of this Form 10-Q for further information.</w:t>
      </w:r>
    </w:p>
    <w:p>
      <w:pPr>
        <w:spacing w:after="0" w:line="5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expect to spend a total of $15.0 million to $18.0 million for capital expenditures in 2024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28, 2024 was $15.8 million, compared to $4.6 million for the nine months ended September 30, 2023. The higher net cash provided by operating activities during the first nine months of 2024 was mainly due to higher net income, lower inventories, and higher accounts payable, partially offset by higher contract assets, lower contract liabilities, and higher accounts receivable.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$10.3 million for the nine months ended September 28, 2024, compared to $130.0 million in the nine months ended September 30, 2023. The lower net cash used in investing activities during the first nine months of 2024 compared to the prior year period was mainly due to no acquisitions in the first nine months of 2024 and lower purchases of property and equipment.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$11.1 million for the nine months ended September 28, 2024, compared to a net cash provided by financing activities of $106.4 million for the nine months ended September 30, 2023. The higher net cash used in financing activities during the first nine months of 2024 was mainly due to the issuance of common stock in a public offering in the first nine months of 2023 that did not recur in 2024 and lower net borrowings in the first nine months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2023 Annual Report on Form 10-K. There have been no material changes in any of our critical accounting policies during the three months ended September 28,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interest rates on our outstanding long-term debt. At September 28, 2024, we had total borrowings of $257.9 million under our 2022 Credit Facilities.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5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1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as of September 28, 2024. The Company had previously reported a material weakness in internal control over financial reporting related to not designing and maintaining effective controls over the accuracy of contract terms and the reasonableness of gross margin assumptions used to recognize revenue. Specifically, the Company did not verify that amendments to purchase orders and gross margin percentage assumptions used in the Company’s revenue recognition analysis were properly reviewed at a sufficient level of precision, which was described in Item 9A in the Management’s Report on Internal Control Over Financial Reporting in the Company’s Annual Report on Form 10-K for the year ended December 31, 2023. As a result of the material weakness in the Company’s internal control over financial reporting, which was not remediated as of September 28, 2024, the CEO and CFO concluded the Company’s disclosure controls and procedures were not effective as of September 28,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Material Weakness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implemented remediation steps to address the material weakness described above to improve our internal control over verification of amendments to purchase orders and the gross margin percentage assumptions used to recognize revenue.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taken:</w:t>
      </w:r>
    </w:p>
    <w:p>
      <w:pPr>
        <w:spacing w:after="0" w:line="90" w:lineRule="exact"/>
        <w:rPr>
          <w:sz w:val="20"/>
          <w:szCs w:val="20"/>
          <w:color w:val="auto"/>
        </w:rPr>
      </w:pPr>
    </w:p>
    <w:p>
      <w:pPr>
        <w:ind w:left="660" w:right="3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redesigned our existing controls to expand the selection criteria for contracts requiring an estimate at completion (“EAC”) analysis to support the gross margin percentage used for revenue recognition.</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the rigor and review of the EAC process, including standardization of the analysis and related documentation and verification of the contract value utilized to the underlying customer purchase order.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additional analytical procedures to ensure the accuracy of gross margin assumptions.</w:t>
      </w:r>
    </w:p>
    <w:p>
      <w:pPr>
        <w:spacing w:after="0" w:line="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significant progress has been made to enhance our internal control over financial reporting relating to the material weakness, additional time will be required to assess and ensure the sustainability of these processes and procedures. We anticipate completing the assessment and ensure sustainability of these processes and procedures either during 2024 or 2025; however, we cannot make any assurances that such actions will be completed during this timeframe. Until the remediation steps set forth above are fully implemented and concluded to be operating effectively, the material weakness described above will continue to exist.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Except as otherwise discussed above under “Remediation of Material Weakness,” there were no other changes in our internal control over financial reporting during the three months ended September 28,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our condensed consolidated financial statements included in Part I, Item 1 of this Form 10-Q for a description of our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2023 for a discussion of our risk factors. Other than the risk factor below, there have been no material changes during the three months ended September 28, 2024 to the risk factors disclosed in our Form 10-K for the year ended December 31, 2023.</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sz w:val="20"/>
          <w:szCs w:val="20"/>
          <w:color w:val="auto"/>
        </w:rPr>
      </w:pPr>
    </w:p>
    <w:p>
      <w:pPr>
        <w:ind w:left="340" w:right="280" w:hanging="323"/>
        <w:spacing w:after="0" w:line="282"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ind w:left="340" w:hanging="323"/>
        <w:spacing w:after="0" w:line="282"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3.3 Amended and Restated Bylaws of Ducommun Incorporated, dated as of November 5, 2024. Incorporated by reference to Exhibit 3.1 to Form 8-K filed</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on November 7, 2024.</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*10.1 Ducommun Incorporated Retirement Policy effective as of August 6,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 Certification of Principal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 Certification of Principal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90" w:lineRule="exact"/>
        <w:rPr>
          <w:sz w:val="20"/>
          <w:szCs w:val="20"/>
          <w:color w:val="auto"/>
        </w:rPr>
      </w:pPr>
    </w:p>
    <w:p>
      <w:pPr>
        <w:ind w:left="660" w:right="3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101.INS</w:t>
        <w:tab/>
        <w:t>Inline XBRL Instance Document with Embedded Linkbase Documents - the instance document does not appear in the Interactive Data File because its XBRL tags are embedded within the Inline XBRL</w:t>
      </w:r>
    </w:p>
    <w:p>
      <w:pPr>
        <w:spacing w:after="0" w:line="4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DUCOMMUN INCORPORATED</w:t>
            </w:r>
          </w:p>
        </w:tc>
      </w:tr>
      <w:tr>
        <w:trPr>
          <w:trHeight w:val="228"/>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30"/>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36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229"/>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117"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of August 6, 2024</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DUCOMMUN INCORPORATED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RETIREMENT POLICY</w:t>
      </w:r>
    </w:p>
    <w:p>
      <w:pPr>
        <w:spacing w:after="0" w:line="11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Ducommun Incorporated,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the Ducommun Incorporated Retirement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for the benefit of eligible employees of the Company and its subsidiaries, on the terms and conditions hereafter stated, effective as of the Effective Date.</w:t>
      </w:r>
    </w:p>
    <w:p>
      <w:pPr>
        <w:spacing w:after="0" w:line="15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 Incentive Plan</w:t>
      </w:r>
      <w:r>
        <w:rPr>
          <w:rFonts w:ascii="Times New Roman" w:cs="Times New Roman" w:eastAsia="Times New Roman" w:hAnsi="Times New Roman"/>
          <w:sz w:val="20"/>
          <w:szCs w:val="20"/>
          <w:color w:val="auto"/>
        </w:rPr>
        <w:t>” means the Ducommun Incorporated Annual Incentive Plan in effect at the time of such Participant’s Retirement.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Compensation Committee of the Board.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means the Company and its subsidiaries.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August 6, 2024.</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8" w:lineRule="auto"/>
        <w:tabs>
          <w:tab w:leader="none" w:pos="129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Employee</w:t>
      </w:r>
      <w:r>
        <w:rPr>
          <w:rFonts w:ascii="Times New Roman" w:cs="Times New Roman" w:eastAsia="Times New Roman" w:hAnsi="Times New Roman"/>
          <w:sz w:val="20"/>
          <w:szCs w:val="20"/>
          <w:color w:val="auto"/>
        </w:rPr>
        <w:t>” means each “executive officer” (as defined in Rule 3b-7 under the Securities Exchange Act of 1934, as amended) of the Company Group. Eligible Employees shall, in no event, include: (i) independent contractors, (ii) temporary employees and (iii) individuals treated other than as employees for federal income and employment tax purposes at the time such individual performs services.</w:t>
      </w:r>
    </w:p>
    <w:p>
      <w:pPr>
        <w:spacing w:after="0" w:line="18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Incentive Plans</w:t>
      </w:r>
      <w:r>
        <w:rPr>
          <w:rFonts w:ascii="Times New Roman" w:cs="Times New Roman" w:eastAsia="Times New Roman" w:hAnsi="Times New Roman"/>
          <w:sz w:val="20"/>
          <w:szCs w:val="20"/>
          <w:color w:val="auto"/>
        </w:rPr>
        <w:t>” means, collectively, (i) the Ducommun Incorporated 2013 Stock Incentive Plan, effective as of May 2, 2018 and (ii) the Ducommun Incorporated Amended and Restated 2020 Stock Incentive Plan, effective as of April 20, 2022; and (iii) the Ducommun Incorporated 2024 Stock Incentive Plan, effective as of April 24, 2024.</w:t>
      </w:r>
    </w:p>
    <w:p>
      <w:pPr>
        <w:spacing w:after="0" w:line="181"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NQDC Plan</w:t>
      </w:r>
      <w:r>
        <w:rPr>
          <w:rFonts w:ascii="Times New Roman" w:cs="Times New Roman" w:eastAsia="Times New Roman" w:hAnsi="Times New Roman"/>
          <w:sz w:val="20"/>
          <w:szCs w:val="20"/>
          <w:color w:val="auto"/>
        </w:rPr>
        <w:t>” means the Ducommun Incorporated Non Qualified Deferred Compensation Plan, effective as of November 26, 2019.</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9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means an Eligible Employee who is designated as a Participant by the Board or the Committee, subject to the requirements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For purposes hereof, the Board or the Committee shall be permitted to designate groups of Eligible Employees by job title as Participants without the need to identify any individual Participant by name.</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9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the Participant’s voluntary resignation of employment with the Company Group upon the earlier of (i) the date the Participant reaches age 65 or (ii) the date the Participant reaches age 60, with at least five years of continuous service with the Company Group.</w:t>
      </w:r>
    </w:p>
    <w:p>
      <w:pPr>
        <w:spacing w:after="0" w:line="161"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Severance Arrangements</w:t>
      </w:r>
      <w:r>
        <w:rPr>
          <w:rFonts w:ascii="Times New Roman" w:cs="Times New Roman" w:eastAsia="Times New Roman" w:hAnsi="Times New Roman"/>
          <w:sz w:val="20"/>
          <w:szCs w:val="20"/>
          <w:color w:val="auto"/>
        </w:rPr>
        <w:t>” means any plans, policies, guidelines, arrangements, agreements, letters and/or other communication, whether formal or informal, written or oral sponsored or maintained by the Company Group and/or entered into by any representative of the Company Group that provides severance benefits to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02" w:right="339" w:bottom="1440" w:gutter="0" w:footer="0" w:header="0"/>
        </w:sectPr>
      </w:pPr>
    </w:p>
    <w:bookmarkStart w:id="44" w:name="page45"/>
    <w:bookmarkEnd w:id="44"/>
    <w:p>
      <w:pPr>
        <w:spacing w:after="0" w:line="11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Except as otherwise provided herein, each Participant is eligible under the Policy if such Participant:</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remains in the employ of the Company Group through the date of Retirement; and</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fulfills the normal responsibilities of such Participant’s position, including, but not limited to, meeting regular attendance, specific transitional activities, workload and other standards of the Company Group in effect from time to time.</w:t>
      </w:r>
    </w:p>
    <w:p>
      <w:pPr>
        <w:spacing w:after="0" w:line="142" w:lineRule="exact"/>
        <w:rPr>
          <w:rFonts w:ascii="Times New Roman" w:cs="Times New Roman" w:eastAsia="Times New Roman" w:hAnsi="Times New Roman"/>
          <w:sz w:val="20"/>
          <w:szCs w:val="20"/>
          <w:color w:val="auto"/>
        </w:rPr>
      </w:pPr>
    </w:p>
    <w:p>
      <w:pPr>
        <w:jc w:val="both"/>
        <w:ind w:left="660" w:hanging="652"/>
        <w:spacing w:after="0" w:line="260"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Applicability of the Policy</w:t>
      </w:r>
      <w:r>
        <w:rPr>
          <w:rFonts w:ascii="Times New Roman" w:cs="Times New Roman" w:eastAsia="Times New Roman" w:hAnsi="Times New Roman"/>
          <w:sz w:val="20"/>
          <w:szCs w:val="20"/>
          <w:color w:val="auto"/>
        </w:rPr>
        <w:t>. In the event that a Participant’s employment with the Company Group is terminated due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Retirement, the Participant shall be eligible for the applicable Retirement treatment of any payments or benefits provided to such Participant in connection with such Participant’s Retirement under the following arrangements of the Company Group:</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Incentive Plan;</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Incentive Plans;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NQDC Plan; and</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plans, programs, policies, agreements or arrangements of the Company Group, as determined by the Board or Committee, including any Severance Arrangements.</w:t>
      </w:r>
    </w:p>
    <w:p>
      <w:pPr>
        <w:spacing w:after="0" w:line="168" w:lineRule="exact"/>
        <w:rPr>
          <w:rFonts w:ascii="Times New Roman" w:cs="Times New Roman" w:eastAsia="Times New Roman" w:hAnsi="Times New Roman"/>
          <w:sz w:val="20"/>
          <w:szCs w:val="20"/>
          <w:color w:val="auto"/>
        </w:rPr>
      </w:pPr>
    </w:p>
    <w:p>
      <w:pPr>
        <w:ind w:left="660" w:right="20" w:hanging="652"/>
        <w:spacing w:after="0" w:line="273" w:lineRule="auto"/>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or Amendment of the Policy</w:t>
      </w:r>
      <w:r>
        <w:rPr>
          <w:rFonts w:ascii="Times New Roman" w:cs="Times New Roman" w:eastAsia="Times New Roman" w:hAnsi="Times New Roman"/>
          <w:sz w:val="20"/>
          <w:szCs w:val="20"/>
          <w:color w:val="auto"/>
        </w:rPr>
        <w:t>. The Policy may be amended, terminated or discontinued in whole or in part, at any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from time to time at the discretion of the Board or the Committee.</w:t>
      </w:r>
    </w:p>
    <w:p>
      <w:pPr>
        <w:spacing w:after="0" w:line="16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29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contained in the Policy shall confer upon any Participant any right to continue in the employ of any member of the Company Group nor interfere in any way with the right of the Company to terminate his or her employment, with or without cause.</w:t>
      </w:r>
    </w:p>
    <w:p>
      <w:pPr>
        <w:spacing w:after="0" w:line="167" w:lineRule="exact"/>
        <w:rPr>
          <w:rFonts w:ascii="Times New Roman" w:cs="Times New Roman" w:eastAsia="Times New Roman" w:hAnsi="Times New Roman"/>
          <w:sz w:val="20"/>
          <w:szCs w:val="20"/>
          <w:color w:val="auto"/>
        </w:rPr>
      </w:pPr>
    </w:p>
    <w:p>
      <w:pPr>
        <w:jc w:val="both"/>
        <w:ind w:left="1300" w:right="20" w:hanging="644"/>
        <w:spacing w:after="0" w:line="258" w:lineRule="auto"/>
        <w:tabs>
          <w:tab w:leader="none" w:pos="12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 of the Company Group, Board and Committee</w:t>
      </w:r>
      <w:r>
        <w:rPr>
          <w:rFonts w:ascii="Times New Roman" w:cs="Times New Roman" w:eastAsia="Times New Roman" w:hAnsi="Times New Roman"/>
          <w:sz w:val="20"/>
          <w:szCs w:val="20"/>
          <w:color w:val="auto"/>
        </w:rPr>
        <w:t>. Any decision made or action taken by, or inaction of, the Company Group, the Board or the Committee arising out of or in connection with the creation, amendment, construction, administration, interpretation and effect of the Policy that is within its authority hereunder or applicable law shall be within the absolute discretion of such entity and shall be conclusive and binding upon all Participants.</w:t>
      </w:r>
    </w:p>
    <w:p>
      <w:pPr>
        <w:spacing w:after="0" w:line="185"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Duplication</w:t>
      </w:r>
      <w:r>
        <w:rPr>
          <w:rFonts w:ascii="Times New Roman" w:cs="Times New Roman" w:eastAsia="Times New Roman" w:hAnsi="Times New Roman"/>
          <w:sz w:val="20"/>
          <w:szCs w:val="20"/>
          <w:color w:val="auto"/>
        </w:rPr>
        <w:t>. In no event shall any Participant receive additional severance benefits pursuant to the Policy in addition to severance benefits provided for under any Severance Arrangement.</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and headings are given to the sections and subsections of the Policy solely as a convenience to facilitate reference. Such captions and headings shall not be deemed in any way material or relevant to the construction or interpretation of the Policy or any provision thereof.</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Policy shall inure to the benefit of and be binding upon the Company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September 28, 2024;</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September 28, 2024;</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September 28, 2024,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Ducommun Incorporated (the “Company”) on Form 10-Q for the period ending September 28, 2024, as filed with the Securities and Exchange Commission on the date hereof (the “Report”), I, Suman B. Mookerji, Senior Vice President, Chief Financial Officer of the Company, certify pursuant to 18 U.S.C. § 1350, as adopted pursuant to § 906 of the Sarbanes-Oxley Act of 2002, that to the best of my knowledge:</w:t>
      </w:r>
    </w:p>
    <w:p>
      <w:pPr>
        <w:spacing w:after="0" w:line="104" w:lineRule="exact"/>
        <w:rPr>
          <w:sz w:val="20"/>
          <w:szCs w:val="20"/>
          <w:color w:val="auto"/>
        </w:rPr>
      </w:pPr>
    </w:p>
    <w:p>
      <w:pPr>
        <w:ind w:left="1160" w:hanging="261"/>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2)"/>
      <w:numFmt w:val="lowerLetter"/>
      <w:start w:val="1"/>
    </w:lvl>
  </w:abstractNum>
  <w:abstractNum w:abstractNumId="25">
    <w:nsid w:val="2CA88611"/>
    <w:multiLevelType w:val="hybridMultilevel"/>
    <w:lvl w:ilvl="0">
      <w:lvlJc w:val="left"/>
      <w:lvlText w:val="%1."/>
      <w:numFmt w:val="decimal"/>
      <w:start w:val="2"/>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1" Type="http://schemas.openxmlformats.org/officeDocument/2006/relationships/hyperlink" Target="https://www.sec.gov/Archives/edgar/data/30305/0000892569-99-000620-index.html" TargetMode="External"/><Relationship Id="rId52" Type="http://schemas.openxmlformats.org/officeDocument/2006/relationships/hyperlink" Target="https://www.sec.gov/Archives/edgar/data/30305/000119312524252550/d9095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2024-11-07T05:47:00Z</dcterms:created>
  <dcterms:modified xsi:type="dcterms:W3CDTF">2024-11-07T05:47:00Z</dcterms:modified>
</cp:coreProperties>
</file>