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497205</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462915</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41"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40" w:lineRule="exact"/>
        <w:rPr>
          <w:sz w:val="24"/>
          <w:szCs w:val="24"/>
          <w:color w:val="auto"/>
        </w:rPr>
      </w:pPr>
    </w:p>
    <w:p>
      <w:pPr>
        <w:ind w:left="640" w:right="82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40" w:right="88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ind w:left="342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98"/>
        </w:trPr>
        <w:tc>
          <w:tcPr>
            <w:tcW w:w="8620" w:type="dxa"/>
            <w:vAlign w:val="bottom"/>
            <w:gridSpan w:val="6"/>
          </w:tcPr>
          <w:p>
            <w:pPr>
              <w:jc w:val="center"/>
              <w:ind w:left="2529"/>
              <w:spacing w:after="0"/>
              <w:rPr>
                <w:sz w:val="20"/>
                <w:szCs w:val="20"/>
                <w:color w:val="auto"/>
              </w:rPr>
            </w:pPr>
            <w:r>
              <w:rPr>
                <w:rFonts w:ascii="Arial" w:cs="Arial" w:eastAsia="Arial" w:hAnsi="Arial"/>
                <w:sz w:val="18"/>
                <w:szCs w:val="18"/>
                <w:b w:val="1"/>
                <w:bCs w:val="1"/>
                <w:color w:val="auto"/>
                <w:w w:val="90"/>
              </w:rPr>
              <w:t>Commission File Number 001-08174</w:t>
            </w:r>
          </w:p>
        </w:tc>
        <w:tc>
          <w:tcPr>
            <w:tcW w:w="1800" w:type="dxa"/>
            <w:vAlign w:val="bottom"/>
          </w:tcPr>
          <w:p>
            <w:pPr>
              <w:spacing w:after="0"/>
              <w:rPr>
                <w:sz w:val="24"/>
                <w:szCs w:val="24"/>
                <w:color w:val="auto"/>
              </w:rPr>
            </w:pPr>
          </w:p>
        </w:tc>
      </w:tr>
      <w:tr>
        <w:trPr>
          <w:trHeight w:val="210"/>
        </w:trPr>
        <w:tc>
          <w:tcPr>
            <w:tcW w:w="8620" w:type="dxa"/>
            <w:vAlign w:val="bottom"/>
            <w:gridSpan w:val="6"/>
          </w:tcPr>
          <w:p>
            <w:pPr>
              <w:jc w:val="center"/>
              <w:ind w:left="2589"/>
              <w:spacing w:after="0"/>
              <w:rPr>
                <w:sz w:val="20"/>
                <w:szCs w:val="20"/>
                <w:color w:val="auto"/>
              </w:rPr>
            </w:pPr>
            <w:r>
              <w:rPr>
                <w:rFonts w:ascii="Arial" w:cs="Arial" w:eastAsia="Arial" w:hAnsi="Arial"/>
                <w:sz w:val="16"/>
                <w:szCs w:val="16"/>
                <w:color w:val="auto"/>
                <w:w w:val="91"/>
              </w:rPr>
              <w:t>_________________________________________________________</w:t>
            </w:r>
          </w:p>
        </w:tc>
        <w:tc>
          <w:tcPr>
            <w:tcW w:w="1800" w:type="dxa"/>
            <w:vAlign w:val="bottom"/>
          </w:tcPr>
          <w:p>
            <w:pPr>
              <w:spacing w:after="0"/>
              <w:rPr>
                <w:sz w:val="18"/>
                <w:szCs w:val="18"/>
                <w:color w:val="auto"/>
              </w:rPr>
            </w:pPr>
          </w:p>
        </w:tc>
      </w:tr>
      <w:tr>
        <w:trPr>
          <w:trHeight w:val="622"/>
        </w:trPr>
        <w:tc>
          <w:tcPr>
            <w:tcW w:w="8620" w:type="dxa"/>
            <w:vAlign w:val="bottom"/>
            <w:gridSpan w:val="6"/>
          </w:tcPr>
          <w:p>
            <w:pPr>
              <w:jc w:val="center"/>
              <w:ind w:left="2529"/>
              <w:spacing w:after="0"/>
              <w:rPr>
                <w:sz w:val="20"/>
                <w:szCs w:val="20"/>
                <w:color w:val="auto"/>
              </w:rPr>
            </w:pPr>
            <w:r>
              <w:rPr>
                <w:rFonts w:ascii="Arial" w:cs="Arial" w:eastAsia="Arial" w:hAnsi="Arial"/>
                <w:sz w:val="40"/>
                <w:szCs w:val="40"/>
                <w:b w:val="1"/>
                <w:bCs w:val="1"/>
                <w:color w:val="auto"/>
              </w:rPr>
              <w:t>DUCOMMUN INCORPORATED</w:t>
            </w:r>
          </w:p>
        </w:tc>
        <w:tc>
          <w:tcPr>
            <w:tcW w:w="1800" w:type="dxa"/>
            <w:vAlign w:val="bottom"/>
          </w:tcPr>
          <w:p>
            <w:pPr>
              <w:spacing w:after="0"/>
              <w:rPr>
                <w:sz w:val="24"/>
                <w:szCs w:val="24"/>
                <w:color w:val="auto"/>
              </w:rPr>
            </w:pPr>
          </w:p>
        </w:tc>
      </w:tr>
      <w:tr>
        <w:trPr>
          <w:trHeight w:val="234"/>
        </w:trPr>
        <w:tc>
          <w:tcPr>
            <w:tcW w:w="8620" w:type="dxa"/>
            <w:vAlign w:val="bottom"/>
            <w:gridSpan w:val="6"/>
          </w:tcPr>
          <w:p>
            <w:pPr>
              <w:jc w:val="center"/>
              <w:ind w:left="254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0" w:type="dxa"/>
            <w:vAlign w:val="bottom"/>
          </w:tcPr>
          <w:p>
            <w:pPr>
              <w:spacing w:after="0"/>
              <w:rPr>
                <w:sz w:val="20"/>
                <w:szCs w:val="20"/>
                <w:color w:val="auto"/>
              </w:rPr>
            </w:pPr>
          </w:p>
        </w:tc>
      </w:tr>
      <w:tr>
        <w:trPr>
          <w:trHeight w:val="210"/>
        </w:trPr>
        <w:tc>
          <w:tcPr>
            <w:tcW w:w="8620" w:type="dxa"/>
            <w:vAlign w:val="bottom"/>
            <w:gridSpan w:val="6"/>
          </w:tcPr>
          <w:p>
            <w:pPr>
              <w:jc w:val="center"/>
              <w:ind w:left="2589"/>
              <w:spacing w:after="0"/>
              <w:rPr>
                <w:sz w:val="20"/>
                <w:szCs w:val="20"/>
                <w:color w:val="auto"/>
              </w:rPr>
            </w:pPr>
            <w:r>
              <w:rPr>
                <w:rFonts w:ascii="Arial" w:cs="Arial" w:eastAsia="Arial" w:hAnsi="Arial"/>
                <w:sz w:val="16"/>
                <w:szCs w:val="16"/>
                <w:color w:val="auto"/>
                <w:w w:val="91"/>
              </w:rPr>
              <w:t>_________________________________________________________</w:t>
            </w:r>
          </w:p>
        </w:tc>
        <w:tc>
          <w:tcPr>
            <w:tcW w:w="1800" w:type="dxa"/>
            <w:vAlign w:val="bottom"/>
          </w:tcPr>
          <w:p>
            <w:pPr>
              <w:spacing w:after="0"/>
              <w:rPr>
                <w:sz w:val="18"/>
                <w:szCs w:val="18"/>
                <w:color w:val="auto"/>
              </w:rPr>
            </w:pPr>
          </w:p>
        </w:tc>
      </w:tr>
      <w:tr>
        <w:trPr>
          <w:trHeight w:val="253"/>
        </w:trPr>
        <w:tc>
          <w:tcPr>
            <w:tcW w:w="5160" w:type="dxa"/>
            <w:vAlign w:val="bottom"/>
          </w:tcPr>
          <w:p>
            <w:pPr>
              <w:jc w:val="center"/>
              <w:ind w:left="29"/>
              <w:spacing w:after="0"/>
              <w:rPr>
                <w:sz w:val="20"/>
                <w:szCs w:val="20"/>
                <w:color w:val="auto"/>
              </w:rPr>
            </w:pPr>
            <w:r>
              <w:rPr>
                <w:rFonts w:ascii="Arial" w:cs="Arial" w:eastAsia="Arial" w:hAnsi="Arial"/>
                <w:sz w:val="18"/>
                <w:szCs w:val="18"/>
                <w:b w:val="1"/>
                <w:bCs w:val="1"/>
                <w:color w:val="auto"/>
                <w:w w:val="91"/>
              </w:rPr>
              <w:t>Delaware</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95-0693330</w:t>
            </w:r>
          </w:p>
        </w:tc>
        <w:tc>
          <w:tcPr>
            <w:tcW w:w="1800" w:type="dxa"/>
            <w:vAlign w:val="bottom"/>
          </w:tcPr>
          <w:p>
            <w:pPr>
              <w:spacing w:after="0"/>
              <w:rPr>
                <w:sz w:val="22"/>
                <w:szCs w:val="22"/>
                <w:color w:val="auto"/>
              </w:rPr>
            </w:pPr>
          </w:p>
        </w:tc>
      </w:tr>
      <w:tr>
        <w:trPr>
          <w:trHeight w:val="144"/>
        </w:trPr>
        <w:tc>
          <w:tcPr>
            <w:tcW w:w="5160" w:type="dxa"/>
            <w:vAlign w:val="bottom"/>
          </w:tcPr>
          <w:p>
            <w:pPr>
              <w:jc w:val="center"/>
              <w:ind w:left="2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00" w:type="dxa"/>
            <w:vAlign w:val="bottom"/>
            <w:gridSpan w:val="3"/>
          </w:tcPr>
          <w:p>
            <w:pPr>
              <w:jc w:val="center"/>
              <w:ind w:right="1010"/>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160" w:type="dxa"/>
            <w:vAlign w:val="bottom"/>
          </w:tcPr>
          <w:p>
            <w:pPr>
              <w:jc w:val="center"/>
              <w:ind w:left="29"/>
              <w:spacing w:after="0"/>
              <w:rPr>
                <w:sz w:val="20"/>
                <w:szCs w:val="20"/>
                <w:color w:val="auto"/>
              </w:rPr>
            </w:pPr>
            <w:r>
              <w:rPr>
                <w:rFonts w:ascii="Arial" w:cs="Arial" w:eastAsia="Arial" w:hAnsi="Arial"/>
                <w:sz w:val="14"/>
                <w:szCs w:val="14"/>
                <w:b w:val="1"/>
                <w:bCs w:val="1"/>
                <w:color w:val="auto"/>
                <w:w w:val="94"/>
              </w:rPr>
              <w:t>incorporation or organization)</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00" w:type="dxa"/>
            <w:vAlign w:val="bottom"/>
            <w:gridSpan w:val="3"/>
          </w:tcPr>
          <w:p>
            <w:pPr>
              <w:jc w:val="center"/>
              <w:ind w:right="990"/>
              <w:spacing w:after="0"/>
              <w:rPr>
                <w:sz w:val="20"/>
                <w:szCs w:val="20"/>
                <w:color w:val="auto"/>
              </w:rPr>
            </w:pPr>
            <w:r>
              <w:rPr>
                <w:rFonts w:ascii="Arial" w:cs="Arial" w:eastAsia="Arial" w:hAnsi="Arial"/>
                <w:sz w:val="14"/>
                <w:szCs w:val="14"/>
                <w:b w:val="1"/>
                <w:bCs w:val="1"/>
                <w:color w:val="auto"/>
                <w:w w:val="96"/>
              </w:rPr>
              <w:t>Identification No.)</w:t>
            </w:r>
          </w:p>
        </w:tc>
      </w:tr>
      <w:tr>
        <w:trPr>
          <w:trHeight w:val="507"/>
        </w:trPr>
        <w:tc>
          <w:tcPr>
            <w:tcW w:w="5160" w:type="dxa"/>
            <w:vAlign w:val="bottom"/>
          </w:tcPr>
          <w:p>
            <w:pPr>
              <w:jc w:val="center"/>
              <w:ind w:left="29"/>
              <w:spacing w:after="0"/>
              <w:rPr>
                <w:sz w:val="20"/>
                <w:szCs w:val="20"/>
                <w:color w:val="auto"/>
              </w:rPr>
            </w:pPr>
            <w:r>
              <w:rPr>
                <w:rFonts w:ascii="Arial" w:cs="Arial" w:eastAsia="Arial" w:hAnsi="Arial"/>
                <w:sz w:val="20"/>
                <w:szCs w:val="20"/>
                <w:b w:val="1"/>
                <w:bCs w:val="1"/>
                <w:color w:val="auto"/>
                <w:w w:val="89"/>
              </w:rPr>
              <w:t>200 Sandpointe Avenue, Suite 700</w:t>
            </w:r>
            <w:r>
              <w:rPr>
                <w:rFonts w:ascii="Arial" w:cs="Arial" w:eastAsia="Arial" w:hAnsi="Arial"/>
                <w:sz w:val="17"/>
                <w:szCs w:val="17"/>
                <w:b w:val="1"/>
                <w:bCs w:val="1"/>
                <w:color w:val="auto"/>
                <w:w w:val="89"/>
              </w:rPr>
              <w:t>,</w:t>
            </w:r>
            <w:r>
              <w:rPr>
                <w:rFonts w:ascii="Arial" w:cs="Arial" w:eastAsia="Arial" w:hAnsi="Arial"/>
                <w:sz w:val="20"/>
                <w:szCs w:val="20"/>
                <w:b w:val="1"/>
                <w:bCs w:val="1"/>
                <w:color w:val="auto"/>
                <w:w w:val="89"/>
              </w:rPr>
              <w:t xml:space="preserve"> Santa Ana</w:t>
            </w:r>
            <w:r>
              <w:rPr>
                <w:rFonts w:ascii="Arial" w:cs="Arial" w:eastAsia="Arial" w:hAnsi="Arial"/>
                <w:sz w:val="17"/>
                <w:szCs w:val="17"/>
                <w:b w:val="1"/>
                <w:bCs w:val="1"/>
                <w:color w:val="auto"/>
                <w:w w:val="89"/>
              </w:rPr>
              <w:t>,</w:t>
            </w:r>
            <w:r>
              <w:rPr>
                <w:rFonts w:ascii="Arial" w:cs="Arial" w:eastAsia="Arial" w:hAnsi="Arial"/>
                <w:sz w:val="20"/>
                <w:szCs w:val="20"/>
                <w:b w:val="1"/>
                <w:bCs w:val="1"/>
                <w:color w:val="auto"/>
                <w:w w:val="89"/>
              </w:rPr>
              <w:t xml:space="preserve"> California</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92707-5759</w:t>
            </w:r>
          </w:p>
        </w:tc>
        <w:tc>
          <w:tcPr>
            <w:tcW w:w="1800" w:type="dxa"/>
            <w:vAlign w:val="bottom"/>
          </w:tcPr>
          <w:p>
            <w:pPr>
              <w:spacing w:after="0"/>
              <w:rPr>
                <w:sz w:val="24"/>
                <w:szCs w:val="24"/>
                <w:color w:val="auto"/>
              </w:rPr>
            </w:pPr>
          </w:p>
        </w:tc>
      </w:tr>
      <w:tr>
        <w:trPr>
          <w:trHeight w:val="186"/>
        </w:trPr>
        <w:tc>
          <w:tcPr>
            <w:tcW w:w="5160" w:type="dxa"/>
            <w:vAlign w:val="bottom"/>
          </w:tcPr>
          <w:p>
            <w:pPr>
              <w:jc w:val="center"/>
              <w:ind w:left="2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w w:val="92"/>
              </w:rPr>
              <w:t>(Zip code)</w:t>
            </w:r>
          </w:p>
        </w:tc>
        <w:tc>
          <w:tcPr>
            <w:tcW w:w="1800" w:type="dxa"/>
            <w:vAlign w:val="bottom"/>
          </w:tcPr>
          <w:p>
            <w:pPr>
              <w:spacing w:after="0"/>
              <w:rPr>
                <w:sz w:val="16"/>
                <w:szCs w:val="16"/>
                <w:color w:val="auto"/>
              </w:rPr>
            </w:pPr>
          </w:p>
        </w:tc>
      </w:tr>
      <w:tr>
        <w:trPr>
          <w:trHeight w:val="390"/>
        </w:trPr>
        <w:tc>
          <w:tcPr>
            <w:tcW w:w="8620" w:type="dxa"/>
            <w:vAlign w:val="bottom"/>
            <w:gridSpan w:val="6"/>
          </w:tcPr>
          <w:p>
            <w:pPr>
              <w:jc w:val="center"/>
              <w:ind w:left="2529"/>
              <w:spacing w:after="0"/>
              <w:rPr>
                <w:sz w:val="20"/>
                <w:szCs w:val="20"/>
                <w:color w:val="auto"/>
              </w:rPr>
            </w:pPr>
            <w:r>
              <w:rPr>
                <w:rFonts w:ascii="Arial" w:cs="Arial" w:eastAsia="Arial" w:hAnsi="Arial"/>
                <w:sz w:val="18"/>
                <w:szCs w:val="18"/>
                <w:b w:val="1"/>
                <w:bCs w:val="1"/>
                <w:color w:val="auto"/>
                <w:w w:val="89"/>
              </w:rPr>
              <w:t>Registrant’s telephone number, including area code: (657) 335-3665</w:t>
            </w:r>
          </w:p>
        </w:tc>
        <w:tc>
          <w:tcPr>
            <w:tcW w:w="1800" w:type="dxa"/>
            <w:vAlign w:val="bottom"/>
          </w:tcPr>
          <w:p>
            <w:pPr>
              <w:spacing w:after="0"/>
              <w:rPr>
                <w:sz w:val="24"/>
                <w:szCs w:val="24"/>
                <w:color w:val="auto"/>
              </w:rPr>
            </w:pPr>
          </w:p>
        </w:tc>
      </w:tr>
      <w:tr>
        <w:trPr>
          <w:trHeight w:val="378"/>
        </w:trPr>
        <w:tc>
          <w:tcPr>
            <w:tcW w:w="5160" w:type="dxa"/>
            <w:vAlign w:val="bottom"/>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4"/>
        </w:trPr>
        <w:tc>
          <w:tcPr>
            <w:tcW w:w="5160" w:type="dxa"/>
            <w:vAlign w:val="bottom"/>
          </w:tcPr>
          <w:p>
            <w:pPr>
              <w:jc w:val="center"/>
              <w:ind w:right="189"/>
              <w:spacing w:after="0"/>
              <w:rPr>
                <w:sz w:val="20"/>
                <w:szCs w:val="20"/>
                <w:color w:val="auto"/>
              </w:rPr>
            </w:pPr>
            <w:r>
              <w:rPr>
                <w:rFonts w:ascii="Arial" w:cs="Arial" w:eastAsia="Arial" w:hAnsi="Arial"/>
                <w:sz w:val="14"/>
                <w:szCs w:val="14"/>
                <w:b w:val="1"/>
                <w:bCs w:val="1"/>
                <w:color w:val="auto"/>
                <w:w w:val="89"/>
              </w:rPr>
              <w:t>Title of each class</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240" w:type="dxa"/>
            <w:vAlign w:val="bottom"/>
          </w:tcPr>
          <w:p>
            <w:pPr>
              <w:spacing w:after="0"/>
              <w:rPr>
                <w:sz w:val="17"/>
                <w:szCs w:val="17"/>
                <w:color w:val="auto"/>
              </w:rPr>
            </w:pPr>
          </w:p>
        </w:tc>
        <w:tc>
          <w:tcPr>
            <w:tcW w:w="35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2"/>
        </w:trPr>
        <w:tc>
          <w:tcPr>
            <w:tcW w:w="5160" w:type="dxa"/>
            <w:vAlign w:val="bottom"/>
          </w:tcPr>
          <w:p>
            <w:pPr>
              <w:jc w:val="center"/>
              <w:ind w:right="209"/>
              <w:spacing w:after="0"/>
              <w:rPr>
                <w:sz w:val="20"/>
                <w:szCs w:val="20"/>
                <w:color w:val="auto"/>
              </w:rPr>
            </w:pPr>
            <w:r>
              <w:rPr>
                <w:rFonts w:ascii="Arial" w:cs="Arial" w:eastAsia="Arial" w:hAnsi="Arial"/>
                <w:sz w:val="18"/>
                <w:szCs w:val="18"/>
                <w:b w:val="1"/>
                <w:bCs w:val="1"/>
                <w:color w:val="auto"/>
                <w:w w:val="90"/>
              </w:rPr>
              <w:t>Common Stock, $.01 par value per share</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DCO</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318"/>
        </w:trPr>
        <w:tc>
          <w:tcPr>
            <w:tcW w:w="8620" w:type="dxa"/>
            <w:vAlign w:val="bottom"/>
            <w:gridSpan w:val="6"/>
          </w:tcPr>
          <w:p>
            <w:pPr>
              <w:jc w:val="center"/>
              <w:ind w:left="2589"/>
              <w:spacing w:after="0"/>
              <w:rPr>
                <w:sz w:val="20"/>
                <w:szCs w:val="20"/>
                <w:color w:val="auto"/>
              </w:rPr>
            </w:pPr>
            <w:r>
              <w:rPr>
                <w:rFonts w:ascii="Arial" w:cs="Arial" w:eastAsia="Arial" w:hAnsi="Arial"/>
                <w:sz w:val="16"/>
                <w:szCs w:val="16"/>
                <w:color w:val="auto"/>
                <w:w w:val="91"/>
              </w:rPr>
              <w:t>_________________________________________________________</w:t>
            </w:r>
          </w:p>
        </w:tc>
        <w:tc>
          <w:tcPr>
            <w:tcW w:w="1800" w:type="dxa"/>
            <w:vAlign w:val="bottom"/>
          </w:tcPr>
          <w:p>
            <w:pPr>
              <w:spacing w:after="0"/>
              <w:rPr>
                <w:sz w:val="24"/>
                <w:szCs w:val="24"/>
                <w:color w:val="auto"/>
              </w:rPr>
            </w:pPr>
          </w:p>
        </w:tc>
      </w:tr>
      <w:tr>
        <w:trPr>
          <w:trHeight w:val="458"/>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1800" w:type="dxa"/>
            <w:vAlign w:val="bottom"/>
          </w:tcPr>
          <w:p>
            <w:pPr>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p>
        </w:tc>
      </w:tr>
      <w:tr>
        <w:trPr>
          <w:trHeight w:val="419"/>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1800" w:type="dxa"/>
            <w:vAlign w:val="bottom"/>
          </w:tcPr>
          <w:p>
            <w:pPr>
              <w:ind w:left="180"/>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p>
        </w:tc>
      </w:tr>
    </w:tbl>
    <w:p>
      <w:pPr>
        <w:spacing w:after="0" w:line="114" w:lineRule="exact"/>
        <w:rPr>
          <w:sz w:val="24"/>
          <w:szCs w:val="24"/>
          <w:color w:val="auto"/>
        </w:rPr>
      </w:pPr>
    </w:p>
    <w:p>
      <w:pPr>
        <w:ind w:right="24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00" w:lineRule="exact"/>
        <w:rPr>
          <w:sz w:val="24"/>
          <w:szCs w:val="24"/>
          <w:color w:val="auto"/>
        </w:rPr>
      </w:pPr>
    </w:p>
    <w:p>
      <w:pPr>
        <w:spacing w:after="0" w:line="321"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rPr>
                <w:sz w:val="20"/>
                <w:szCs w:val="20"/>
                <w:color w:val="auto"/>
              </w:rPr>
            </w:pPr>
            <w:r>
              <w:rPr>
                <w:rFonts w:ascii="Arial" w:cs="Arial" w:eastAsia="Arial" w:hAnsi="Arial"/>
                <w:sz w:val="18"/>
                <w:szCs w:val="18"/>
                <w:color w:val="auto"/>
              </w:rPr>
              <w:t>x</w:t>
            </w:r>
          </w:p>
        </w:tc>
      </w:tr>
      <w:tr>
        <w:trPr>
          <w:trHeight w:val="28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20" w:type="dxa"/>
            <w:vAlign w:val="bottom"/>
          </w:tcPr>
          <w:p>
            <w:pPr>
              <w:ind w:left="288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4"/>
          <w:szCs w:val="24"/>
          <w:color w:val="auto"/>
        </w:rPr>
      </w:pPr>
    </w:p>
    <w:p>
      <w:pPr>
        <w:jc w:val="both"/>
        <w:ind w:right="10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5" w:lineRule="exact"/>
        <w:rPr>
          <w:sz w:val="24"/>
          <w:szCs w:val="24"/>
          <w:color w:val="auto"/>
        </w:rPr>
      </w:pPr>
    </w:p>
    <w:p>
      <w:pPr>
        <w:spacing w:after="0" w:line="24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21"/>
          <w:szCs w:val="21"/>
          <w:color w:val="auto"/>
        </w:rPr>
        <w:t>☒</w:t>
      </w:r>
    </w:p>
    <w:p>
      <w:pPr>
        <w:spacing w:after="0" w:line="82"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Arial" w:cs="Arial" w:eastAsia="Arial" w:hAnsi="Arial"/>
          <w:sz w:val="21"/>
          <w:szCs w:val="21"/>
          <w:color w:val="auto"/>
        </w:rPr>
        <w:t>x</w:t>
      </w:r>
    </w:p>
    <w:p>
      <w:pPr>
        <w:sectPr>
          <w:pgSz w:w="11900" w:h="16838" w:orient="portrait"/>
          <w:cols w:equalWidth="0" w:num="1">
            <w:col w:w="11180"/>
          </w:cols>
          <w:pgMar w:left="320" w:top="229" w:right="399" w:bottom="0" w:gutter="0" w:footer="0" w:header="0"/>
        </w:sectPr>
      </w:pPr>
    </w:p>
    <w:bookmarkStart w:id="1" w:name="page2"/>
    <w:bookmarkEnd w:id="1"/>
    <w:p>
      <w:pPr>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of which the common equity was last sold, or the average bid and asked price of such common equity, as of the last business day of the registrant’s most recently completed second fiscal quarter ended June 27, 2020 was $381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outstanding on February 3, 2021 was 11,763,468.</w:t>
      </w:r>
    </w:p>
    <w:p>
      <w:pPr>
        <w:spacing w:after="0" w:line="16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Proxy Statement for the 2021 Annual Meeting of Shareholders (the “2021 Proxy Statement”), incorporated partially in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64770</wp:posOffset>
            </wp:positionV>
            <wp:extent cx="67633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30480</wp:posOffset>
            </wp:positionV>
            <wp:extent cx="6763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040" w:type="dxa"/>
            <w:vAlign w:val="bottom"/>
          </w:tcPr>
          <w:p>
            <w:pPr>
              <w:spacing w:after="0"/>
              <w:rPr>
                <w:sz w:val="16"/>
                <w:szCs w:val="16"/>
                <w:color w:val="auto"/>
              </w:rPr>
            </w:pPr>
          </w:p>
        </w:tc>
        <w:tc>
          <w:tcPr>
            <w:tcW w:w="9380" w:type="dxa"/>
            <w:vAlign w:val="bottom"/>
          </w:tcPr>
          <w:p>
            <w:pPr>
              <w:spacing w:after="0"/>
              <w:rPr>
                <w:sz w:val="16"/>
                <w:szCs w:val="16"/>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Page</w:t>
            </w:r>
          </w:p>
        </w:tc>
      </w:tr>
      <w:tr>
        <w:trPr>
          <w:trHeight w:val="216"/>
        </w:trPr>
        <w:tc>
          <w:tcPr>
            <w:tcW w:w="1040" w:type="dxa"/>
            <w:vAlign w:val="bottom"/>
          </w:tcPr>
          <w:p>
            <w:pPr>
              <w:spacing w:after="0"/>
              <w:rPr>
                <w:sz w:val="18"/>
                <w:szCs w:val="18"/>
                <w:color w:val="auto"/>
              </w:rPr>
            </w:pPr>
          </w:p>
        </w:tc>
        <w:tc>
          <w:tcPr>
            <w:tcW w:w="9380" w:type="dxa"/>
            <w:vAlign w:val="bottom"/>
          </w:tcPr>
          <w:p>
            <w:pPr>
              <w:jc w:val="center"/>
              <w:ind w:right="190"/>
              <w:spacing w:after="0"/>
              <w:rPr>
                <w:rFonts w:ascii="Arial" w:cs="Arial" w:eastAsia="Arial" w:hAnsi="Arial"/>
                <w:sz w:val="18"/>
                <w:szCs w:val="18"/>
                <w:b w:val="1"/>
                <w:bCs w:val="1"/>
                <w:u w:val="single" w:color="auto"/>
                <w:color w:val="0000FF"/>
                <w:w w:val="98"/>
              </w:rPr>
            </w:pPr>
            <w:hyperlink w:anchor="page5">
              <w:r>
                <w:rPr>
                  <w:rFonts w:ascii="Arial" w:cs="Arial" w:eastAsia="Arial" w:hAnsi="Arial"/>
                  <w:sz w:val="18"/>
                  <w:szCs w:val="18"/>
                  <w:b w:val="1"/>
                  <w:bCs w:val="1"/>
                  <w:u w:val="single" w:color="auto"/>
                  <w:color w:val="0000FF"/>
                  <w:w w:val="98"/>
                </w:rPr>
                <w:t>PART I</w:t>
              </w:r>
            </w:hyperlink>
          </w:p>
        </w:tc>
        <w:tc>
          <w:tcPr>
            <w:tcW w:w="780" w:type="dxa"/>
            <w:vAlign w:val="bottom"/>
          </w:tcPr>
          <w:p>
            <w:pPr>
              <w:spacing w:after="0"/>
              <w:rPr>
                <w:sz w:val="18"/>
                <w:szCs w:val="18"/>
                <w:color w:val="auto"/>
              </w:rPr>
            </w:pPr>
          </w:p>
        </w:tc>
      </w:tr>
      <w:tr>
        <w:trPr>
          <w:trHeight w:val="499"/>
        </w:trPr>
        <w:tc>
          <w:tcPr>
            <w:tcW w:w="1040" w:type="dxa"/>
            <w:vAlign w:val="bottom"/>
          </w:tcPr>
          <w:p>
            <w:pPr>
              <w:spacing w:after="0"/>
              <w:rPr>
                <w:sz w:val="24"/>
                <w:szCs w:val="24"/>
                <w:color w:val="auto"/>
              </w:rPr>
            </w:pPr>
          </w:p>
        </w:tc>
        <w:tc>
          <w:tcPr>
            <w:tcW w:w="9380" w:type="dxa"/>
            <w:vAlign w:val="bottom"/>
          </w:tcPr>
          <w:p>
            <w:pPr>
              <w:ind w:left="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Forward-Looking Statements and Risk Factors</w:t>
              </w:r>
            </w:hyperlink>
          </w:p>
        </w:tc>
        <w:tc>
          <w:tcPr>
            <w:tcW w:w="7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3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7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380" w:type="dxa"/>
            <w:vAlign w:val="bottom"/>
          </w:tcPr>
          <w:p>
            <w:pPr>
              <w:ind w:left="38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78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10</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9380" w:type="dxa"/>
            <w:vAlign w:val="bottom"/>
          </w:tcPr>
          <w:p>
            <w:pPr>
              <w:ind w:left="38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Unresolved Staff Comments</w:t>
              </w:r>
            </w:hyperlink>
          </w:p>
        </w:tc>
        <w:tc>
          <w:tcPr>
            <w:tcW w:w="78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20</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38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Properties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21</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tcPr>
          <w:p>
            <w:pPr>
              <w:ind w:left="38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Legal Proceedings</w:t>
              </w:r>
            </w:hyperlink>
          </w:p>
        </w:tc>
        <w:tc>
          <w:tcPr>
            <w:tcW w:w="78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21</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38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Mine Safety Disclosures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21</w:t>
              </w:r>
            </w:hyperlink>
          </w:p>
        </w:tc>
      </w:tr>
      <w:tr>
        <w:trPr>
          <w:trHeight w:val="284"/>
        </w:trPr>
        <w:tc>
          <w:tcPr>
            <w:tcW w:w="1040" w:type="dxa"/>
            <w:vAlign w:val="bottom"/>
          </w:tcPr>
          <w:p>
            <w:pPr>
              <w:spacing w:after="0"/>
              <w:rPr>
                <w:sz w:val="24"/>
                <w:szCs w:val="24"/>
                <w:color w:val="auto"/>
              </w:rPr>
            </w:pPr>
          </w:p>
        </w:tc>
        <w:tc>
          <w:tcPr>
            <w:tcW w:w="9380" w:type="dxa"/>
            <w:vAlign w:val="bottom"/>
          </w:tcPr>
          <w:p>
            <w:pPr>
              <w:jc w:val="center"/>
              <w:ind w:right="190"/>
              <w:spacing w:after="0"/>
              <w:rPr>
                <w:rFonts w:ascii="Arial" w:cs="Arial" w:eastAsia="Arial" w:hAnsi="Arial"/>
                <w:sz w:val="18"/>
                <w:szCs w:val="18"/>
                <w:b w:val="1"/>
                <w:bCs w:val="1"/>
                <w:u w:val="single" w:color="auto"/>
                <w:color w:val="0000FF"/>
              </w:rPr>
            </w:pPr>
            <w:hyperlink w:anchor="page22">
              <w:r>
                <w:rPr>
                  <w:rFonts w:ascii="Arial" w:cs="Arial" w:eastAsia="Arial" w:hAnsi="Arial"/>
                  <w:sz w:val="18"/>
                  <w:szCs w:val="18"/>
                  <w:b w:val="1"/>
                  <w:bCs w:val="1"/>
                  <w:u w:val="single" w:color="auto"/>
                  <w:color w:val="0000FF"/>
                </w:rPr>
                <w:t>PART II</w:t>
              </w:r>
            </w:hyperlink>
          </w:p>
        </w:tc>
        <w:tc>
          <w:tcPr>
            <w:tcW w:w="780" w:type="dxa"/>
            <w:vAlign w:val="bottom"/>
          </w:tcPr>
          <w:p>
            <w:pPr>
              <w:spacing w:after="0"/>
              <w:rPr>
                <w:sz w:val="24"/>
                <w:szCs w:val="24"/>
                <w:color w:val="auto"/>
              </w:rPr>
            </w:pP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380" w:type="dxa"/>
            <w:vAlign w:val="bottom"/>
          </w:tcPr>
          <w:p>
            <w:pPr>
              <w:ind w:left="380"/>
              <w:spacing w:after="0"/>
              <w:rPr>
                <w:rFonts w:ascii="Arial" w:cs="Arial" w:eastAsia="Arial" w:hAnsi="Arial"/>
                <w:sz w:val="18"/>
                <w:szCs w:val="18"/>
                <w:u w:val="single" w:color="auto"/>
                <w:color w:val="0000FF"/>
                <w:w w:val="97"/>
              </w:rPr>
            </w:pPr>
            <w:hyperlink w:anchor="page22">
              <w:r>
                <w:rPr>
                  <w:rFonts w:ascii="Arial" w:cs="Arial" w:eastAsia="Arial" w:hAnsi="Arial"/>
                  <w:sz w:val="18"/>
                  <w:szCs w:val="18"/>
                  <w:u w:val="single" w:color="auto"/>
                  <w:color w:val="0000FF"/>
                  <w:w w:val="97"/>
                </w:rPr>
                <w:t>Market for the Registrant’s Common Equity, Related Stockholder Matters and Issuer Purchases of Equity Securities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21</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380" w:type="dxa"/>
            <w:vAlign w:val="bottom"/>
          </w:tcPr>
          <w:p>
            <w:pPr>
              <w:ind w:left="3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Selected Financial Data</w:t>
              </w:r>
            </w:hyperlink>
          </w:p>
        </w:tc>
        <w:tc>
          <w:tcPr>
            <w:tcW w:w="78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22</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9380" w:type="dxa"/>
            <w:vAlign w:val="bottom"/>
          </w:tcPr>
          <w:p>
            <w:pPr>
              <w:ind w:left="3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9380" w:type="dxa"/>
            <w:vAlign w:val="bottom"/>
          </w:tcPr>
          <w:p>
            <w:pPr>
              <w:ind w:left="3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Quantitative and Qualitative Disclosures About Market Risk</w:t>
              </w:r>
            </w:hyperlink>
          </w:p>
        </w:tc>
        <w:tc>
          <w:tcPr>
            <w:tcW w:w="7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9380" w:type="dxa"/>
            <w:vAlign w:val="bottom"/>
          </w:tcPr>
          <w:p>
            <w:pPr>
              <w:ind w:left="3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Financial Statements and Supplementary Data</w:t>
              </w:r>
            </w:hyperlink>
          </w:p>
        </w:tc>
        <w:tc>
          <w:tcPr>
            <w:tcW w:w="7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9380" w:type="dxa"/>
            <w:vAlign w:val="bottom"/>
          </w:tcPr>
          <w:p>
            <w:pPr>
              <w:ind w:left="3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Changes in and Disagreements With Accountants on Accounting and Financial Disclosures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9380" w:type="dxa"/>
            <w:vAlign w:val="bottom"/>
          </w:tcPr>
          <w:p>
            <w:pPr>
              <w:ind w:left="3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Controls and Procedures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9380" w:type="dxa"/>
            <w:vAlign w:val="bottom"/>
          </w:tcPr>
          <w:p>
            <w:pPr>
              <w:ind w:left="3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Other Information</w:t>
              </w:r>
            </w:hyperlink>
          </w:p>
        </w:tc>
        <w:tc>
          <w:tcPr>
            <w:tcW w:w="78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37</w:t>
              </w:r>
            </w:hyperlink>
          </w:p>
        </w:tc>
      </w:tr>
      <w:tr>
        <w:trPr>
          <w:trHeight w:val="283"/>
        </w:trPr>
        <w:tc>
          <w:tcPr>
            <w:tcW w:w="1040" w:type="dxa"/>
            <w:vAlign w:val="bottom"/>
          </w:tcPr>
          <w:p>
            <w:pPr>
              <w:spacing w:after="0"/>
              <w:rPr>
                <w:sz w:val="24"/>
                <w:szCs w:val="24"/>
                <w:color w:val="auto"/>
              </w:rPr>
            </w:pPr>
          </w:p>
        </w:tc>
        <w:tc>
          <w:tcPr>
            <w:tcW w:w="9380" w:type="dxa"/>
            <w:vAlign w:val="bottom"/>
          </w:tcPr>
          <w:p>
            <w:pPr>
              <w:jc w:val="center"/>
              <w:ind w:right="19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PART III</w:t>
              </w:r>
            </w:hyperlink>
          </w:p>
        </w:tc>
        <w:tc>
          <w:tcPr>
            <w:tcW w:w="780" w:type="dxa"/>
            <w:vAlign w:val="bottom"/>
          </w:tcPr>
          <w:p>
            <w:pPr>
              <w:spacing w:after="0"/>
              <w:rPr>
                <w:sz w:val="24"/>
                <w:szCs w:val="24"/>
                <w:color w:val="auto"/>
              </w:rPr>
            </w:pP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9380" w:type="dxa"/>
            <w:vAlign w:val="bottom"/>
          </w:tcPr>
          <w:p>
            <w:pPr>
              <w:ind w:left="3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Directors, Executive Officers and Corporate Governance</w:t>
              </w:r>
            </w:hyperlink>
          </w:p>
        </w:tc>
        <w:tc>
          <w:tcPr>
            <w:tcW w:w="78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9380" w:type="dxa"/>
            <w:vAlign w:val="bottom"/>
          </w:tcPr>
          <w:p>
            <w:pPr>
              <w:ind w:left="3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Executive Compensation</w:t>
              </w:r>
            </w:hyperlink>
          </w:p>
        </w:tc>
        <w:tc>
          <w:tcPr>
            <w:tcW w:w="78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380" w:type="dxa"/>
            <w:vAlign w:val="bottom"/>
          </w:tcPr>
          <w:p>
            <w:pPr>
              <w:ind w:left="3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Security Ownership of Certain Beneficial Owners and Management and Related Stockholder Matters</w:t>
              </w:r>
            </w:hyperlink>
          </w:p>
        </w:tc>
        <w:tc>
          <w:tcPr>
            <w:tcW w:w="78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9380" w:type="dxa"/>
            <w:vAlign w:val="bottom"/>
          </w:tcPr>
          <w:p>
            <w:pPr>
              <w:ind w:left="3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Certain Relationships and Related Transactions, and Director Independence</w:t>
              </w:r>
            </w:hyperlink>
          </w:p>
        </w:tc>
        <w:tc>
          <w:tcPr>
            <w:tcW w:w="7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39</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9380" w:type="dxa"/>
            <w:vAlign w:val="bottom"/>
          </w:tcPr>
          <w:p>
            <w:pPr>
              <w:ind w:left="3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Principal Accountant Fees and Services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39</w:t>
              </w:r>
            </w:hyperlink>
          </w:p>
        </w:tc>
      </w:tr>
      <w:tr>
        <w:trPr>
          <w:trHeight w:val="284"/>
        </w:trPr>
        <w:tc>
          <w:tcPr>
            <w:tcW w:w="1040" w:type="dxa"/>
            <w:vAlign w:val="bottom"/>
          </w:tcPr>
          <w:p>
            <w:pPr>
              <w:spacing w:after="0"/>
              <w:rPr>
                <w:sz w:val="24"/>
                <w:szCs w:val="24"/>
                <w:color w:val="auto"/>
              </w:rPr>
            </w:pPr>
          </w:p>
        </w:tc>
        <w:tc>
          <w:tcPr>
            <w:tcW w:w="9380" w:type="dxa"/>
            <w:vAlign w:val="bottom"/>
          </w:tcPr>
          <w:p>
            <w:pPr>
              <w:jc w:val="center"/>
              <w:ind w:right="190"/>
              <w:spacing w:after="0"/>
              <w:rPr>
                <w:rFonts w:ascii="Arial" w:cs="Arial" w:eastAsia="Arial" w:hAnsi="Arial"/>
                <w:sz w:val="18"/>
                <w:szCs w:val="18"/>
                <w:b w:val="1"/>
                <w:bCs w:val="1"/>
                <w:u w:val="single" w:color="auto"/>
                <w:color w:val="0000FF"/>
                <w:w w:val="98"/>
              </w:rPr>
            </w:pPr>
            <w:hyperlink w:anchor="page40">
              <w:r>
                <w:rPr>
                  <w:rFonts w:ascii="Arial" w:cs="Arial" w:eastAsia="Arial" w:hAnsi="Arial"/>
                  <w:sz w:val="18"/>
                  <w:szCs w:val="18"/>
                  <w:b w:val="1"/>
                  <w:bCs w:val="1"/>
                  <w:u w:val="single" w:color="auto"/>
                  <w:color w:val="0000FF"/>
                  <w:w w:val="98"/>
                </w:rPr>
                <w:t>PART IV</w:t>
              </w:r>
            </w:hyperlink>
          </w:p>
        </w:tc>
        <w:tc>
          <w:tcPr>
            <w:tcW w:w="780" w:type="dxa"/>
            <w:vAlign w:val="bottom"/>
          </w:tcPr>
          <w:p>
            <w:pPr>
              <w:spacing w:after="0"/>
              <w:rPr>
                <w:sz w:val="24"/>
                <w:szCs w:val="24"/>
                <w:color w:val="auto"/>
              </w:rPr>
            </w:pP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9380" w:type="dxa"/>
            <w:vAlign w:val="bottom"/>
          </w:tcPr>
          <w:p>
            <w:pPr>
              <w:ind w:left="3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Exhibits and Financial Statement Schedules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40</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9380" w:type="dxa"/>
            <w:vAlign w:val="bottom"/>
          </w:tcPr>
          <w:p>
            <w:pPr>
              <w:ind w:left="38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Form 10-K Summary</w:t>
              </w:r>
            </w:hyperlink>
          </w:p>
        </w:tc>
        <w:tc>
          <w:tcPr>
            <w:tcW w:w="780" w:type="dxa"/>
            <w:vAlign w:val="bottom"/>
          </w:tcPr>
          <w:p>
            <w:pPr>
              <w:jc w:val="right"/>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81</w:t>
              </w:r>
            </w:hyperlink>
          </w:p>
        </w:tc>
      </w:tr>
      <w:tr>
        <w:trPr>
          <w:trHeight w:val="284"/>
        </w:trPr>
        <w:tc>
          <w:tcPr>
            <w:tcW w:w="1040" w:type="dxa"/>
            <w:vAlign w:val="bottom"/>
          </w:tcPr>
          <w:p>
            <w:pPr>
              <w:spacing w:after="0"/>
              <w:rPr>
                <w:sz w:val="24"/>
                <w:szCs w:val="24"/>
                <w:color w:val="auto"/>
              </w:rPr>
            </w:pPr>
          </w:p>
        </w:tc>
        <w:tc>
          <w:tcPr>
            <w:tcW w:w="9380" w:type="dxa"/>
            <w:vAlign w:val="bottom"/>
          </w:tcPr>
          <w:p>
            <w:pPr>
              <w:ind w:left="38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Signatures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Annual Report on Form 10-K (“Form 10-K”) contains forward-looking statements within the meaning of Section 27A of the Securities Act of 1933, Section 21E of the Securities Exchange Act of 1934 and the Private Securities Litigation Reform Act of 1995. Forward-looking statements may be preceded by, followed by or include the words “could,” “may,” “believe,” “expect,” “anticipate,” “plan,” “estimate,” “expect,” or similar expressions. These statements are based on the beliefs and assumptions of our management. Generally, forward-looking statements include information concerning our possible or assumed future actions, events or results of operations. Forward-looking statements specifically include, without limitation, the information in this Form 10-K regarding: future sales, earnings, cash flow, uses of cash and other measures of financial performance, projections or expectations for future operations, industry trends and expectations, our plans with respect to restructuring activities, completed acquisitions, future acquisitions and dispositions and expected business opportunities that may be available to us.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10-K that are attributable to us or persons acting on our behalf are expressly qualified in their entirety by “Risk Factors” contained within Part I, Item 1A of this Form 10-K and other cautionary statements included herein.</w:t>
      </w:r>
    </w:p>
    <w:p>
      <w:pPr>
        <w:spacing w:after="0" w:line="1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information in this Form 10-K is not a complete description of our business. 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this Form 10-K and the following:</w:t>
      </w:r>
    </w:p>
    <w:p>
      <w:pPr>
        <w:spacing w:after="0" w:line="49" w:lineRule="exact"/>
        <w:rPr>
          <w:sz w:val="20"/>
          <w:szCs w:val="20"/>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otherwise comply with our covenants with respect to our outstanding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indebtedness;</w:t>
      </w:r>
    </w:p>
    <w:p>
      <w:pPr>
        <w:spacing w:after="0" w:line="117" w:lineRule="exact"/>
        <w:rPr>
          <w:rFonts w:ascii="Arial" w:cs="Arial" w:eastAsia="Arial" w:hAnsi="Arial"/>
          <w:sz w:val="18"/>
          <w:szCs w:val="18"/>
          <w:color w:val="auto"/>
        </w:rPr>
      </w:pPr>
    </w:p>
    <w:p>
      <w:pPr>
        <w:ind w:left="980" w:right="320" w:hanging="648"/>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acquisitions, business combinations, joint ventures, divestitures, or restructuring activities may entail certain operational and financial risks;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cyclicality of our end-use markets and the level of new commercial and military aircraft orders;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and customer concentration;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rates for various commercial and military aircraft programs;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U.S. Government defense spending;</w:t>
      </w:r>
    </w:p>
    <w:p>
      <w:pPr>
        <w:spacing w:after="0" w:line="117" w:lineRule="exact"/>
        <w:rPr>
          <w:rFonts w:ascii="Arial" w:cs="Arial" w:eastAsia="Arial" w:hAnsi="Arial"/>
          <w:sz w:val="18"/>
          <w:szCs w:val="18"/>
          <w:color w:val="auto"/>
        </w:rPr>
      </w:pPr>
    </w:p>
    <w:p>
      <w:pPr>
        <w:ind w:left="980" w:right="100" w:hanging="648"/>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applicable regulatory requirements and changes in regulatory requirements, including regulatory requirements applicable to government contracts and sub-contracts;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consolidation of customers and suppliers in our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delivery;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start-up costs, manufacturing inefficiencies and possible overruns on contracts;</w:t>
      </w:r>
    </w:p>
    <w:p>
      <w:pPr>
        <w:spacing w:after="0" w:line="117" w:lineRule="exact"/>
        <w:rPr>
          <w:rFonts w:ascii="Arial" w:cs="Arial" w:eastAsia="Arial" w:hAnsi="Arial"/>
          <w:sz w:val="18"/>
          <w:szCs w:val="18"/>
          <w:color w:val="auto"/>
        </w:rPr>
      </w:pPr>
    </w:p>
    <w:p>
      <w:pPr>
        <w:ind w:left="980" w:right="140" w:hanging="648"/>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design, product development, manufacturing, supply chain and other risks and uncertainties associated with our growth strategy to become a supplier of higher-level assemblies;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the risks associated with international operations and sales;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geopolitical developments and conditions;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pandemics, such as COVID-19, significantly impacting the global economy and specifically, the commercial aerospace end-use market;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disasters, natural or otherwise, damaging or disrupting our operations;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the global credit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within highly competitive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changes and evolving industry and regulatory standards;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goodwill and other asset impairments;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environmental liabilities;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cyber security attacks or not being able to detect such attacks;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with respect to us.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caution the reader that undue reliance should not be placed on any forward-looking statements, which speak only as of the date of this Form 10-K. We do not undertake any duty or responsibility to update any of these forward-looking statements to reflect events or circumstances after the date of this Form 10-K except as required by law.</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Ducommun differentiates itself as a full-service solution-based provider, offering a wide range of value-added advanced products and services in our primary businesses of electronics, structures, and integrated solutions. We operate through two primary business segments: Electronic Systems and Structural Systems. We are the successor to a business that was founded in California in 1849 and reincorporated in Delaware in 1970.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0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Acquisitions have been an important element of our growth strategy. We have supplemented our organic growth by identifying, acquiring and integrating acquisition opportunities that result in broader, more sophisticated product and service offerings while diversifying and expanding our customer base and markets.</w:t>
      </w:r>
    </w:p>
    <w:p>
      <w:pPr>
        <w:spacing w:after="0" w:line="13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example, in October 2019, we acquired all the outstanding equity interests of Nobles Parent Inc., the parent company of Nobles Worldwide, Inc. (“Nobles”), a privately-held global leader in the design and manufacturing of high performance ammunition handling systems for a wide range of military platforms including fixed-wing aircraft, rotary-wing aircraft, ground vehicles, and shipboard systems for $76.8 million, net of cash acquired, funded by drawing down on our revolving credit facility. The acquisition of Nobles advanced our strategy to diversify and offer more customized, value-driven engineered products with aftermarket opportunities and is included in our Structural Systems segment.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operate through two primary strategic businesses, Electronic Systems and Structural Systems, each of which is a reportable segment. The results of operations among our operating segments vary due to differences in competitors, customers, extent of proprietary deliverables and performance.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as discussed in more detail below. Structural Systems designs, engineers and manufactures various sizes of complex contoured aerostructure components and assemblies and supplies composite and metal bonded structures and assemblies. Structural Systems’ products are primarily used on commercial aircraft, military fixed-wing aircraft and military and commercial rotary-wing aircraft.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Systems</w:t>
      </w:r>
    </w:p>
    <w:p>
      <w:pPr>
        <w:spacing w:after="0" w:line="1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Electronic Systems has multiple major product offerings in electronics manufacturing for diverse, high-reliability applications: complex cable assemblies and interconnect systems, printed circuit board assemblies, higher-level electronic, electromechanical, and mechanical components and assemblies, and lightning diversion systems. Components, assemblies, and lightning diversion products are provided principally for domestic and foreign commercial and military fixed-wing aircraft, military and commercial rotary-wing aircraft and space programs. Further, we provide select industrial high-reliability applications for the industrial, medical, and other end-use markets. We build custom, high-performance electronics and electromechanical systems. Our products include sophisticated radar enclosures, aircraft avionics racks and shipboard communications and control enclosures, printed circuit board assemblies, cable assemblies, wire harnesses, and interconnect systems, lightning diversion strips, surge suppressors, conformal shields and other high-level complex assemblies. Electronic Systems utilizes a highly-integrated production process, including manufacturing, engineering, fabrication, machining,</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assembly, electronic integration, and related processes. Engineering, technical and program management services are provided to a wide range of customers.</w:t>
      </w:r>
    </w:p>
    <w:p>
      <w:pPr>
        <w:spacing w:after="0" w:line="116"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In response to customer needs and utilizing our in-depth engineering expertise, Electronic Systems is also considered a leading supplier of engineered products including, illuminated pushbutton switches and panels for aviation and test systems, microwave and millimeter switches and filters for radio frequency systems and test instrumentation, and motors and resolvers for motion control.</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Electronic Systems also provides engineering expertise for aerospace system design, development, integration, and testing. We leverage the knowledge base, capabilities, talent, and technologies of this focused capability into direct support of our customers.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Structural Systems</w:t>
      </w:r>
    </w:p>
    <w:p>
      <w:pPr>
        <w:spacing w:after="0" w:line="10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Structural Systems has three major product offerings to support a global customer base: commercial aircraft, military fixed-wing aircraft, and military and commercial rotary-wing aircraft. Our applications include structural components, structural assemblies, bonded (metal and composite) components, precision profile extrusions and extruded assemblies, and ammunition handling systems. In the structural components products, Structural Systems provides design services, engineers, and manufacturing of large complex contoured aluminum, titanium and Inconel aerostructure components for the aerospace industry. Structural assembly products include winglets, engine components, and fuselage structural panels for aircraft. Metal and composite bonded structures and assemblies products include aircraft wing spoilers, large fuselage skins, rotor blades on rotary-wing aircraft and components, flight control surfaces, engine components, and ammunition handling systems. To support these products, Structural Systems maintains advanced machine milling, stretch-forming, hot-forming, metal bonding, composite layup, and chemical milling capabilities and has an extensive engineering capability to support both design services and manufacturing.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AND DEFENSE END-USE MARKETS OVERVIEW</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largest end-use markets are the aerospace and defense markets and our revenues from these markets represented 94% of our total net revenues in 2020. These markets are serviced by suppliers which are stratified, from the lowest value provided to the highest, into four tiers: original equipment manufacturers (“OEMs”), Tier One, Tier Two, and Tier Three. The OEMs provide the highest value and are also known as prime contractors (“Primes”). We derive a significant portion of our revenues from subcontracts with OEMs. As the prime contractor for various programs and platforms, the OEMs sell to their customers, who may include, depending upon the application, the U.S. Federal Government, foreign, state and local governments, global commercial airline carriers, regional jet carriers and various other customers. The OEMs also sell to global leasing companies that lease commercial aircraft. A significant portion of our revenues is earned from subcontracts with the Primes. Tier One suppliers manufacture aircraft sections and purchase assemblies. Tier Two suppliers provide more complex, value-added parts and may also assume more design risk, manufacturing risk, supply chain risk and project management risk than Tier Three suppliers. Tier Three suppliers principally provide components or detailed parts. We currently compete primarily with Tier Two and Tier Three suppliers. Our business growth strategy is to differentiate ourselves from competitors by providing more complex assemblies to our customers as a higher value added supplier.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Aerospace End-Use Market</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commercial aerospace end-use market is highly cyclical and is impacted by the level of global air passenger traffic in general, which in turn is influenced by global economic conditions, fleet fuel and maintenance costs and geopolitical developments. Revenues from the commercial aerospace end-use market represented 27% of our total net revenues for 2020.</w:t>
      </w:r>
    </w:p>
    <w:p>
      <w:pPr>
        <w:spacing w:after="0" w:line="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COVID-19 pandemic has caused an unprecedented adverse impact to demand for civil air travel, creating a significant challenge for some of our customers and the entire commercial aerospace manufacturing and services sector. Global economic growth, a primary driver for air travel, is expected to have declined to between negative four percent and negative five percent in 2020. The latest International Air Transport Association (“IATA”) forecast projected full-year 2020 passenger traffic to be down more than 60% compared to 2019 as global economic activity slows due to COVID-19, and governments severely restricted travel to contain the spread of the virus. The recovery remains slow and uneven as travel restrictions and varying regional travel protocols continue to impact air travel. Generally, it is expected that domestic travel will recover faster than international travel. The pace of the commercial market recovery will be heavily dependent on COVID-19 infection rates, progress on testing, government travel restrictions, and timing and availability of vaccines.</w:t>
      </w:r>
    </w:p>
    <w:p>
      <w:pPr>
        <w:spacing w:after="0" w:line="13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airline financial performance, which also plays a role in the demand for new capacity, has been adversely impacted by the COVID-19 pandemic. According to IATA, net losses in 2020 for the airline industry are expected to be approximately $118 billion, compared to net profits of $26 billion in 2019. Our customers are taking actions to combat the effects of the COVID-19 pandemic on the market by preserving liquidity. This comes in many forms such as deferral of advances and other</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payments to suppliers, deferrals of deliveries, reduced spending, and in some cases, cancellation of orders. We face a challenging environment in the near and medium future as airlines adjust to reduced air traffic, which in turn, will lower demand for commercial aerospace products. The current environment is also affecting the financial viability of some airlines.</w:t>
      </w:r>
    </w:p>
    <w:p>
      <w:pPr>
        <w:spacing w:after="0" w:line="13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The Boeing Company’s (“Boeing”) 2020 Annual Report on Form 10-K filed with the Securities and Exchange Commission (the “SEC”), they indicated that they expect it will take approximately three years for worldwide travel to return to 2019 levels and a few years beyond that for the industry to return to the long-term trend growth of five percent.</w:t>
      </w:r>
    </w:p>
    <w:p>
      <w:pPr>
        <w:spacing w:after="0" w:line="6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long-term outlook for the industry continues to remain positive due to the fundamental drivers of air travel demand: economic growth, increasing propensity to travel due to increased trade, globalization, and improved airline services driven by liberalization of air traffic rights between countries. The COVID-19 pandemic has reduced the near to medium term demand, but Boeing’s commercial market outlook forecast projects a four percent growth rate for passenger and cargo traffic over a 20 year period. Based on long-term global economic growth projections of two and a half percent average annual gross domestic product (“GDP”) growth, Boeing projects a demand for 43,000 new airplanes over the next 20 years. However, the industry remains vulnerable to various developments including business travel may not return to pre-pandemic levels due to the use of virtual meeting platforms, fuel price spikes, credit market fluctuations, acts of terrorism, natural disasters, conflicts, epidemics, pandemics, and increased global environmental regulations. We believe we are well positioned given our product capabilities and our initiatives to increase operating efficiencies to participate in the near term recovery and the long term projected growth rate for commercial air traffic and build rates for large commercial aircraft for the airframe manufacturing industry. If the recovery is slower than anticipated or any of the developments occur, it could have a material adverse effect on our results of operations, financial position, and/or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 End-Use Market</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defense end-use market includes products used in military and space, including technologies and structures applications. The defense end-use market is highly cyclical and is impacted by the level of government defense spending. Government defense spending is impacted by national defense policies and priorities, political climates, fiscal budgetary constraints, U.S. Federal budget deficits, projected economic growth and the level of global military or security threats, or other conflicts. Revenues from the military and space end-use market in 2020 represented 67% of our total net revenues during 2020.</w:t>
      </w:r>
    </w:p>
    <w:p>
      <w:pPr>
        <w:spacing w:after="0" w:line="2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Omnibus appropriations acts for fiscal year 2021 (“FY2021”), enacted in December 2020, provided FY2021 appropriations for government departments and agencies, including the United States Department of Defense (“U.S. DoD”), the National Aeronautics and Space Administration (“NASA”), and the Federal Aviation Administration (“FAA”), reducing budget uncertainty and the risk of sequestration. However, there continues to be uncertainty with respect to future program-level appropriations for the U.S. DoD and other government agencies, including NASA. Future budget cuts or investment priority changes, including changes associated with the authorizations and appropriations process, could result in reductions, cancellations, and/or delays of existing contracts or programs. Any of these impacts could have a material effect on our results of operations, financial position, and/or cash flows. For additional information related to our revenues from customers whose principal sales are to the U.S. Government and our direct sales to the U.S. Government, see “Risk Factors” contained within Part I, Item 1A of this Annual Report on Form 10-K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END-USE MARKETS OVERVIEW</w:t>
      </w:r>
    </w:p>
    <w:p>
      <w:pPr>
        <w:spacing w:after="0" w:line="1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industrial, medical and other (collectively, “Industrial”) end-use markets are diverse and are impacted by the customers’ needs for increasing electronic content and a desire to outsource. Factors expected to impact these markets include capital and industrial goods spending and general economic conditions. Our products are used in heavy industrial manufacturing systems and certain medical applications. Revenues from the Industrial end-use markets were 6% of our total net revenues during 2020.</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our business in these markets in the long-term, is stable and we are well positioned in these markets even though the COVID-19 pandemic has had and will continue to have at least a near term impact on our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commercial revenues are substantially dependent on airframe manufacturers’ production rates of new aircraft. Deliveries of new aircraft by airframe manufacturers are dependent on the demand and financial capacity of its customers, primarily airlines and leasing companies, to purchase the aircraft. Thus, revenues from commercial aircraft could be affected as a result of changes in new aircraft orders, or the cancellation or deferral by airlines of purchases of ordered aircraft. Further, our revenues from commercial aircraft programs could be affected by changes in our customers’ inventory levels and changes in our customers’ aircraft production build rates. As a result of the COVID-19 pandemic, both major large aircraft manufacturers, Boeing and Airbus SE (“Airbus”), have announced lower build rates for the near and medium future. While the ramp up in production and demand will be slower in the near and medium future, we will continue to identify opportunities to expand our presence and offerings with both major large aircraft manufacturers and their supply chain.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Military components manufactured by us are employed in many of the country’s front-line fighters, bombers, rotary-wing aircraft and support aircraft, as well as land and sea-based applications. Our defense business is diversified among a number of military manufacturers and programs. In the space sector, we are expanding our presence with unmanned aerial vehicles and continue to support various satellite programs.</w:t>
      </w:r>
    </w:p>
    <w:p>
      <w:pPr>
        <w:spacing w:after="0" w:line="1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sales into the Industrial end-use markets are customer focused in the various markets and driven primarily by their capital spending and manufacturing outsourcing demands.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continue to broaden and diversify our customer base in the end-use markets we serve by providing innovative product and service solutions by drawing on our core competencies, experience and technical expertise. Net revenues related to military and space, commercial aerospace, and Industrial end-use markets in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863590" cy="1774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Many of our contracts are firm fixed price contracts subject to termination at the convenience of the customer (as well as for default). In the event of termination for convenience, the customer generally is required to pay the costs we have incurred and certain other fees through the date of termination, plus a reasonable profit. Larger, long-term government subcontracts may have provisions for milestone payments, progress payments or cash advances for purchase of inventory.</w:t>
      </w:r>
    </w:p>
    <w:p>
      <w:pPr>
        <w:spacing w:after="0" w:line="13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marketing efforts primarily consist of developing strong, long-term relationships with our customers, which provide the basis for future sales. These close relationships allow us to gain a better insight into each customer’s business needs, identify ways to provide greater value to the customer, and allow us to be designed in early in various products and/or high volume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timing of our revenues is governed by the purchasing patterns of our customers, and, as a result, we may not generate revenues equally during the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no material portion of our business is considered to be seasonal.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currently generate the majority of our revenues from the aerospace and defense industries. As a result, we have significant revenues from certain customers. The Boeing Company (“Boeing”) and Raytheon Technologies Corporation (“Raytheon”) were our largest customers, both generating more than 10 percent of our 2020 net revenues. Revenues from our top 10 customers, including Boeing and Raytheon were 61% of total net revenues during 2020. Net revenues by major customer for 2020 and 2019 were as follows: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5863590" cy="1825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revenues from our customers, except the U.S. Government, are diversified over a number of different military and space, commercial aerospace, industrial, medical and other products. For additional information on revenues from major customers, see Note 15 to our consolidated financial statements included in Part IV, Item 15(a) of this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perform concurrent engineering with our customers and product development activities under our self-funded programs, as well as under contracts with others. Concurrent engineering and product development activities are performed for commercial, military and space applications.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COMPONENTS</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Raw materials and components used in the manufacturing of our products include aluminum, titanium, steel and carbon fibers, as well as a wide variety of electronic interconnect and circuit card assemblies and components. These raw materials are generally available from a number of suppliers and are generally in adequate supply. However, from time to time, we have experienced increases in lead times for and limited availability of, aluminum, titanium and certain other raw materials and/or components. Moreover, certain components, supplies and raw materials for our operations are purchased from single source suppliers and occasionally, directed by our customers. In such instances, we strive to develop alternative sources and design modifications to minimize the potential for business interruptions.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markets we serve are highly competitive, and our products and services are affected by varying degrees of competition. We compete worldwide with domestic and international companies in most markets. These companies may have competitive advantages as a result of greater financial resources, economies of scale and bundled products and services that we do not offer. Additional information related to competition is discussed in Risk Factors contained within Part I, Item 1A of this Form 10-K. Our ability to compete depends principally upon the breadth of our technical capabilities, the quality of our goods and services, competitive pricing, product performance, design and engineering capabilities, new product innovation, the ability to solve specific customer needs, and customer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pacing w:after="0" w:line="1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several patents, but we do not believe that our operations are dependent upon any single patent or group of patents. In general, we rely on technical superiority, continual product improvement, exclusive product features, superior lead time, on-time delivery performance, quality, and customer relationships to maintain our competitive advantage.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AND REMAINING PERFORMANCE OBLIGATIONS</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define backlog as potential revenue that is based on customer placed purchase orders (“POs”) and long-term agreements (“LTAs”) with firm fixed price and expected delivery dates of 24 months or less.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 Backlog was $822.0 million at December 31, 2020, compared to $910.2 million at December 31, 2019. The decrease in backlog was primarily in the commercial aerospace end-use market.</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define remaining performance obligations as customer placed POs with firm fixed price and firm delivery dates. The majority of the LTAs do not meet the definition of a contract under Accounting Standards Codification 606 (“ASC 606”) and thus, the backlog amount is greater than the remaining performance obligations amount as defined under ASC 606. Similar to backlog, revenue based on remaining performance obligations is subject to delivery delays or program cancellations, which are beyond our control. Remaining performance obligations were $779.7 million at December 31, 2020. We anticipate recognizing an estimated 65% or $507.0 million of our remaining performance obligations during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business, operations and facilities are subject to numerous stringent federal, state and local environmental laws and regulations issued by government agencies, including the Environmental Protection Agency (“EPA”). Among other matters, these regulatory authorities impose requirements that regulate the emission, discharge, generation, management, transport and disposal of hazardous and non-hazardous materials, pollutants and contaminants. These regulations govern public and private response actions to hazardous or regulated substances that threaten to release or have been released to the environment, or endanger human health, and they require us to obtain and maintain licenses and permits in connection with our operations. We may also be required to investigate and remediate the effects of the release or disposal of materials at sites associated with past and present operations. Additionally, this extensive regulatory framework imposes significant compliance burdens and risks on us. We anticipate that capital expenditures will continue to be required for the foreseeable future to upgrade and maintain our environmental compliance efforts, however, we do not expect such expenditures to be material in 2021 and the foreseeable future.</w:t>
      </w:r>
    </w:p>
    <w:p>
      <w:pPr>
        <w:spacing w:after="0" w:line="1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Structural Systems has been directed by California environmental agencies to investigate and take corrective action for groundwater contamination at its facilities located in Adelanto (a.k.a., El Mirage) and Monrovia, California. Based on currently available information, we have accrued $1.5 million at December 31, 2020 for our estimated liabilities related to these sites. For further information, see Note 14 in the accompanying notes to consolidated financial statements included in Part IV, Item 15(a) of this Form 10-K. In addition, see Risk Factors contained within Part I, Item 1A of this Form 10-K for certain risks related to environmental matters.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employees are critical to our success. We attract, develop, and retain employee talent by offering competitive compensation packages and fostering a culture of care about their well being. As such, we strive to make the safety of our workforce our highest priority as evidenced by our response to the COVID-19 pandemic. To this end, we focus on protecting the health and safety of our employees and establishing a safe work environment by following the COVID-19 safety recommendations issued by the Centers for Disease Control and Prevention at all of our facilities.</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we endeavor to be a proactive corporate citizen by being responsive and supportive of the needs of our employees to attract qualified talent. We strive to provide opportunities for qualified members of underrepresented communities and women for advancement within our company and award scholarships to the children and grandchildren of our employees so that they may develop the skills that will support their entry into the workforce. In addition, in 2018, we implemented an Employee Stock Purchase Plan (“ESPP”) to provide employees the opportunity to share in the ownership of our company and benefit from our performance through the purchase of our company’s stock. The ESPP allows eligible employees to accumulate contributions through after-tax payroll deductions to purchase shares of our company’s stock at a 15% discount and serves as a key retention mechanism for our human capital.</w:t>
      </w:r>
    </w:p>
    <w:p>
      <w:pPr>
        <w:spacing w:after="0" w:line="7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December 31, 2020, we employed 2,450 people, of which 445 are subject to collective bargaining agreements expiring in June 2021 and April 2022. We believe our relations with our employees are good. See Risk Factors contained within Part I, Item 1A of this Form 10-K for additional information regarding certain risks related to our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General information about us can be obtained from our website address at </w:t>
      </w:r>
      <w:r>
        <w:rPr>
          <w:rFonts w:ascii="Arial" w:cs="Arial" w:eastAsia="Arial" w:hAnsi="Arial"/>
          <w:sz w:val="18"/>
          <w:szCs w:val="18"/>
          <w:u w:val="single" w:color="auto"/>
          <w:color w:val="auto"/>
        </w:rPr>
        <w:t>www.ducommun.com</w:t>
      </w:r>
      <w:r>
        <w:rPr>
          <w:rFonts w:ascii="Arial" w:cs="Arial" w:eastAsia="Arial" w:hAnsi="Arial"/>
          <w:sz w:val="18"/>
          <w:szCs w:val="18"/>
          <w:color w:val="auto"/>
        </w:rPr>
        <w:t xml:space="preserve">. Our Annual Reports on Form 10-K, Quarterly Reports on Form 10-Q, Current Reports on Form 8-K, and amendments to those reports, if any, are available free of charge on our website as soon as reasonably practicable after they are filed with or furnished to the SEC. Information included on our website is not incorporated by reference in this Annual Report on Form 10-K. The SEC also maintains a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statements and other information regarding SEC registrants, including our company.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 financial condition, results of operations and cash flows may be affected by known and unknown risks, uncertainties and other factors. We have summarized below the significant, known material risks to our business. Additional risk factors not currently known to us or that we currently believe are immaterial may also impair our business, financial condition, results of operations and cash flows. Any of these risks, uncertainties and other factors could cause our future financial results to differ materially from recent financial results or from currently anticipated future financial results. The risk factors below should be considered together with the information included elsewhere in this Annual Report on Form 10-K (“Form 10-K”) as well as other required filings by us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RISKS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indebtedness could limit our financing options, adversely affect our financial condition, and prevent us from fulfilling our debt obligations.</w:t>
      </w:r>
    </w:p>
    <w:p>
      <w:pPr>
        <w:spacing w:after="0" w:line="19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December 2019, we completed the refinancing of a portion of our existing debt by entering into both a new revolving credit facility (“New Revolving Credit Facility”) and a new term loan (“New Term Loan”). These replaced the existing revolving credit facility that was entered into in November 2018 (“2018 Revolving Credit Facility”). The New Revolving Credit Facility is a $100.0 million senior secured revolving credit facility that matures on December 20, 2024 replacing the $100.0 million 2018 Revolving Credit Facility that would have matured on November 21, 2023. The New Term Loan is a $140.0 million senior secured term loan that matures on December 20, 2024. We also have an existing $240.0 million senior secured term loan that was entered into in November 2018 that matures on November 21, 2025 (“2018 Term Loan”). The original amounts available under the New Revolving Credit Facility, New Term Loan, and 2018 Term Loan (collectively, the “Credit Facilities”) in aggregate, totaled $480.0 million. In conjunction with the closing of the New Revolving Credit Facility and the New Term Loan, we drew down the entire $140.0 million on the New Term Loan and used those proceeds to pay off and close the 2018 Revolving Credit Facility of $58.5 million, paid down a portion of the 2018 Term Loan of $56.0 million, paid the accrued interest associated with the amounts being paid down on the 2018 Revolving Credit Facility and 2018 Term Loan, paid the fees related to this transaction, and the remainder used for general corporate expenses.</w:t>
      </w:r>
    </w:p>
    <w:p>
      <w:pPr>
        <w:spacing w:after="0" w:line="12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At December 31, 2020, we had a total of $320.6 million of outstanding long-term debt under the Credit Facilities. The total long-term debt was primarily the result of our acquisitions, LaBarge, Inc. in 2011, Lightning Diversion Systems, LLC (“LDS”) in September 2017, Certified Thermoplastics Co., LLC (“CTP”) in April 2018, and Nobles in October 2019.</w:t>
      </w:r>
    </w:p>
    <w:p>
      <w:pPr>
        <w:spacing w:after="0" w:line="13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ability to obtain additional financing or complete a debt refinancing in the future may be limited. Should we not have ready access to capital markets, we may have to undertake alternative financing plans, such as selling assets; reducing or delaying scheduled expansions and/or capital investments; or seeking various other forms of capital. Our ability to complete reasonable alternative financing plans may be affected by circumstances and economic events outside of our control. We cannot ensure that we would be able to refinance our debt or enter into alternative financing plans in adequate amounts on commercially reasonable terms, terms acceptable to us or at all, or that such plans guarantee that we would be able to meet our debt obligations.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level of debt could:</w:t>
      </w:r>
    </w:p>
    <w:p>
      <w:pPr>
        <w:spacing w:after="0" w:line="117" w:lineRule="exact"/>
        <w:rPr>
          <w:sz w:val="20"/>
          <w:szCs w:val="20"/>
          <w:color w:val="auto"/>
        </w:rPr>
      </w:pPr>
    </w:p>
    <w:p>
      <w:pPr>
        <w:ind w:left="980" w:right="940" w:hanging="648"/>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fund capital expenditures, investments or acquisitions or other general corporate requirements;</w:t>
      </w:r>
    </w:p>
    <w:p>
      <w:pPr>
        <w:spacing w:after="0" w:line="62" w:lineRule="exact"/>
        <w:rPr>
          <w:rFonts w:ascii="Arial" w:cs="Arial" w:eastAsia="Arial" w:hAnsi="Arial"/>
          <w:sz w:val="18"/>
          <w:szCs w:val="18"/>
          <w:color w:val="auto"/>
        </w:rPr>
      </w:pPr>
    </w:p>
    <w:p>
      <w:pPr>
        <w:ind w:left="980" w:right="240" w:hanging="648"/>
        <w:spacing w:after="0" w:line="308"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require a portion of our cash flows to be dedicated to debt service payments instead of other purposes, thereby reducing the amount of cash flows available for working capital, capital expenditures, investments or acquisitions or other general corporate purposes;</w:t>
      </w:r>
    </w:p>
    <w:p>
      <w:pPr>
        <w:spacing w:after="0" w:line="38" w:lineRule="exact"/>
        <w:rPr>
          <w:rFonts w:ascii="Arial" w:cs="Arial" w:eastAsia="Arial" w:hAnsi="Arial"/>
          <w:sz w:val="17"/>
          <w:szCs w:val="17"/>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place us at a disadvantage compared to other, less leveraged competitors;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expose us to the risk of increased borrowing costs and higher interest rates as all of our borrowings under our Credit Facilities bear interest at variable rates, which could further adversely impact our cash flows;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flexibility to plan for and react to changes in our business and the industry in which we compete;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us from making strategic acquisitions;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expose us to risk of unfavorable changes in the global credit markets;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Credit Facilities and our other debt.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occurrence of any one of these events could have an adverse effect on our business, financial condition, results of operations and ability to satisfy our obligations in respect of our outstanding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considerable amount of cash to run our business.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ability to make payments on our debt in the future and to fund planned capital expenditures and working capital needs, will depend upon our ability to generate significant cash in the future. Our ability to generate cash is subject to economic, financial, competitive, legislative, regulatory and other factors that may be beyond our control.</w:t>
      </w:r>
    </w:p>
    <w:p>
      <w:pPr>
        <w:spacing w:after="0" w:line="13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December 2019, we completed the refinancing of a portion of our existing debt by entering into the New Revolving Credit Facility to replace the 2018 Revolving Credit Facility and entered into the New Term Loan. The New Revolving Credit Facility is a $100.0 million senior secured revolving credit facility that matures on December 20, 2024 replacing the $100.0 million 2018 Revolving Credit Facility that would have matured on November 21, 2023. The New Term Loan is a $140.0 million senior secured term loan that matures on December 20, 2024. We also have the 2018 Term Loan of $240.0 million that is a senior secured term loan that matures on November 21, 2025. In conjunction with the closing of the New Revolving Credit Facility and the New Term Loan, we drew down the entire $140.0 million on the New Term Loan and used those proceeds to pay off and close the 2018 Revolving Credit Facility of $58.5 million, paid down a portion of the 2018 Term Loan of $56.0 million, paid the accrued interest associated with the amounts being paid down on the 2018 Revolving Credit Facility and 2018 Term Loan, paid the fees related to this transaction, with the remainder used for general corporate expenses.</w:t>
      </w:r>
    </w:p>
    <w:p>
      <w:pPr>
        <w:spacing w:after="0" w:line="14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terms of the New Term Loan require that we make installment payments of 1.25% of the initial outstanding principal balance on a quarterly basis, on the last day of each calendar quarter. We were required to make installment payments of 0.25% of the outstanding principal balance of the 2018 Term Loan amount on a quarterly basis, however, the $56.0 million we paid as part of the December 2019 refinancing paid all the required quarterly installment payments on the 2018 Term Loan until maturity. In addition, if we exceed the annual excess cash flow threshold, we are required to make an annual additional principal payment based on the consolidated adjusted leverage ratio. Further, the undrawn portion of the commitment of the New Revolving Credit Facility is subject to a commitment fee ranging from 0.175% to 0.275%, based upon the consolidated total net adjusted leverage ratio. In October 2015, we entered into interest rate cap hedges designated as cash flow hedges, with a portion of these interest rate cap hedges maturing on a quarterly basis, with notional value in aggregate, totaling $135.0 million. However, all of these interest rate cap hedges matured in June 2020. At December 31, 2020, the outstanding balance on the Credit Facilities was $320.6 million with an average interest rate of 3.59%. Should interest rates increase significantly, our debt service cost will increase. Any inability to generate sufficient cash flow could have a material adverse effect on our financial condition or results of operations.</w:t>
      </w:r>
    </w:p>
    <w:p>
      <w:pPr>
        <w:spacing w:after="0" w:line="1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While we expect to meet all of our financial obligations, we cannot ensure that our business will generate sufficient cash flow from operations in an amount sufficient to enable us to pay our debt or to fund our other liquidity needs.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considerable amount of cash to fund our anticipated voluntary principal prepayments on our Credit Facilities.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continue to reduce the debt outstanding under our Credit Facilities through voluntary principal prepayments will be a contributing factor to our ability to keep our interest rate towards the lower end of the interest rate range as defined in the Credit Facilities. Our ability to make such prepayments will depend upon our ability to generate significant cash in the future. We cannot ensure that our business will generate sufficient cash flow from operations to fund any such prepayments.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covenants in our Credit Facilities impose restrictions that may limit our operating and financial flexibility.</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are required to comply with a leverage covenant as defined in the New Revolving Credit Facility agreement. The leverage covenant is defined as Consolidated Funded Indebtedness less unrestricted cash and cash equivalents in excess of $5.0 million, divided by consolidated earnings before interest, taxes and depreciation and amortization (“EBITDA”) and other adjustments.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December 31, 2020, we were in compliance with the leverage covenant under the Credit Facilities. However, there is no assurance that we will continue to be in compliance with the leverage covenant in future periods.</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Credit Facilities’ agreements contains a number of significant restrictions and covenants that limit our ability, among other things, to incur additional indebtedness, to create liens, to make certain payments, investments, to engage in transactions with affiliates, to sell certain assets or enter into mergers.</w:t>
      </w:r>
    </w:p>
    <w:p>
      <w:pPr>
        <w:spacing w:after="0" w:line="7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These covenants could materially and adversely affect our ability to finance our future operations or capital needs. Furthermore, they may restrict our ability to expand, pursue our business strategies and otherwise conduct our business. Our ability to comply with these covenants may be affected by circumstances and events beyond our control, such as prevailing economic conditions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and changes in regulations, and we cannot ensure that we will be able to comply with such covenants. These restrictions also limit our ability to obtain future financings to withstand a future downturn in our business or the economy in general.</w:t>
      </w:r>
    </w:p>
    <w:p>
      <w:pPr>
        <w:spacing w:after="0" w:line="11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 breach of any covenant in the Credit Facilities could result in a default under the Credit Facilities. A default, if not waived, could result in acceleration of the debt outstanding under the agreement. A default could permit our lenders to foreclose on any of our assets securing such debt. Even if new financing were available at that time, it may not be on terms or amounts that are acceptable to us or terms as favorable as our current agreements. If our debt is in default for any reason, our business, results of operations and financial condition could be materially and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affected by changes in LIBOR reporting practices or the method in which LIBOR is determined.</w:t>
      </w:r>
    </w:p>
    <w:p>
      <w:pPr>
        <w:spacing w:after="0" w:line="17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July 2017, the Financial Conduct Authority, the authority that regulates London Interbank Offering Rate (“LIBOR”), announced it intends to stop compelling banks to submit rates for the calculation of LIBOR after 2021. The Alternative Reference Rates Committee (“ARRC”) has proposed that the Secured Overnight Financing Rate (“SOFR”) is the rate that represents the best practice as the alternative to USD-LIBOR for use in derivatives and other financial contracts that are currently indexed to USD-LIBOR. ARRC has proposed a paced market transition plan to SOFR from USD-LIBOR, and organizations are currently working on industry wide and/or company specific transition from LIBOR to an alternative that will not result in financial market disruptions, significant increases in benchmark rates, or financing costs to borrowers. The consequences of these developments cannot be entirely predicted, but could result in an increase in the cost of our variable rate debt.</w:t>
      </w:r>
    </w:p>
    <w:p>
      <w:pPr>
        <w:spacing w:after="0" w:line="11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typical trading volume of our common stock may affect an investor’s ability to sell significant stock holdings in the future without negatively impacting stock price.</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level of trading activity may vary daily and typically represents only a small percentage of outstanding shares. As a result, a stockholder who sells a significant amount of shares in a short period of time could negatively affect our share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amount of debt may require us to raise additional capital to fund acquisitions.</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may sell additional shares of common stock or other equity securities to raise capital in the future, which could dilute the value of an investor’s holdings.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end-use markets are cyclical.</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sell our products into aerospace, defense, and industrial end-use markets, which are cyclical and have experienced periodic declines. Our sales are, therefore, unpredictable and may tend to fluctuate based on a number of factors, including global economic conditions, geopolitical developments and conditions, pandemics, and other developments affecting our end-use markets and the customers served. Consequently, results of operations in any period should not be considered indicative of the operating results that may be experienced in any future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upon a selected base of industries and customers, which subjects us to unique risks which may adversely affect us.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generate a majority of our revenues from customers in the aerospace and defense industry. Our business depends, in part, on the level of new military and commercial aircraft orders. As a result, we have significant sales to certain customers. Sales to The Boeing Company (“Boeing”) and Spirit AeroSystems Holdings, Inc. (“Spirit”) comprise a significant portion of our commercial aerospace end-use market. A significant portion of our net sales in our military and space end-use markets are made under subcontracts with original equipment manufacturers (“OEMs”), under their prime contracts with the U. S. Government. We had significant sales to Lockheed Martin Corporation (“Lockheed”), Northrop Grumman Corporation (“Northrop”), and Raytheon Technologies Corporation (“Raytheon”) in 2020 in our defense technologies end-use market.</w:t>
      </w:r>
    </w:p>
    <w:p>
      <w:pPr>
        <w:spacing w:after="0" w:line="12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Our customers may experience delays in the launch of new products, labor strikes, diminished liquidity or credit unavailability, weak demand for their products, or other difficulties in their business. In addition, shifts in government spending priorities have caused and may continue to cause additional uncertainty in the placement of orders.</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revenues from our top ten customers, which represented 61% of our total 2020 net revenues, were diversified over a number of different aerospace and defense products. Any significant change in production rates by these customers would have a material effect on our results of operations and cash flows. There is no assurance that our current significant customers will continue to buy products from us at current levels, or that we will retain any or all of our existing customers, or that we will be able to form new relationships with customers upon the loss of one or more of our existing customers. This risk may be further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complicated by pricing pressures, competition prevalent in our industry and other factors. A significant reduction in sales to any of our major customers, the loss of a major customer, or a default of a major customer on accounts receivable could have a material adverse impact on our financial results.</w:t>
      </w:r>
    </w:p>
    <w:p>
      <w:pPr>
        <w:spacing w:after="0" w:line="70"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Boeing was our largest customer prior to 2020 and remains one of our largest customers in 2020, and the 737 MAX was our highest revenue platform prior to 2020. Boeing recently received regulatory approval of the 737 MAX and as such, we expect to begin a modest ramp up in our production rates. Revenue growth with our other commercial customers and defense OEMs (also known as prime contractors) has helped to mitigate a significant portion of this risk for the time being. However, the COVID-19 pandemic has dampened civil air travel demand significantly, and if traveler confidence does not return in the near future, it may make it difficult to continue to offset a significant portion of this risk.</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generally make sales under purchase orders and contracts that are subject to cancellation, modification or rescheduling. Changes in the economic environment and the financial condition of the industries we serve could result in customer cancellation of contractual orders or requests for rescheduling. Some of our contracts have specific provisions relating to schedule and performance, and failure to deliver in accordance with such provisions could result in cancellations, modifications, rescheduling and/or penalties, in some cases at the customers’ convenience and without prior notice. While we have normally recovered our direct and indirect costs plus profit, such cancellations, modifications, or rescheduling that cannot be replaced in a timely fashion, could have a material adverse effect on our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business depends upon U.S. Government defense spending.</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derive a significant portion of our business from customers whose principal sales are to the U.S. Government. Accordingly, the success of our business depends upon government spending generally or for specific departments or agencies in particular. Such spending, among other factors, is subject to the uncertainties of governmental appropriations and national defense policies and priorities, constraints of the budgetary process, timing and potential changes in these policies and priorities, and the adoption of new laws or regulations or changes to existing laws or regulations.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These and other factors could cause the government and government agencies, or prime contractors that use us as a subcontractor, to reduce their purchases under existing contracts, to exercise their rights to terminate contracts for convenience or to abstain from exercising options to renew contracts, any of which could have a material adverse effect on our business, financial condition and results of operations.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Further, the levels of U.S. Department of Defense (“U.S. DoD”) spending in future periods are difficult to predict and are impacted by numerous factors such as the political environment, U.S. foreign policy, macroeconomic conditions and the ability of the U.S. Government to enact relevant legislation such as the authorization and appropriations bills. The Budget Control Act (“2011 Act”) established limits on U.S. government discretionary spending, including a reduction of defense spending between the 2012 and 2021 U.S. Government fiscal years. Accordingly, long-term uncertainty remains with respect to overall levels of defense spending and it is likely that U.S. Government discretionary spending levels will continue to be subject to pressure.</w:t>
      </w:r>
    </w:p>
    <w:p>
      <w:pPr>
        <w:spacing w:after="0" w:line="103"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Exports of certain of our products are subject to various export control regulations and authorizations, and we may not be successful in obtaining the necessary U.S. Government approvals and related export licenses for proposed sales to certain foreign customers.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must comply with numerous laws and regulations relating to the export of some of our products before we are permitted to sell those products outside the United States. Compliance often entails the submission and timely receipt of the necessary export approvals, licenses, or authorizations from the U.S. Government. Over the last several years, the U.S. export licensing environment for munitions has been adversely affected by a number of factors, including, but not limited to, the changing geopolitical environment and heightened tensions with other countries (which shift and evolve over time). Accordingly, we can give no assurance that we will be successful in obtaining, in a timely manner or at all, the approvals, licenses or authorizations we need to sell our products outside the United States, which may result in the cancellation of orders and significant penalties to our customers if we do not make deliveries and fulfill our contractual commitments. Any significant delay in, or impairment of, our ability to sell products outside of the United States could have a material adverse effect on our business, financial condition and results of operations.</w:t>
      </w:r>
    </w:p>
    <w:p>
      <w:pPr>
        <w:spacing w:after="0" w:line="120"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Contracts with some of our customers, including Federal government contracts, contain provisions which give our customers a variety of rights that are unfavorable to us and the OEMs to whom we provide products and services, including the ability to terminate a contract at any time for convenience.</w:t>
      </w:r>
    </w:p>
    <w:p>
      <w:pPr>
        <w:spacing w:after="0" w:line="12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Contracts with some of our customers, including Federal government contracts, contain provisions and are subject to laws and regulations that provide rights and remedies not typically found in commercial contracts. These provisions may allow our customers to: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right="780" w:hanging="648"/>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terminate existing contracts, in whole or in part, for convenience, as well as for default, or if funds for contract performance for any subsequent year become unavailable;</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terminate existing contracts if we are suspended or debarred from doing business with the federal government or with a governmental agency;</w:t>
      </w:r>
    </w:p>
    <w:p>
      <w:pPr>
        <w:spacing w:after="0" w:line="140" w:lineRule="exact"/>
        <w:rPr>
          <w:rFonts w:ascii="Arial" w:cs="Arial" w:eastAsia="Arial" w:hAnsi="Arial"/>
          <w:sz w:val="16"/>
          <w:szCs w:val="16"/>
          <w:color w:val="auto"/>
        </w:rPr>
      </w:pPr>
    </w:p>
    <w:p>
      <w:pPr>
        <w:ind w:left="980" w:right="160" w:hanging="648"/>
        <w:spacing w:after="0" w:line="308"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prohibit future procurement awards with a particular agency as a result of a finding of an organizational conflict of interest based upon prior related work performed for the agency that would give a contractor an unfair advantage over competing contractors; and</w:t>
      </w:r>
    </w:p>
    <w:p>
      <w:pPr>
        <w:spacing w:after="0" w:line="38" w:lineRule="exact"/>
        <w:rPr>
          <w:rFonts w:ascii="Arial" w:cs="Arial" w:eastAsia="Arial" w:hAnsi="Arial"/>
          <w:sz w:val="17"/>
          <w:szCs w:val="17"/>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 rights in products and systems produced by us.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the U.S. Government terminates a contract for convenience, the counterparty with whom we have contracted on a subcontract may terminate its contract with us. As a result of any such termination, whether on a direct government contract or subcontract, we may recover only our incurred or committed costs, settlement expenses and profit on work completed prior to the termination. If the U.S. Government terminates a direct contract with us for default, we may not even recover those amounts and instead may be liable for excess costs incurred by the U.S. Government in procuring undelivered items and services from another source.</w:t>
      </w:r>
    </w:p>
    <w:p>
      <w:pPr>
        <w:spacing w:after="0" w:line="13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addition, the U.S. Government is typically required to open all programs to competitive bidding and, therefore, may not automatically renew any of its prime contracts. If one or more of our customers’ government prime or subcontracts is terminated or canceled, our failure to replace sales generated from such contracts would result in lower sales and could have an adverse effect on our business, results of operations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consolidation in the aerospace industry could adversely affect our business and financial results.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aerospace and defense industry is experiencing significant consolidation, including our customers, competitors and suppliers. Consolidation among our customers may result in delays in the awarding of new contracts and losses of existing business. Consolidation among our competitors may result in larger competitors with greater resources and market share, which could adversely affect our ability to compete successfully. Consolidation among our suppliers may result in fewer sources of supply and increased cost to us.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 includes evaluating selected acquisitions, which entails certain risks to our business and financial performance.</w:t>
      </w:r>
    </w:p>
    <w:p>
      <w:pPr>
        <w:spacing w:after="0" w:line="18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have historically achieved a portion of our growth through acquisitions and expect to evaluate selected future acquisitions as part of our strategy for growth. Any acquisition of another business entails risks and it is possible that we may not realize the expected benefits from an acquisition or that an acquisition could adversely affect our existing operations. Acquisitions entail certain risks, including:</w:t>
      </w:r>
    </w:p>
    <w:p>
      <w:pPr>
        <w:spacing w:after="0" w:line="76" w:lineRule="exact"/>
        <w:rPr>
          <w:sz w:val="20"/>
          <w:szCs w:val="20"/>
          <w:color w:val="auto"/>
        </w:rPr>
      </w:pPr>
    </w:p>
    <w:p>
      <w:pPr>
        <w:ind w:left="980" w:right="520" w:hanging="648"/>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integrating the operations and personnel of the acquired company within our existing operations or in maintaining uniform standards;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key employees or customers of the acquired company;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achieve anticipated synergies;</w:t>
      </w:r>
    </w:p>
    <w:p>
      <w:pPr>
        <w:spacing w:after="0" w:line="117" w:lineRule="exact"/>
        <w:rPr>
          <w:rFonts w:ascii="Arial" w:cs="Arial" w:eastAsia="Arial" w:hAnsi="Arial"/>
          <w:sz w:val="18"/>
          <w:szCs w:val="18"/>
          <w:color w:val="auto"/>
        </w:rPr>
      </w:pPr>
    </w:p>
    <w:p>
      <w:pPr>
        <w:ind w:left="980" w:right="720" w:hanging="648"/>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unrecorded liabilities of acquired companies that we fail to discover during our due diligence investigations or that are not subject to indemnification or reimbursement by the seller;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and other personnel having their time and resources diverted to evaluate, negotiate and integrate acquisitions.</w:t>
      </w:r>
    </w:p>
    <w:p>
      <w:pPr>
        <w:spacing w:after="0" w:line="16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spacing w:after="0" w:line="1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recent years, we have implemented a number of restructuring, realignment, and cost reduction initiatives, including performance center consolidations, organizational realignments, and reductions in our workforce.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have to undertake additional realignment and cost reduction efforts, which could result in significant additional charges. Moreover, if our restructuring and realignment efforts prove ineffective, our ability to achieve our other strategic and business plan goals may be adversely impacted.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As we move up the value chain to become a more value added supplier, enhanced design, product development, manufacturing, supply chain project management and other skills will be required.</w:t>
      </w:r>
    </w:p>
    <w:p>
      <w:pPr>
        <w:spacing w:after="0" w:line="11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may encounter difficulties as we execute our growth strategy to move up the value chain to become a more value added supplier of more complex assemblies. Difficulties we may encounter include, but are not limited to, the need for enhanced and expanded product design skills, enhanced ability to control and influence our suppliers, enhanced quality control systems and infrastructure, enhanced large-scale project management skills, and expanded industry certifications. Assuming incremental project design responsibilities would require us to assume additional risk in developing cost estimates and could expose us to increased risk of losses. There can be no assurance that we will be successful in obtaining the enhanced skills required to move up the value chain or that our customers will outsource such functions to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operating and conducting our business outside the United States could adversely impact us.</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manufacturing facilities in Thailand and Mexico and also derive a portion of our net revenues from direct foreign sales. Further, our customers may derive portions of their revenues from non-U.S. customers. As a result, we are subject to the risks of conducting and operating our business internationally, including:</w:t>
      </w:r>
    </w:p>
    <w:p>
      <w:pPr>
        <w:spacing w:after="0" w:line="76"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geopolitical developments and conditions;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pandemics and disasters, natural or otherwise;</w:t>
      </w:r>
    </w:p>
    <w:p>
      <w:pPr>
        <w:spacing w:after="0" w:line="117" w:lineRule="exact"/>
        <w:rPr>
          <w:rFonts w:ascii="Arial" w:cs="Arial" w:eastAsia="Arial" w:hAnsi="Arial"/>
          <w:sz w:val="18"/>
          <w:szCs w:val="18"/>
          <w:color w:val="auto"/>
        </w:rPr>
      </w:pPr>
    </w:p>
    <w:p>
      <w:pPr>
        <w:ind w:left="980" w:right="200" w:hanging="648"/>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a variety of international laws, as well as U.S. laws affecting the activities of U.S. companies conducting business abroad, including, but not limited to, the Foreign Corrupt Practices Act;</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taxes, export controls, tariffs, embargoes and other trade restrictions;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repatriating funds or restrictions on cash transfers;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for new tariffs imposed on imports by the U.S. administration.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While the impact of these factors is difficult to predict, we believe any one or more of these factors could have a material adverse effect on our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pricing pressures could reduce the demand and/or price for our products and services.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markets we serve are highly competitive and price sensitive. We compete worldwide with a number of domestic and international companies that have substantially greater manufacturing, purchasing, marketing and financial resources than we do. Many of our customers have the in-house capability to fulfill their manufacturing requirements. Our larger competitors may be able to compete more effectively for very large-scale contracts than we can by providing different or greater capabilities or benefits such as technical qualifications, past performance on large-scale contracts, geographic presence, price and availability of key professional personnel. If we are unable to successfully compete for new business, our net revenues growth and operating margins may decline.</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Several of our major customers have completed extensive cost containment efforts and we expect continued pricing pressures in 2021 and beyond. Competitive pricing pressures may have an adverse effect on our financial condition and operating results. Further, there can be no assurance that competition from existing or potential competitors in other segments of our business will not have a material adverse effect on our financial results. If we do not continue to compete effectively and win contracts, our future business, financial condition, results of operations and our ability to meet our financial obligations may be materially compromised.</w:t>
      </w:r>
    </w:p>
    <w:p>
      <w:pPr>
        <w:spacing w:after="0" w:line="130"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Our products and processes are subject to risk of obsolescence as a result of changes in technology and evolving industry and regulatory standards.</w:t>
      </w:r>
    </w:p>
    <w:p>
      <w:pPr>
        <w:spacing w:after="0" w:line="11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future success of our business depends in large part upon our and our customers’ ability to maintain and enhance technological capabilities, develop and market manufacturing services that meet changing customer needs and successfully anticipate or respond to technological advances in manufacturing processes on a cost-effective and timely basis, while meeting evolving industry and regulatory standards. To address these risks, we invest in product design and development, and incur related capital expenditures. There can be no guarantee that our product design and development efforts will be successful, or that funds required to be invested in product design and development or incurred as capital expenditures will not increase materially in the future.</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We may not have the ability to renew facilities leases on terms favorable to us and relocation of operations presents risks due to business interruption.</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Certain of our manufacturing facilities and offices are leased and have lease terms that expire between 2021 and 2026. The majority of these leases provide renewal options at the fair market rental rate at the time of renewal, which, if renewed, could be significantly higher than our current rental rates. We may be unable to offset these cost increases by charging more for our products and services. Furthermore, continued economic conditions may continue to negatively impact and create greater pressure in the commercial real estate market, causing higher incidences of landlord default and/or lender foreclosure of properties, including properties occupied by us. While we maintain certain non-disturbance rights in most cases, it is not certain that such rights will in all cases be upheld and our continued right of occupancy in such instances could be potentially jeopardized. An occurrence of any of these events could have a material adverse effect on our financial results.</w:t>
      </w:r>
    </w:p>
    <w:p>
      <w:pPr>
        <w:spacing w:after="0" w:line="12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Additionally, if we choose to move any of our operations, those operations may be subject to additional relocation costs and associated risks of business interruption.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TAX, AND ACCOUNTING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extensive regulation and audit by the Defense Contract Audit Agency.</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21"/>
          <w:szCs w:val="21"/>
          <w:color w:val="auto"/>
        </w:rPr>
        <w:t>T</w:t>
      </w:r>
      <w:r>
        <w:rPr>
          <w:rFonts w:ascii="Arial" w:cs="Arial" w:eastAsia="Arial" w:hAnsi="Arial"/>
          <w:sz w:val="16"/>
          <w:szCs w:val="16"/>
          <w:color w:val="auto"/>
        </w:rPr>
        <w:t>he accuracy and appropriateness of certain costs and expenses used to substantiate our direct and indirect costs for the U.S. Government contracts are</w:t>
      </w:r>
      <w:r>
        <w:rPr>
          <w:rFonts w:ascii="Arial" w:cs="Arial" w:eastAsia="Arial" w:hAnsi="Arial"/>
          <w:sz w:val="21"/>
          <w:szCs w:val="21"/>
          <w:color w:val="auto"/>
        </w:rPr>
        <w:t xml:space="preserve"> </w:t>
      </w:r>
      <w:r>
        <w:rPr>
          <w:rFonts w:ascii="Arial" w:cs="Arial" w:eastAsia="Arial" w:hAnsi="Arial"/>
          <w:sz w:val="16"/>
          <w:szCs w:val="16"/>
          <w:color w:val="auto"/>
        </w:rPr>
        <w:t>subject to extensive regulation and audit by the Defense Contract Audit Agency, an arm of the U.S. DoD. Such audits and reviews could result in adjustments to our contract costs and profitability. However, we cannot ensure the outcome of any future audits and adjustments may be required to reduce net sales or profits upon completion and final negotiation of audits. If any audit or review were to uncover inaccurate costs or improper activities, we could be subject to penalties and sanctions, including termination of contracts, forfeiture of profits, suspension of payments, fines and suspension or prohibition from conducting future business with the U.S. Government. Any such outcome could have a material adverse effect on our financial results.</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subject to a number of procurement laws and regulations. Our business and our reputation could be adversely affected if we fail to comply with these laws.</w:t>
      </w:r>
    </w:p>
    <w:p>
      <w:pPr>
        <w:spacing w:after="0" w:line="11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must comply with and are affected by laws and regulations relating to the award, administration and performance of U.S. Government contracts. Government contract laws and regulations affect how we do business with our customers and impose certain risks and costs on our business. A violation of specific laws and regulations, by us, our employees, or others working on our behalf, such as a supplier or a venture partner, could harm our reputation and result in the imposition of fines and penalties, the termination of our contracts, suspension or debarment from bidding on or being awarded contracts, loss of our ability to export products or services and civil or criminal investigations or proceedings.</w:t>
      </w:r>
    </w:p>
    <w:p>
      <w:pPr>
        <w:spacing w:after="0" w:line="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some instances, these laws and regulations impose terms or rights that are different from those typically found in commercial transactions. For example, the U.S. Government may terminate any of our customers’ government contracts and subcontracts either at its convenience or for default based on our performance. Upon termination for convenience of a fixed-price type contract, we normally are entitled to receive the purchase price for delivered items, reimbursement for allowable costs for work-in-process and an allowance for profit on the contract or adjustment for loss if completion of performance would have resulted in a loss.</w:t>
      </w:r>
    </w:p>
    <w:p>
      <w:pPr>
        <w:spacing w:after="0" w:line="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Our operations are subject to numerous extensive, complex, costly and evolving laws, regulations and restrictions, including cybersecurity requirements, and failure to comply with these laws, regulations and restrictions could subject us to penalties and sanctions that could harm our business.</w:t>
      </w:r>
    </w:p>
    <w:p>
      <w:pPr>
        <w:spacing w:after="0" w:line="12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Prime contracts with our major customers that have contracts with various agencies of the U.S. Government are subject to numerous laws and regulations which affect how we do business with our customers and may impose added costs to our business. As a result, our contracts and operations are subject to numerous, extensive, complex, costly and evolving laws, regulations and restrictions, principally by the U.S. Government or their agencies. These laws, regulations and restrictions govern items including, but not limited to, the formation, administration and performance of U.S. Government contracts, disclosure of cost and pricing data, civil penalties for violations of false claims to the U.S. Government for payment, defining reimbursable costs, establishing ethical standards for the procurement process, controlling the import and export of defense articles and services, and cybersecurity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Noncompliance could expose us to liability for penalties, including termination of our contracts and subcontracts, disqualification from bidding on future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U.S. Government contracts and subcontracts, suspension or debarment from U.S. Government contracting and various other fines and penalties</w:t>
      </w:r>
      <w:r>
        <w:rPr>
          <w:rFonts w:ascii="Arial" w:cs="Arial" w:eastAsia="Arial" w:hAnsi="Arial"/>
          <w:sz w:val="17"/>
          <w:szCs w:val="17"/>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Noncompliance found by any one agency could result in fines,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penalties, debarment or suspension from receiving additional contracts with all U.S. Government agencies. Given our dependence on U.S. Government business, suspension or debarment could have a material adverse effect on our financial results.</w:t>
      </w:r>
    </w:p>
    <w:p>
      <w:pPr>
        <w:spacing w:after="0" w:line="11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the U.S. Government may revise its procurement practices or adopt new contract rules and regulations, at any time, including increased usage of fixed-price contracts, procurement reform, and compliance with cybersecurity requirements. Such changes could impair our ability to obtain new contracts or subcontracts or renew contracts or subcontracts under which we currently perform when those contracts are put up for competitive bidding. Any new contracting methods could be costly or administratively difficult for us to implement and could adversely affect our future net revenues.</w:t>
      </w:r>
    </w:p>
    <w:p>
      <w:pPr>
        <w:spacing w:after="0" w:line="10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our international operations subject us to numerous U.S. and foreign laws and regulations, including, without limitation, regulations relating to import-export control, technology transfer restrictions, repatriation of earnings, exchange controls, the Foreign Corrupt Practices Act, and the anti-boycott provisions of the U.S. Export Administration Act. Changes in regulations or political environments may affect our ability to conduct business in foreign markets including investment, procurement and repatriation of earnings. Failure by us or our sales representatives or consultants to comply with these laws and regulations could result in certain liabilities and could possibly result in suspension or debarment from government contracts or suspension of our export privileges, which could have a material adverse effect on our financial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liabilities could adversely affect our financial results.</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We are subject to various federal, local, and foreign environmental laws and regulations, including those relating to the use, storage, transport, discharge and disposal of hazardous and non-hazardous chemicals and materials used and emissions generated during our manufacturing process. We do not carry insurance for these potential environmental liabilities. Any failure by us to comply with present or future regulations could subject us to future liabilities or the suspension of production, which could have a material adverse effect on our financial results. Moreover, some environmental laws relating to contaminated sites can impose joint and several liability retroactively regardless of fault or the legality of the activities giving rise to the contamination. Compliance with existing or future environmental laws and regulations may require extensive capital expenditures, increase our cost or impact our production capabilities. Even if such expenditures are made, there can be no assurance that we will be able to comply. We have been directed to investigate and take corrective action for groundwater contamination at certain sites and our ultimate liability for such matters will depend upon a number of factors. See </w:t>
      </w:r>
      <w:r>
        <w:rPr>
          <w:rFonts w:ascii="Arial" w:cs="Arial" w:eastAsia="Arial" w:hAnsi="Arial"/>
          <w:sz w:val="16"/>
          <w:szCs w:val="16"/>
          <w:b w:val="1"/>
          <w:bCs w:val="1"/>
          <w:color w:val="auto"/>
        </w:rPr>
        <w:t>Note 14</w:t>
      </w:r>
      <w:r>
        <w:rPr>
          <w:rFonts w:ascii="Arial" w:cs="Arial" w:eastAsia="Arial" w:hAnsi="Arial"/>
          <w:sz w:val="16"/>
          <w:szCs w:val="16"/>
          <w:color w:val="auto"/>
        </w:rPr>
        <w:t xml:space="preserve"> to our consolidated financial statements included in Part IV, Item 15(a) of this Form 10-K for further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occurrence of litigation in which we could be named as a defendant is unpredictable.</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and our subsidiaries are involved in various legal and other proceedings that are incidental to the conduct of our business. While we believe no current proceedings, if adversely determined, could have a material adverse effect on our financial results, no assurances can be given. Any such claims may divert financial and management resources that would otherwise be used to benefit our operations and could have a material adverse effect on our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claims in excess of insurance could adversely affect our financial results and financial condition.</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face potential liability for property damage, personal injury, or death as a result of the failure of products designed or manufactured by us. Although we currently maintain product liability insurance (including aircraft product liability insurance), any material product liability not covered by insurance could have a material adverse effect on our financial condition, results of operations and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use estimates when bidding on fixed-price contracts. Changes in our estimates could adversely affect our financial results.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enter into contracts providing for a firm, fixed-price for the sale of a majority of our products, regardless of the production costs incurred by us. In many cases, we make multi-year firm, fixed-price commitments to our customers, without assurance that our anticipated production costs will be achieved. Contract bidding and accounting require judgment relative to assessing risks, estimating contract net sales and costs, including estimating cost increases over time and efficiencies to be gained, and making assumptions for supplier sourcing and quality, manufacturing scheduling and technical issues over the life of the contract. Such assumptions can be particularly difficult to estimate for contracts with new customers. Inaccurate estimates of these costs could result in reduced profits or incurred losses. Due to the significance of the judgments and estimates involved, it is possible that materially different amounts could be obtained if different assumptions were used or if the underlying circumstances were to change. Therefore, any changes in our underlying assumptions, circumstances or estimates could have a material adverse effect on our financial results.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and/or other assets could be impaired in the future, which could result in substantial charges.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Goodwill is tested for impairment on an annual basis as of the first day of our fourth quarter or more frequently if events or circumstances occur which could indicate potential impairment. In assessing the recoverability of goodwill, management is required to make certain critical estimates and assumptions. These estimates and assumptions include projected sales levels, including the addition of new customers, programs or platforms and increased content on existing programs or platforms, improvements in manufacturing efficiency, and reductions in operating costs. Due to many variables inherent in the estimation of a business’s fair value and the relative size of our recorded goodwill, changes in estimates and assumptions may have a material effect on the results of our impairment analysis. If any of these or other estimates and assumptions are not realized in the future, or if market multiples decline, we may be required to record an impairment charge for goodwill.</w:t>
      </w:r>
    </w:p>
    <w:p>
      <w:pPr>
        <w:spacing w:after="0" w:line="12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also test intangible assets with indefinite life periods for potential impairment annually and on an interim basis if there are indicators of potential impairment.</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we evaluate amortizable intangible assets, fixed assets, production cost of contracts, and lease right-of-use assets for impairment if there are indicators of a potential impairment.</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Further, impairment charges may be incurred against other intangible assets or long-term assets if asset utilization declines, customer demand declines or other circumstances indicate that the asset carrying value may not be recoverable.</w:t>
      </w:r>
    </w:p>
    <w:p>
      <w:pPr>
        <w:spacing w:after="0" w:line="11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 xml:space="preserve">Our goodwill and other intangible assets as of December 31, 2020 were $295.6 million, or 35% of total assets. If our goodwill and/or other assets are impaired, it could have an adverse effect on our results of operations and financial condition. See “Goodwill and Indefinite-Lived Intangible Assets” in </w:t>
      </w:r>
      <w:r>
        <w:rPr>
          <w:rFonts w:ascii="Arial" w:cs="Arial" w:eastAsia="Arial" w:hAnsi="Arial"/>
          <w:sz w:val="17"/>
          <w:szCs w:val="17"/>
          <w:b w:val="1"/>
          <w:bCs w:val="1"/>
          <w:color w:val="auto"/>
        </w:rPr>
        <w:t xml:space="preserve">Note 6 </w:t>
      </w:r>
      <w:r>
        <w:rPr>
          <w:rFonts w:ascii="Arial" w:cs="Arial" w:eastAsia="Arial" w:hAnsi="Arial"/>
          <w:sz w:val="17"/>
          <w:szCs w:val="17"/>
          <w:color w:val="auto"/>
        </w:rPr>
        <w:t>of our consolidated financial statements included in Part IV, Item 15(a) of this Form 10-K for further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changes in our tax provision or exposure to additional income tax liabilities could affect our profitability.</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Significant judgment is required in determining our provision for income taxes. In the ordinary course of our business, there are transactions and calculations where the ultimate tax determination is uncertain. Furthermore, changes in income tax laws and regulations, or their interpretation, could result in higher or lower income tax rates assessed or changes in the taxability of certain sales or the deductibility of certain expenses, thereby affecting our income tax expense and profitability. For example, we recorded provisional estimates of the impact of the Tax Cuts and Jobs Act (the “2017 Tax Act”) enacted in December 2017 in accordance with SEC Staff Accounting Bulletin No. 118 (“SAB 118”) in our 2017 consolidated financial statements. During 2018, these estimates were subject to further analysis and review which could have required adjustments, but no adjustments were required to be made in 2018. In addition, we are regularly under audit by tax authorities. The final determination of tax audits and any related litigation could be materially different from our historical income tax provisions and accruals.</w:t>
      </w:r>
    </w:p>
    <w:p>
      <w:pPr>
        <w:spacing w:after="0" w:line="12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ability to accurately report our financial results or prevent fraud may be adversely affected if our internal control over financial reporting is not effective.</w:t>
      </w:r>
    </w:p>
    <w:p>
      <w:pPr>
        <w:spacing w:after="0" w:line="11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as a result of changed conditions, and fraud. Due to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our ability to accurately report our financial results or prevent fraud could be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SUPPLY CHAIN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ability to attract and retain key personnel.</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success depends in part upon our ability to attract and retain key engineering, technical and managerial personnel, at both the executive and performance center level. We face competition for management, engineering and technical personnel from other companies and organizations. The loss of members of our senior management group, or key engineering and technical personnel, could negatively impact our ability to grow and remain competitive in the future and could have a material adverse effect on our financial results.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disruptions by our employees could adversely affect our business.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2020, we employed 2,450 people. Two of our performance centers are parties to collective bargaining agreements, covering 155 full time hourly employees in one of those performance centers and 290 full time hourly employees in the other performance center, and will expire in June 2021 and April 2022, respectively. Although we have not experienced any material labor-related work stoppage and consider our relations with our employees to be good, labor stoppages may occur in the future. If the unionized workers were to engage in a strike or other work stoppage, if we are unable to negotiate acceptable collective bargaining agreements with the unions or if other employees were to become unionized, we could experience a significant disruption of our operations, higher ongoing labor costs and possible loss of customer contracts, which could have an adverse effect on our business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suppliers to meet the quality and delivery expectations of our customers.</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ability to deliver our products and services on schedule and to satisfy specific quality levels is dependent upon a variety of factors, including execution of internal performance plans, availability of raw materials, internal and supplier produced parts and structures, conversion of raw materials into parts and assemblies, and performance of suppliers and others.</w:t>
      </w:r>
    </w:p>
    <w:p>
      <w:pPr>
        <w:spacing w:after="0" w:line="13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rely on numerous third-party suppliers for raw materials and a large proportion of the components used in our production process. Certain of these raw materials and components are available only from single sources or a limited number of suppliers, or similarly, customers’ specifications may require us to obtain raw materials and/or components from a single source or certain suppliers. Many of our suppliers are small companies with limited financial resources and manufacturing capabilities. We do not currently have the ability to manufacture these components ourselves. These and other factors, including import tariffs, the loss of a critical supplier or raw materials and/or component shortages, could cause disruptions or cost inefficiencies in our operations. Additionally, our competitors that have greater direct purchasing power, may have product cost advantages which could have a material adverse effect on our financial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COVID-19 pandemic has had a significant impact but could have a material adverse effect on our business, results of operations and financial condition.</w:t>
      </w:r>
    </w:p>
    <w:p>
      <w:pPr>
        <w:spacing w:after="0" w:line="11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COVID-19 pandemic has caused and continues to cause significant volatility in financial markets, including the market price of our stock, and in the commercial aerospace industry during 2020, which has raised the prospect of an extended global recession. Public health problems resulting from COVID-19 and precautionary measures instituted by governments and businesses to mitigate its spread, including travel restrictions, quarantines, shelter in place directives, and shutting down of non-essential businesses has and continues to contribute to a general slowdown in the global economy. The COVID-19 pandemic has had, and if it continues for an extended period of time, it could have a material adverse impact on our business and the businesses of our customers, suppliers and distribution partners, and could further disrupt our operations. Changes in our operations in response to the COVID-19 pandemic or employee illnesses resulting from the pandemic, may result in inefficiencies or delays, including in sales and product development efforts and our manufacturing and supply chain, and additional costs related to business continuity initiatives, that cannot be fully mitigated through succession planning, employees working remotely, or teleconferencing technologies. The spread of COVID-19 along with related travel restrictions and operational issues has caused a decrease in the demand for air travel and has resulted in lower demand from civil aviation customers for our products.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in 2021 and beyond.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attacks, internal system or service failures may adversely impact our business and operations.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system or service disruptions, including those caused by projects to improve our information technology systems, if not anticipated and appropriately mitigated, could disrupt our business and impair our ability to effectively provide products and related services to our customers and could have a material adverse effect on our business. We could also be subject to systems failures, including network, software or hardware failures, whether caused by us, third-party service providers, intruders or hackers, computer viruses, natural disasters, power shortages or terrorist attacks. Cybersecurity threats are evolving and include, but are not limited to, malicious software, unauthorized attempts to gain access to sensitive, confidential or otherwise protected information related to us or our products, our employees, customers or suppliers, or other acts that could lead to disruptions in our business. Any such failures could cause loss of data and interruptions or delays in our business, cause us to incur remediation costs, subject us to claims and damage our reputation. In addition, the failure or disruption of our communications or utilities could cause us to interrupt or suspend our operations or otherwise adversely affect our business. Our property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business interruption insurance may be inadequate to compensate us for all losses that may occur as a result of any system or operational failure or disruption which would adversely affect our business, results of operations and financial condition.</w:t>
      </w:r>
    </w:p>
    <w:p>
      <w:pPr>
        <w:spacing w:after="0" w:line="11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Assertions by third parties that we violated their intellectual property rights could have a material adverse effect on our business, financial condition, and results of operations.</w:t>
      </w:r>
    </w:p>
    <w:p>
      <w:pPr>
        <w:spacing w:after="0" w:line="1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Third parties may claim that we, our customers, licensees, or parties indemnified by us are infringing upon or otherwise violating their intellectual property rights. Such claims may be made by competitors seeking to obtain a competitive advantage or by other parties. Additionally, in recent years, individuals and groups have begun purchasing intellectual property assets for the purpose of making claims of infringement and attempting to extract settlements from companies like ours.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Any claims that we violated a third party’s intellectual property rights can be time consuming and costly to defend and distract management’s attention and resources, even if the claims are without merit. Such claims may also require us to redesign affected products and services, enter into costly settlement or license agreements or pay costly damage awards, or face a temporary or permanent injunction prohibiting us from marketing or providing the affected products and services. Even if we have an agreement to indemnify us against such costs, the indemnifying party may not have sufficient financial resources or otherwise be unable to uphold its contractual obligations. If we cannot or do not license the infringed technology on favorable terms or cannot or do not substitute similar technology from another source, our revenue and earnings could be adversely impacted.</w:t>
      </w:r>
    </w:p>
    <w:p>
      <w:pPr>
        <w:spacing w:after="0" w:line="133"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Damage or destruction of our facilities caused by storms, earthquake, fires or other causes could adversely affect our financial results and financial condition.</w:t>
      </w:r>
    </w:p>
    <w:p>
      <w:pPr>
        <w:spacing w:after="0" w:line="1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operations located in regions of the U.S. that may be exposed to damaging storms, earthquakes, fires and other natural disasters. Although we maintain standard property casualty insurance covering our properties and may be able to recover costs associated with certain natural disasters through insurance, we do not carry any earthquake insurance because of the cost of such insurance. Many of our properties are located in Southern California, an area subject to earthquake activity. Our California performance centers generated $178.6 million in net revenues during 2020. Even if covered by insurance, any significant damage or destruction of our facilities due to storms, earthquakes, fires or other natural disasters could result in our inability to meet customer delivery schedules and may result in the loss of customers and significant additional costs to us. Thus, any significant damage or destruction of our properties could have a material adverse effect on our business, financial condition or results of operations. See discussion of a fire on June 29, 2020 which severely damaged our Guaymas, Mexico performance center in Note 14 to our consolidated financial statements included in Part IV, Item 15(a) of this Form 10-K for further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occupy 27 owned or leased facilities, totaling 2.0 million square feet of manufacturing area and office space. At December 31, 2020, facilities which were in excess of 50,000 square feet each were all manufacturing facilities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ind w:left="1680"/>
              <w:spacing w:after="0"/>
              <w:rPr>
                <w:sz w:val="20"/>
                <w:szCs w:val="20"/>
                <w:color w:val="auto"/>
              </w:rPr>
            </w:pPr>
            <w:r>
              <w:rPr>
                <w:rFonts w:ascii="Arial" w:cs="Arial" w:eastAsia="Arial" w:hAnsi="Arial"/>
                <w:sz w:val="14"/>
                <w:szCs w:val="14"/>
                <w:color w:val="auto"/>
              </w:rPr>
              <w:t>Location</w:t>
            </w: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Segment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Square</w:t>
            </w:r>
          </w:p>
        </w:tc>
        <w:tc>
          <w:tcPr>
            <w:tcW w:w="1700" w:type="dxa"/>
            <w:vAlign w:val="bottom"/>
          </w:tcPr>
          <w:p>
            <w:pPr>
              <w:jc w:val="center"/>
              <w:spacing w:after="0"/>
              <w:rPr>
                <w:sz w:val="20"/>
                <w:szCs w:val="20"/>
                <w:color w:val="auto"/>
              </w:rPr>
            </w:pPr>
            <w:r>
              <w:rPr>
                <w:rFonts w:ascii="Arial" w:cs="Arial" w:eastAsia="Arial" w:hAnsi="Arial"/>
                <w:sz w:val="14"/>
                <w:szCs w:val="14"/>
                <w:color w:val="auto"/>
                <w:w w:val="95"/>
              </w:rPr>
              <w:t>Owned/Expiration</w:t>
            </w:r>
          </w:p>
        </w:tc>
        <w:tc>
          <w:tcPr>
            <w:tcW w:w="0" w:type="dxa"/>
            <w:vAlign w:val="bottom"/>
          </w:tcPr>
          <w:p>
            <w:pPr>
              <w:spacing w:after="0"/>
              <w:rPr>
                <w:sz w:val="1"/>
                <w:szCs w:val="1"/>
                <w:color w:val="auto"/>
              </w:rPr>
            </w:pPr>
          </w:p>
        </w:tc>
      </w:tr>
      <w:tr>
        <w:trPr>
          <w:trHeight w:val="186"/>
        </w:trPr>
        <w:tc>
          <w:tcPr>
            <w:tcW w:w="3960" w:type="dxa"/>
            <w:vAlign w:val="bottom"/>
            <w:gridSpan w:val="2"/>
            <w:vMerge w:val="continue"/>
          </w:tcPr>
          <w:p>
            <w:pPr>
              <w:spacing w:after="0"/>
              <w:rPr>
                <w:sz w:val="16"/>
                <w:szCs w:val="16"/>
                <w:color w:val="auto"/>
              </w:rPr>
            </w:pPr>
          </w:p>
        </w:tc>
        <w:tc>
          <w:tcPr>
            <w:tcW w:w="3700" w:type="dxa"/>
            <w:vAlign w:val="bottom"/>
            <w:gridSpan w:val="2"/>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Feet</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of Lease</w:t>
            </w:r>
          </w:p>
        </w:tc>
        <w:tc>
          <w:tcPr>
            <w:tcW w:w="0" w:type="dxa"/>
            <w:vAlign w:val="bottom"/>
          </w:tcPr>
          <w:p>
            <w:pPr>
              <w:spacing w:after="0"/>
              <w:rPr>
                <w:sz w:val="1"/>
                <w:szCs w:val="1"/>
                <w:color w:val="auto"/>
              </w:rPr>
            </w:pPr>
          </w:p>
        </w:tc>
      </w:tr>
      <w:tr>
        <w:trPr>
          <w:trHeight w:val="226"/>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Carson, California</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Structural Systems</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299,000</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Monrovia, California</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Structural Systems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274,000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Parsons, Kansas</w:t>
            </w: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Structural Systems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176,000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Coxsackie, New York</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Structural Systems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151,000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Carson, California</w:t>
            </w: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Electronic Systems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117,000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Joplin, Missouri</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Electronic Systems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104,000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Phoenix, Arizona</w:t>
            </w: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Electronic Systems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Adelanto, California</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Structural Systems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88,000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Orange, California</w:t>
            </w: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Structural Systems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Appleton, Wisconsin</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Electronic Systems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77,000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Carson, California</w:t>
            </w: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Structural Systems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Huntsville, Arkansas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Electronic Systems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69,000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Joplin, Missouri</w:t>
            </w: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Electronic Systems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Tulsa, Oklahoma</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Electronic Systems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55,000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Orange, California</w:t>
            </w: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Structural Systems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53,000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Berryville, Arkansas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Electronic Systems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Management believes these properties are adequate to meet our current requirements, are in good condition and are suitable for their present use. All properties are occupied except for Phoenix, Arizona.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Item 15(a) of this Annual Report on Form 10-K for a description of our legal proceedings.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740" w:right="160" w:hanging="728"/>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4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common stock is listed on the New York Stock Exchange under the symbol DCO. As of December 31, 2020, we had 157 holders of record of our common stock. We have not paid any dividends since the first quarter of 2011 and we do not expect to pay dividends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900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302"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color w:val="auto"/>
        </w:rPr>
        <w:t>See “Part III, Item 12. SECURITY OWNERSHIP OF CERTAIN BENEFICIAL OWNERS AND MANAGEMENT AND RELATED STOCKHOLDER MATTERS” for information relating to shares to be issued under equity compensation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graph compares the yearly percentage change in our cumulative total shareholder return with the cumulative total return of the Russell 2000 Index and the median of our 2021 Proxy Statement peers (“Median of Proxy Peers”) over a five year</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period, assuming the reinvestment of any dividends. A modified version of this graph over a three year period will be used in our 2021 Proxy Statement, assuming the reinvestment of any dividends.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31750</wp:posOffset>
            </wp:positionV>
            <wp:extent cx="5863590" cy="3094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359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320"/>
        <w:spacing w:after="0" w:line="44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Ducommun Incorporated (“Ducommun,” “the Company,” “we,” “us” or “our”) is a leading global provider of engineering and manufacturing services for high-performance products and high-cost-of failure applications used primarily in the aerospace, defense, industrial, medical, and other industries.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 on Our Business</w:t>
      </w:r>
    </w:p>
    <w:p>
      <w:pPr>
        <w:spacing w:after="0" w:line="10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COVID-19 pandemic has had a significant impact on our overall business during the year ended December 31, 2020.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made the safety of our workforce our top priority by implementing numerous well-being protocols related to health and welfare at all of our facilities. Safety protocols consistent with guidelines provided by state and local governments and the Centers for Disease Control and Prevention (“CDC”) have been put into practice, including social distancing, provision of personal protective equipment, enhanced cleaning, and flexible work arrangements wherever possible. We have also offered enhanced leave and benefits to our employees and provide frequent updates to ensure our workforce is kept apprised of evolving regulations and safety measures.</w:t>
      </w:r>
    </w:p>
    <w:p>
      <w:pPr>
        <w:spacing w:after="0" w:line="5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March 27, 2020, the U.S. enacted the Coronavirus Aid, Relief, and Economic Security Act (“CARES Act”) which provides tax relief to individuals and businesses affected by the coronavirus pandemic. We have not requested or accepted any loans or payments that are available under the CARES Act, however, we have utilized the option to defer payment of the employer portion of payroll taxes (Social Security) that would otherwise be required to be made during the period beginning March 27, 2020 to December 31, 2020. One half of the deferred amount is required to be paid by December 31, 2021, with the remaining 50% to be paid by December 31, 2022. As of December 31, 2020, we deferred $6.1 million, which is included as part of accrued liabilities and other long-term liabilities on the consolidated balance sheets.</w:t>
      </w:r>
    </w:p>
    <w:p>
      <w:pPr>
        <w:spacing w:after="0" w:line="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COVID-19 pandemic has and continues to contribute to a general slowdown in the global economy and specifically, the commercial aerospace end-use market. Both major large aircraft manufacturers, The Boeing Company and Airbus SE, have announced lower build rates for the near and medium future. In its 2020 Annual Report on Form 10-K, Boeing indicated it expects it will take approximately three years for worldwide travel to return to 2019 levels and a few years beyond that for the industry to return to long-term trend growth of five percent.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2021 and beyond. See Risk Factors included in Part I, Item 1A of this Annual Report on Form 10-K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 for the year ended December 31, 2020:</w:t>
      </w:r>
    </w:p>
    <w:p>
      <w:pPr>
        <w:spacing w:after="0" w:line="121"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of $628.9 million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of $29.2 million, or $2.45 per diluted share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of $87.9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Adjusted earnings before interest, taxes, depreciation, amortization, stock-based compensation expense, restructuring charges, inventory purchase accounting adjustments, and loss on extinguishment of debt (“Adjusted EBITDA”) was $87.9 million and $92.3 million for years ended December 31, 2020 and December 31, 2019, respectively.</w:t>
      </w:r>
    </w:p>
    <w:p>
      <w:pPr>
        <w:spacing w:after="0" w:line="6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When viewed with our financial results prepared in accordance with accounting principles generally accepted in the United States of America (“GAAP”) and accompanying reconciliations, we believe Adjusted EBITDA provides additional useful information to clarify and enhance the understanding of the factors and trends affecting our past performance and future prospects. We define these measures, explain how they are calculated, and provide reconciliations of these measures to the most comparable GAAP measure in the table below. Adjusted EBITDA and the related financial ratios, as presented in this Annual Report on Form 10-K (“Form 10-K”), are supplemental measures of our performance that are not required by, or presented in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9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use Adjusted EBITDA non-GAAP operating performance measures internally as complementary financial measures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substitutes for analysis of our results as reported under GAAP. Some of these limitations are:</w:t>
      </w:r>
    </w:p>
    <w:p>
      <w:pPr>
        <w:spacing w:after="0" w:line="6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do not reflect our cash expenditures, future requirements for capital expenditures or contractual commitments;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do not reflect the significant interest expense or the cash requirements necessary to service interest or principal payments on our debt;</w:t>
      </w:r>
    </w:p>
    <w:p>
      <w:pPr>
        <w:spacing w:after="0" w:line="140" w:lineRule="exact"/>
        <w:rPr>
          <w:rFonts w:ascii="Arial" w:cs="Arial" w:eastAsia="Arial" w:hAnsi="Arial"/>
          <w:sz w:val="16"/>
          <w:szCs w:val="16"/>
          <w:color w:val="auto"/>
        </w:rPr>
      </w:pPr>
    </w:p>
    <w:p>
      <w:pPr>
        <w:ind w:left="980" w:right="20" w:hanging="648"/>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not adjusted for all non-cash income or expense items that are reflected in our statements of cash flows;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do not reflect the impact on earnings of charges resulting from matters unrelated to our ongoing operations;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companies in our industry may calculate Adjusted EBITDA differently from us, limiting their usefulness as comparative measures.</w:t>
      </w:r>
    </w:p>
    <w:p>
      <w:pPr>
        <w:spacing w:after="0" w:line="1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consolidated financial statements contained in this Form 10-K.</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However, in spite of the above limitations, we believe that Adjusted EBITDA is useful to an investor in evaluating our results of operations because these measures:</w:t>
      </w:r>
    </w:p>
    <w:p>
      <w:pPr>
        <w:spacing w:after="0" w:line="62" w:lineRule="exact"/>
        <w:rPr>
          <w:sz w:val="20"/>
          <w:szCs w:val="20"/>
          <w:color w:val="auto"/>
        </w:rPr>
      </w:pPr>
    </w:p>
    <w:p>
      <w:pPr>
        <w:ind w:left="980" w:right="200" w:hanging="648"/>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75" w:lineRule="exact"/>
        <w:rPr>
          <w:rFonts w:ascii="Arial" w:cs="Arial" w:eastAsia="Arial" w:hAnsi="Arial"/>
          <w:sz w:val="18"/>
          <w:szCs w:val="18"/>
          <w:color w:val="auto"/>
        </w:rPr>
      </w:pPr>
    </w:p>
    <w:p>
      <w:pPr>
        <w:ind w:left="980" w:hanging="648"/>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Help investors to evaluate and compare the results of our operations from period to period by removing the effect of our capital structure from our operating performance; and</w:t>
      </w:r>
    </w:p>
    <w:p>
      <w:pPr>
        <w:spacing w:after="0" w:line="62" w:lineRule="exact"/>
        <w:rPr>
          <w:rFonts w:ascii="Arial" w:cs="Arial" w:eastAsia="Arial" w:hAnsi="Arial"/>
          <w:sz w:val="18"/>
          <w:szCs w:val="18"/>
          <w:color w:val="auto"/>
        </w:rPr>
      </w:pPr>
    </w:p>
    <w:p>
      <w:pPr>
        <w:ind w:left="980" w:right="120" w:hanging="648"/>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used by our management team for various other purposes in presentations to our Board of Directors as a basis for strategic planning and forecasting.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expense may be useful to investors for determining current cash flow;</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62" w:lineRule="exact"/>
        <w:rPr>
          <w:rFonts w:ascii="Arial" w:cs="Arial" w:eastAsia="Arial" w:hAnsi="Arial"/>
          <w:sz w:val="18"/>
          <w:szCs w:val="18"/>
          <w:color w:val="auto"/>
        </w:rPr>
      </w:pPr>
    </w:p>
    <w:p>
      <w:pPr>
        <w:ind w:left="980" w:right="720" w:hanging="648"/>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may be useful to investors because it generally represents the wear and tear on our property and equipment used in our operations;</w:t>
      </w:r>
    </w:p>
    <w:p>
      <w:pPr>
        <w:spacing w:after="0" w:line="62" w:lineRule="exact"/>
        <w:rPr>
          <w:rFonts w:ascii="Arial" w:cs="Arial" w:eastAsia="Arial" w:hAnsi="Arial"/>
          <w:sz w:val="18"/>
          <w:szCs w:val="18"/>
          <w:color w:val="auto"/>
        </w:rPr>
      </w:pPr>
    </w:p>
    <w:p>
      <w:pPr>
        <w:ind w:left="980" w:right="780" w:hanging="648"/>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Amortization expense may be useful to investors because it represents the estimated attrition of our acquired customer base and the diminishing value of product rights;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expense may be useful to our investors for determining current cash flow;</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charges may be useful to our investors in evaluating our core operating performance;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Guaymas fire related expenses may be useful to our investors in evaluating our core operating performance;</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accounting inventory step-ups may be useful to our investors as they do not necessarily reflect the current or on-going cash charges related to our core operating performance;</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on extinguishment of debt may be useful to our investors for determining current cash flow;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debt refinancing costs may be useful to our investors in evaluating our core operating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net income to Adjusted EBITDA and the presentation of Adjusted EBITDA as a percentage of net revenues were as follows:</w:t>
      </w:r>
    </w:p>
    <w:p>
      <w:pPr>
        <w:spacing w:after="0" w:line="286" w:lineRule="exact"/>
        <w:rPr>
          <w:sz w:val="20"/>
          <w:szCs w:val="20"/>
          <w:color w:val="auto"/>
        </w:rPr>
      </w:pPr>
    </w:p>
    <w:p>
      <w:pPr>
        <w:jc w:val="center"/>
        <w:ind w:left="5760"/>
        <w:spacing w:after="0"/>
        <w:rPr>
          <w:sz w:val="20"/>
          <w:szCs w:val="20"/>
          <w:color w:val="auto"/>
        </w:rPr>
      </w:pPr>
      <w:r>
        <w:rPr>
          <w:rFonts w:ascii="Arial" w:cs="Arial" w:eastAsia="Arial" w:hAnsi="Arial"/>
          <w:sz w:val="14"/>
          <w:szCs w:val="14"/>
          <w:color w:val="auto"/>
        </w:rPr>
        <w:t>(Dollars in thousands)</w:t>
      </w:r>
    </w:p>
    <w:p>
      <w:pPr>
        <w:jc w:val="center"/>
        <w:ind w:left="576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color w:val="auto"/>
              </w:rPr>
              <w:t>2018</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29,174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32,461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9,035</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13,653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18,290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13,024</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1,236</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13,824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13,519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13,501</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15,026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14,786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11,795</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7,161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5,040</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14,792</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Guaymas fire related expenses</w:t>
            </w:r>
          </w:p>
        </w:tc>
        <w:tc>
          <w:tcPr>
            <w:tcW w:w="10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Inventory purchase accounting adjustments </w:t>
            </w:r>
            <w:r>
              <w:rPr>
                <w:rFonts w:ascii="Arial" w:cs="Arial" w:eastAsia="Arial" w:hAnsi="Arial"/>
                <w:sz w:val="23"/>
                <w:szCs w:val="23"/>
                <w:color w:val="auto"/>
                <w:vertAlign w:val="superscript"/>
              </w:rPr>
              <w:t>(2)</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622</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0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926</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refinancing costs</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697</w:t>
            </w: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1000" w:type="dxa"/>
            <w:vAlign w:val="bottom"/>
            <w:tcBorders>
              <w:top w:val="single" w:sz="8" w:color="auto"/>
              <w:bottom w:val="single" w:sz="8" w:color="auto"/>
            </w:tcBorders>
          </w:tcPr>
          <w:p>
            <w:pPr>
              <w:jc w:val="right"/>
              <w:ind w:right="796"/>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87"/>
              </w:rPr>
              <w:t>87,911</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796"/>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87"/>
              </w:rPr>
              <w:t>92,287</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70,668</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net revenues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bl>
    <w:p>
      <w:pPr>
        <w:spacing w:after="0" w:line="337" w:lineRule="exact"/>
        <w:rPr>
          <w:sz w:val="20"/>
          <w:szCs w:val="20"/>
          <w:color w:val="auto"/>
        </w:rPr>
      </w:pPr>
    </w:p>
    <w:p>
      <w:pPr>
        <w:ind w:left="560" w:hanging="309"/>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2018 included $0.1 million of restructuring charges that were recorded as cost of goods sold.</w:t>
      </w:r>
    </w:p>
    <w:p>
      <w:pPr>
        <w:spacing w:after="0" w:line="23" w:lineRule="exact"/>
        <w:rPr>
          <w:rFonts w:ascii="Arial" w:cs="Arial" w:eastAsia="Arial" w:hAnsi="Arial"/>
          <w:sz w:val="18"/>
          <w:szCs w:val="18"/>
          <w:color w:val="auto"/>
        </w:rPr>
      </w:pPr>
    </w:p>
    <w:p>
      <w:pPr>
        <w:ind w:left="580" w:right="120" w:hanging="329"/>
        <w:spacing w:after="0" w:line="255" w:lineRule="auto"/>
        <w:tabs>
          <w:tab w:leader="none" w:pos="5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2019 and 2018 included inventory purchase accounting adjustments of inventory that was stepped up as part of our purchase price allocation from our acquisitions of Nobles Worldwide, Inc. (“Nobles”) and Certified Thermoplastics Co., LLC (“CTP”) in October 2019 and April 2018, respectively, and are both part of our Structural Systems operating segment.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Compared to 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revenues, selected financial data, the effective tax rate and diluted earnings per share: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4"/>
          </w:tcPr>
          <w:p>
            <w:pPr>
              <w:jc w:val="right"/>
              <w:ind w:right="211"/>
              <w:spacing w:after="0"/>
              <w:rPr>
                <w:sz w:val="20"/>
                <w:szCs w:val="20"/>
                <w:color w:val="auto"/>
              </w:rPr>
            </w:pPr>
            <w:r>
              <w:rPr>
                <w:rFonts w:ascii="Arial" w:cs="Arial" w:eastAsia="Arial" w:hAnsi="Arial"/>
                <w:sz w:val="14"/>
                <w:szCs w:val="14"/>
                <w:color w:val="auto"/>
              </w:rPr>
              <w:t>(Dollars in thousands, except per share data)</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gridSpan w:val="4"/>
          </w:tcPr>
          <w:p>
            <w:pPr>
              <w:jc w:val="right"/>
              <w:ind w:right="711"/>
              <w:spacing w:after="0"/>
              <w:rPr>
                <w:sz w:val="20"/>
                <w:szCs w:val="20"/>
                <w:color w:val="auto"/>
              </w:rPr>
            </w:pPr>
            <w:r>
              <w:rPr>
                <w:rFonts w:ascii="Arial" w:cs="Arial" w:eastAsia="Arial" w:hAnsi="Arial"/>
                <w:sz w:val="14"/>
                <w:szCs w:val="14"/>
                <w:color w:val="auto"/>
              </w:rPr>
              <w:t>Years Ended December 31,</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551"/>
              <w:spacing w:after="0"/>
              <w:rPr>
                <w:sz w:val="20"/>
                <w:szCs w:val="20"/>
                <w:color w:val="auto"/>
              </w:rPr>
            </w:pPr>
            <w:r>
              <w:rPr>
                <w:rFonts w:ascii="Arial" w:cs="Arial" w:eastAsia="Arial" w:hAnsi="Arial"/>
                <w:sz w:val="14"/>
                <w:szCs w:val="14"/>
                <w:color w:val="auto"/>
              </w:rPr>
              <w:t>2020</w:t>
            </w:r>
          </w:p>
        </w:tc>
        <w:tc>
          <w:tcPr>
            <w:tcW w:w="1680" w:type="dxa"/>
            <w:vAlign w:val="bottom"/>
            <w:gridSpan w:val="2"/>
          </w:tcPr>
          <w:p>
            <w:pPr>
              <w:jc w:val="right"/>
              <w:ind w:right="655"/>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vMerge w:val="restart"/>
          </w:tcPr>
          <w:p>
            <w:pPr>
              <w:jc w:val="right"/>
              <w:ind w:right="531"/>
              <w:spacing w:after="0"/>
              <w:rPr>
                <w:sz w:val="20"/>
                <w:szCs w:val="20"/>
                <w:color w:val="auto"/>
              </w:rPr>
            </w:pPr>
            <w:r>
              <w:rPr>
                <w:rFonts w:ascii="Arial" w:cs="Arial" w:eastAsia="Arial" w:hAnsi="Arial"/>
                <w:sz w:val="14"/>
                <w:szCs w:val="14"/>
                <w:color w:val="auto"/>
              </w:rPr>
              <w:t>2019</w:t>
            </w:r>
          </w:p>
        </w:tc>
        <w:tc>
          <w:tcPr>
            <w:tcW w:w="1700" w:type="dxa"/>
            <w:vAlign w:val="bottom"/>
            <w:gridSpan w:val="2"/>
          </w:tcPr>
          <w:p>
            <w:pPr>
              <w:jc w:val="right"/>
              <w:ind w:right="652"/>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300"/>
              <w:spacing w:after="0"/>
              <w:rPr>
                <w:sz w:val="20"/>
                <w:szCs w:val="20"/>
                <w:color w:val="auto"/>
              </w:rPr>
            </w:pPr>
            <w:r>
              <w:rPr>
                <w:rFonts w:ascii="Arial" w:cs="Arial" w:eastAsia="Arial" w:hAnsi="Arial"/>
                <w:sz w:val="14"/>
                <w:szCs w:val="14"/>
                <w:color w:val="auto"/>
              </w:rPr>
              <w:t>of Net Revenues</w:t>
            </w: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color w:val="auto"/>
              </w:rPr>
              <w:t>of Net Revenues</w:t>
            </w: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628,941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721,088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491,203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78.1 %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568,891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78.9 %</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137,738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152,197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89,808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95,964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2,424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45,506</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56,233</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(13,653)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(18,290)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31,981</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37,763</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nm</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5,302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29,174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32,461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nm</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End-Use Market and Operating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end-use market and operating segment during 2020 and 2019, respectively,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4"/>
                <w:szCs w:val="14"/>
                <w:color w:val="auto"/>
                <w:w w:val="93"/>
              </w:rPr>
              <w:t>(Dollars in thousands)</w:t>
            </w:r>
          </w:p>
        </w:tc>
        <w:tc>
          <w:tcPr>
            <w:tcW w:w="2040" w:type="dxa"/>
            <w:vAlign w:val="bottom"/>
            <w:gridSpan w:val="3"/>
            <w:vMerge w:val="restart"/>
          </w:tcPr>
          <w:p>
            <w:pPr>
              <w:ind w:left="900"/>
              <w:spacing w:after="0"/>
              <w:rPr>
                <w:sz w:val="20"/>
                <w:szCs w:val="20"/>
                <w:color w:val="auto"/>
              </w:rPr>
            </w:pPr>
            <w:r>
              <w:rPr>
                <w:rFonts w:ascii="Arial" w:cs="Arial" w:eastAsia="Arial" w:hAnsi="Arial"/>
                <w:sz w:val="14"/>
                <w:szCs w:val="14"/>
                <w:color w:val="auto"/>
                <w:w w:val="92"/>
              </w:rPr>
              <w:t>% of Net Revenues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4"/>
                <w:szCs w:val="14"/>
                <w:color w:val="auto"/>
                <w:w w:val="91"/>
              </w:rPr>
              <w:t>Years Ended December 31,</w:t>
            </w:r>
          </w:p>
        </w:tc>
        <w:tc>
          <w:tcPr>
            <w:tcW w:w="204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Change</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color w:val="auto"/>
                <w:w w:val="89"/>
              </w:rPr>
              <w:t>2019</w:t>
            </w: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shd w:val="clear" w:color="auto" w:fill="CCEEFF"/>
          </w:tcPr>
          <w:p>
            <w:pPr>
              <w:spacing w:after="0"/>
              <w:rPr>
                <w:sz w:val="17"/>
                <w:szCs w:val="17"/>
                <w:color w:val="auto"/>
              </w:rPr>
            </w:pPr>
          </w:p>
        </w:tc>
        <w:tc>
          <w:tcPr>
            <w:tcW w:w="420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Consolidated Ducommun</w:t>
            </w: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2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99,059</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422,859</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323,800</w:t>
            </w: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67.2 %</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44.9 %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48,785</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721,088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6"/>
              </w:rPr>
              <w:t>Electronic Systems</w:t>
            </w:r>
          </w:p>
        </w:tc>
        <w:tc>
          <w:tcPr>
            <w:tcW w:w="2740" w:type="dxa"/>
            <w:vAlign w:val="bottom"/>
            <w:tcBorders>
              <w:bottom w:val="single" w:sz="8" w:color="CCEEFF"/>
            </w:tcBorders>
            <w:gridSpan w:val="3"/>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64,431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308,676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244,245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78.6 %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48,785</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360,373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Structural Systems</w:t>
            </w:r>
          </w:p>
        </w:tc>
        <w:tc>
          <w:tcPr>
            <w:tcW w:w="272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34,628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114,183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79,555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281,160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51.7 %</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236,308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360,715</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Net revenues for 2020 were $628.9 million compared to $721.1 million for 2019. The year-over-year decrease was primarily due to the following:</w:t>
      </w:r>
    </w:p>
    <w:p>
      <w:pPr>
        <w:spacing w:after="0" w:line="129" w:lineRule="exact"/>
        <w:rPr>
          <w:sz w:val="20"/>
          <w:szCs w:val="20"/>
          <w:color w:val="auto"/>
        </w:rPr>
      </w:pPr>
    </w:p>
    <w:p>
      <w:pPr>
        <w:ind w:left="980" w:right="300" w:hanging="648"/>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$180.4 million lower revenues in our commercial aerospace end-use markets due to lower build rates on large aircraft platforms; partially offset by</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right="220" w:hanging="648"/>
        <w:spacing w:after="0" w:line="342" w:lineRule="auto"/>
        <w:tabs>
          <w:tab w:leader="none" w:pos="9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$99.1 million higher revenues in our military and space end-use markets due to higher build rates on military fixed-wing aircraft platforms, additional content and higher build rates on other military and space platforms, and higher build rates on various missile platforms.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Arial" w:cs="Arial" w:eastAsia="Arial" w:hAnsi="Arial"/>
                <w:sz w:val="14"/>
                <w:szCs w:val="14"/>
                <w:color w:val="auto"/>
                <w:w w:val="90"/>
              </w:rPr>
              <w:t>Years Ended December 31,</w:t>
            </w:r>
          </w:p>
        </w:tc>
        <w:tc>
          <w:tcPr>
            <w:tcW w:w="1020" w:type="dxa"/>
            <w:vAlign w:val="bottom"/>
          </w:tcPr>
          <w:p>
            <w:pPr>
              <w:spacing w:after="0"/>
              <w:rPr>
                <w:sz w:val="15"/>
                <w:szCs w:val="15"/>
                <w:color w:val="auto"/>
              </w:rPr>
            </w:pPr>
          </w:p>
        </w:tc>
      </w:tr>
      <w:tr>
        <w:trPr>
          <w:trHeight w:val="195"/>
        </w:trPr>
        <w:tc>
          <w:tcPr>
            <w:tcW w:w="8580" w:type="dxa"/>
            <w:vAlign w:val="bottom"/>
            <w:gridSpan w:val="2"/>
          </w:tcPr>
          <w:p>
            <w:pPr>
              <w:ind w:left="8300"/>
              <w:spacing w:after="0"/>
              <w:rPr>
                <w:sz w:val="20"/>
                <w:szCs w:val="20"/>
                <w:color w:val="auto"/>
              </w:rPr>
            </w:pPr>
            <w:r>
              <w:rPr>
                <w:rFonts w:ascii="Arial" w:cs="Arial" w:eastAsia="Arial" w:hAnsi="Arial"/>
                <w:sz w:val="14"/>
                <w:szCs w:val="14"/>
                <w:color w:val="auto"/>
                <w:w w:val="83"/>
              </w:rPr>
              <w:t>2020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jc w:val="right"/>
              <w:ind w:right="653"/>
              <w:spacing w:after="0"/>
              <w:rPr>
                <w:sz w:val="20"/>
                <w:szCs w:val="20"/>
                <w:color w:val="auto"/>
              </w:rPr>
            </w:pPr>
            <w:r>
              <w:rPr>
                <w:rFonts w:ascii="Arial" w:cs="Arial" w:eastAsia="Arial" w:hAnsi="Arial"/>
                <w:sz w:val="14"/>
                <w:szCs w:val="14"/>
                <w:color w:val="auto"/>
                <w:w w:val="83"/>
              </w:rPr>
              <w:t>2019</w:t>
            </w:r>
          </w:p>
        </w:tc>
      </w:tr>
      <w:tr>
        <w:trPr>
          <w:trHeight w:val="229"/>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Boeing Company</w:t>
            </w:r>
          </w:p>
        </w:tc>
        <w:tc>
          <w:tcPr>
            <w:tcW w:w="10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Lockheed Martin Corporation</w:t>
            </w:r>
          </w:p>
        </w:tc>
        <w:tc>
          <w:tcPr>
            <w:tcW w:w="74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Northrop Grumman Corporation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Raytheon Technologies Corporation</w:t>
            </w:r>
          </w:p>
        </w:tc>
        <w:tc>
          <w:tcPr>
            <w:tcW w:w="740" w:type="dxa"/>
            <w:vAlign w:val="bottom"/>
          </w:tcPr>
          <w:p>
            <w:pPr>
              <w:jc w:val="right"/>
              <w:spacing w:after="0"/>
              <w:rPr>
                <w:sz w:val="20"/>
                <w:szCs w:val="20"/>
                <w:color w:val="auto"/>
              </w:rPr>
            </w:pPr>
            <w:r>
              <w:rPr>
                <w:rFonts w:ascii="Arial" w:cs="Arial" w:eastAsia="Arial" w:hAnsi="Arial"/>
                <w:sz w:val="18"/>
                <w:szCs w:val="18"/>
                <w:color w:val="auto"/>
              </w:rPr>
              <w:t>20.9 %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29"/>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Spirit AeroSystems Holdings, Inc.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304"/>
        </w:trPr>
        <w:tc>
          <w:tcPr>
            <w:tcW w:w="8580" w:type="dxa"/>
            <w:vAlign w:val="bottom"/>
            <w:gridSpan w:val="2"/>
          </w:tcPr>
          <w:p>
            <w:pPr>
              <w:spacing w:after="0"/>
              <w:rPr>
                <w:sz w:val="20"/>
                <w:szCs w:val="20"/>
                <w:color w:val="auto"/>
              </w:rPr>
            </w:pPr>
            <w:r>
              <w:rPr>
                <w:rFonts w:ascii="Arial" w:cs="Arial" w:eastAsia="Arial" w:hAnsi="Arial"/>
                <w:sz w:val="18"/>
                <w:szCs w:val="18"/>
                <w:color w:val="auto"/>
              </w:rPr>
              <w:t>Top ten customers</w:t>
            </w:r>
            <w:r>
              <w:rPr>
                <w:rFonts w:ascii="Arial" w:cs="Arial" w:eastAsia="Arial" w:hAnsi="Arial"/>
                <w:sz w:val="23"/>
                <w:szCs w:val="23"/>
                <w:color w:val="auto"/>
                <w:vertAlign w:val="superscript"/>
              </w:rPr>
              <w:t>(1)</w:t>
            </w:r>
          </w:p>
        </w:tc>
        <w:tc>
          <w:tcPr>
            <w:tcW w:w="740" w:type="dxa"/>
            <w:vAlign w:val="bottom"/>
          </w:tcPr>
          <w:p>
            <w:pPr>
              <w:jc w:val="right"/>
              <w:spacing w:after="0"/>
              <w:rPr>
                <w:sz w:val="20"/>
                <w:szCs w:val="20"/>
                <w:color w:val="auto"/>
              </w:rPr>
            </w:pPr>
            <w:r>
              <w:rPr>
                <w:rFonts w:ascii="Arial" w:cs="Arial" w:eastAsia="Arial" w:hAnsi="Arial"/>
                <w:sz w:val="18"/>
                <w:szCs w:val="18"/>
                <w:color w:val="auto"/>
              </w:rPr>
              <w:t>61.1 %</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65.4 %</w:t>
            </w:r>
          </w:p>
        </w:tc>
      </w:tr>
    </w:tbl>
    <w:p>
      <w:pPr>
        <w:spacing w:after="0" w:line="19" w:lineRule="exact"/>
        <w:rPr>
          <w:sz w:val="20"/>
          <w:szCs w:val="20"/>
          <w:color w:val="auto"/>
        </w:rPr>
      </w:pPr>
    </w:p>
    <w:p>
      <w:pPr>
        <w:ind w:right="58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Boeing Company (“Boeing”), Lockheed Martin Corporation (“Lockheed Martin”), Northrop Grumman Corporation (“Northrop”), Raytheon Technologies Corporation (“Raytheon”), and Spirit AeroSystems Holdings, Inc. (“Spirit”).</w:t>
      </w:r>
    </w:p>
    <w:p>
      <w:pPr>
        <w:spacing w:after="0" w:line="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revenues from Boeing, Lockheed Martin, Northrop, Raytheon, and Spirit are diversified over a number of commercial, military and space programs and were generated by both operating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margin increased to 21.9% in 2020 compared to 21.1% in 2019 primarily due to favorable product mix, partially offset by unfavorable manufacturing volume.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9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SG&amp;A expenses decreased $6.2 million in 2020 compared to 2019 primarily due to lower other corporate expenses of $3.0 million, lower professional services fees of $2.6 million, and one-time severance charges of $1.7 million in the prior year, which did not recur in 2020, partially offset by higher amortization of intangibles of $1.8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Restructuring charges increased $2.4 million in 2020 compared to 2019 due to the restructuring plan that began in 2020 that was expected to increase operating efficiencies. See Note 1 to our consolidated financial statements included in Part IV, Item 15(a) of this Annual Report on Form 10-K for further information on restructuring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Interest expense decreased in 2020 compared to 2019 primarily due to lower interest rates, partially offset by a higher outstanding balance on the Credit Facilities driven by the acquisition of Nobles Worldwide, Inc. (“Nobles”) in October 2019, and higher net draw downs on the Revolving Credit Facility, including $50.0 million during the first quarter of 2020 to hold as cash on hand, $25.0 million of which was repaid during the fourth quarter of 2020. See Note 8 to our consolidated financial statements included in Part IV, Item 15(a) of this Annual Report on Form 10-K for further information on our long-term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9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Loss on extinguishment of debt for 2019 was related to the refinancing of our existing Credit Facilities in December 2019 which resulted in writing off of a portion of the unamortized debt issuance costs associated with the existing Credit Facilities of $0.2 million. The New Credit Facilities were utilized to pay off the existing Revolving Credit Facility and a portion of the existing Term Loan. See Note 8 to our consolidated financial statements included in Part IV, Item 15(a) of this Annual Report on Form 10-K for further information on our long-term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recorded an income tax expense of $2.8 million (an effective tax rate of 8.8%) in 2020, compared to $5.3 million (an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effective tax rate of 14.0%) in 2019. The decrease in the effective tax rate for 2020 compared to 2019 was primarily due to higher discrete income tax benefits recognized from releases of uncertain tax positions and additional research and development tax credits related to 2019. The higher discrete income tax benefits were partially offset by a reduction in discrete income tax benefits related to changes in valuation allowance and other deferred tax assets.</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unrecognized tax benefits were $4.1 million and $5.7 million in 2020 and 2019, respectively. We record interest and penalty charges, if any, related to uncertain tax positions as a component of tax expense and unrecognized tax benefits. The amounts accrued for interest and penalty charges as of December 31, 2020 and 2019 were not significant. If recognized, $2.4 million would affect the effective income tax rate. Due to federal and state statute of limitations for tax year 2016 that expired on October 15, 2020, we released uncertain tax positions of $2.2 million and recognized income tax benefits of $2.1 million in 2020. We do not expect the total amount of unrecognized tax benefits to increase or decrease by a material amount in the next twelve months.</w:t>
      </w:r>
    </w:p>
    <w:p>
      <w:pPr>
        <w:spacing w:after="0" w:line="1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2016 and by state taxing authorities for tax years after 2015. While we are no longer subject to examination prior to those periods, carryforwards generated prior to those periods may still be adjusted upon examination by the IRS or state taxing authority if they either have been or will be used in a subsequent period. We believe we have adequately accrued for tax deficiencies or reductions in tax benefits, if any, that could result from the examination and all open audit years.</w:t>
      </w:r>
    </w:p>
    <w:p>
      <w:pPr>
        <w:spacing w:after="0" w:line="10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March 27, 2020, the U.S. enacted the Coronavirus Aid, Relief, and Economic Security Act (“CARES Act”) that provides tax relief to individuals and businesses affected by the coronavirus pandemic. We considered the provisions of the CARES Act and determined they do not have a material impact to our overall income taxes. We have utilized the option to defer payment of the employer portion of payroll taxes (Social Security) that would otherwise be required to be made during the period beginning March 27, 2020 to December 31, 2020. See COVID-19 Pandemic Impact on Our Business included in Part II, Item 7 of this Annual Report on Form 10-K (“Form 10-K”). As of December 31, 2020, we deferred income tax deductions related to payroll taxes of $6.1 million and a deferred tax asset of $1.4 million is included as part of the net deferred income taxes on the consolidated balance sheet.</w:t>
      </w:r>
    </w:p>
    <w:p>
      <w:pPr>
        <w:spacing w:after="0" w:line="1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December 27, 2020, the U.S. enacted the Consolidated Appropriations Act, 2021 (the “Act”) that provides additional tax relief to individuals and businesses affected by the coronavirus pandemic. We considered the provisions of the Act and determined they do not have a material impact to our overall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Diluted Share</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income and earnings per diluted share for 2020 were $29.2 million, or $2.45 per diluted share, compared to net income and earnings per diluted share for 2019 of $32.5 million, or $2.75 per diluted share. The decrease in net income in 2020 compared to 2019 was due to a decrease of $14.5 million in gross profit as a result of lower revenues and higher restructuring charges of $2.4 million, partially offset by lower SG&amp;A expenses of $6.2 million, lower interest expense of $4.6 million, and lower income tax expense of $2.5 million.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Performance</w:t>
      </w:r>
    </w:p>
    <w:p>
      <w:pPr>
        <w:spacing w:after="0" w:line="108"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2020 and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140" w:type="dxa"/>
            <w:vAlign w:val="bottom"/>
            <w:vMerge w:val="restart"/>
          </w:tcPr>
          <w:p>
            <w:pPr>
              <w:jc w:val="right"/>
              <w:ind w:right="417"/>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4"/>
                <w:szCs w:val="14"/>
                <w:color w:val="auto"/>
              </w:rPr>
              <w:t>(Dollars in thousands)</w:t>
            </w:r>
          </w:p>
        </w:tc>
        <w:tc>
          <w:tcPr>
            <w:tcW w:w="128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4"/>
          </w:tcPr>
          <w:p>
            <w:pPr>
              <w:jc w:val="right"/>
              <w:ind w:right="271"/>
              <w:spacing w:after="0"/>
              <w:rPr>
                <w:sz w:val="20"/>
                <w:szCs w:val="20"/>
                <w:color w:val="auto"/>
              </w:rPr>
            </w:pPr>
            <w:r>
              <w:rPr>
                <w:rFonts w:ascii="Arial" w:cs="Arial" w:eastAsia="Arial" w:hAnsi="Arial"/>
                <w:sz w:val="14"/>
                <w:szCs w:val="14"/>
                <w:color w:val="auto"/>
                <w:w w:val="97"/>
              </w:rPr>
              <w:t>Years Ended December 31,</w:t>
            </w:r>
          </w:p>
        </w:tc>
        <w:tc>
          <w:tcPr>
            <w:tcW w:w="1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of Net Revenues</w:t>
            </w:r>
          </w:p>
        </w:tc>
        <w:tc>
          <w:tcPr>
            <w:tcW w:w="1160" w:type="dxa"/>
            <w:vAlign w:val="bottom"/>
          </w:tcPr>
          <w:p>
            <w:pPr>
              <w:jc w:val="right"/>
              <w:spacing w:after="0"/>
              <w:rPr>
                <w:sz w:val="20"/>
                <w:szCs w:val="20"/>
                <w:color w:val="auto"/>
              </w:rPr>
            </w:pPr>
            <w:r>
              <w:rPr>
                <w:rFonts w:ascii="Arial" w:cs="Arial" w:eastAsia="Arial" w:hAnsi="Arial"/>
                <w:sz w:val="14"/>
                <w:szCs w:val="14"/>
                <w:color w:val="auto"/>
              </w:rPr>
              <w:t>of Net Revenues</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color w:val="auto"/>
              </w:rPr>
              <w:t>2019</w:t>
            </w:r>
          </w:p>
        </w:tc>
        <w:tc>
          <w:tcPr>
            <w:tcW w:w="1280" w:type="dxa"/>
            <w:vAlign w:val="bottom"/>
            <w:gridSpan w:val="2"/>
          </w:tcPr>
          <w:p>
            <w:pPr>
              <w:jc w:val="right"/>
              <w:ind w:right="359"/>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5"/>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140" w:type="dxa"/>
            <w:vAlign w:val="bottom"/>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392,633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360,373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62.4 %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360,715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Total Net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628,941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721,088</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Segment Operating Income</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51,894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38,613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85,449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Corporate General and Administrative Expenses </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Total Operating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EBITDA</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Income</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Restructuring Charges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52,783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16.9 %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80"/>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46,836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Arial" w:cs="Arial" w:eastAsia="Arial" w:hAnsi="Arial"/>
                <w:sz w:val="18"/>
                <w:szCs w:val="18"/>
                <w:color w:val="auto"/>
              </w:rPr>
              <w:t>Restructuring Charges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Inventory Purchase Accounting Adjustments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Guaymas Fire Related Expenses</w:t>
            </w: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Corporate General and Administrative Expenses </w:t>
            </w:r>
            <w:r>
              <w:rPr>
                <w:rFonts w:ascii="Arial" w:cs="Arial" w:eastAsia="Arial" w:hAnsi="Arial"/>
                <w:sz w:val="23"/>
                <w:szCs w:val="23"/>
                <w:color w:val="auto"/>
                <w:vertAlign w:val="superscript"/>
              </w:rPr>
              <w:t>(1)</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Loss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Arial" w:cs="Arial" w:eastAsia="Arial" w:hAnsi="Arial"/>
                <w:sz w:val="18"/>
                <w:szCs w:val="18"/>
                <w:color w:val="auto"/>
              </w:rPr>
              <w:t>Other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Debt Refinancing Costs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Adjusted EBITDA</w:t>
            </w: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87,911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92,287</w:t>
            </w:r>
          </w:p>
        </w:tc>
        <w:tc>
          <w:tcPr>
            <w:tcW w:w="1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14.0 %</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Structural Systems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13,338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Administration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Total Capital Expenditures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540" w:right="3180" w:hanging="5289"/>
        <w:spacing w:after="0" w:line="919"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costs not allocated to either the Electronic Systems or Structural Systems operating segments.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Electronic Systems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Electronic Systems’ net revenues in 2020 compared to 2019 increased $32.3 million primarily due to the following:</w:t>
      </w:r>
    </w:p>
    <w:p>
      <w:pPr>
        <w:spacing w:after="0" w:line="117" w:lineRule="exact"/>
        <w:rPr>
          <w:sz w:val="20"/>
          <w:szCs w:val="20"/>
          <w:color w:val="auto"/>
        </w:rPr>
      </w:pPr>
    </w:p>
    <w:p>
      <w:pPr>
        <w:ind w:left="980" w:right="240" w:hanging="648"/>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$64.4 million higher revenues in our military and space end-use markets due to higher build rates on military fixed-wing aircraft platforms, other military and space platforms, and various missile platforms; partially offset by</w:t>
      </w:r>
    </w:p>
    <w:p>
      <w:pPr>
        <w:spacing w:after="0" w:line="62" w:lineRule="exact"/>
        <w:rPr>
          <w:rFonts w:ascii="Arial" w:cs="Arial" w:eastAsia="Arial" w:hAnsi="Arial"/>
          <w:sz w:val="18"/>
          <w:szCs w:val="18"/>
          <w:color w:val="auto"/>
        </w:rPr>
      </w:pPr>
    </w:p>
    <w:p>
      <w:pPr>
        <w:ind w:left="980" w:hanging="648"/>
        <w:spacing w:after="0" w:line="308"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$21.3 million lower revenues in our commercial aerospace end-use markets due to lower build rates on other commercial aerospace platforms, large aircraft platforms, regional and business aircraft platforms, and commercial rotary-wing aircraft platforms; and</w:t>
      </w:r>
    </w:p>
    <w:p>
      <w:pPr>
        <w:spacing w:after="0" w:line="38" w:lineRule="exact"/>
        <w:rPr>
          <w:rFonts w:ascii="Arial" w:cs="Arial" w:eastAsia="Arial" w:hAnsi="Arial"/>
          <w:sz w:val="17"/>
          <w:szCs w:val="17"/>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$10.8 million lower revenues in our industrial end-use markets due to timing of customer requirements.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Electronic Systems segment operating income in 2020 compared to 2019 increased $13.3 million due to favorable manufacturing volume and favorable product mix.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Structural Systems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Structural Systems’ net revenues in 2020 compared to 2019 decreased $124.4 million primarily due to the following:</w:t>
      </w:r>
    </w:p>
    <w:p>
      <w:pPr>
        <w:spacing w:after="0" w:line="117" w:lineRule="exact"/>
        <w:rPr>
          <w:sz w:val="20"/>
          <w:szCs w:val="20"/>
          <w:color w:val="auto"/>
        </w:rPr>
      </w:pPr>
    </w:p>
    <w:p>
      <w:pPr>
        <w:ind w:left="980" w:right="200" w:hanging="648"/>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$159.0 million lower revenues in commercial aerospace end-use markets due to lower build rates on large aircraft platforms; partially offset by</w:t>
      </w:r>
    </w:p>
    <w:p>
      <w:pPr>
        <w:spacing w:after="0" w:line="62" w:lineRule="exact"/>
        <w:rPr>
          <w:rFonts w:ascii="Arial" w:cs="Arial" w:eastAsia="Arial" w:hAnsi="Arial"/>
          <w:sz w:val="18"/>
          <w:szCs w:val="18"/>
          <w:color w:val="auto"/>
        </w:rPr>
      </w:pPr>
    </w:p>
    <w:p>
      <w:pPr>
        <w:ind w:left="980" w:right="80" w:hanging="648"/>
        <w:spacing w:after="0" w:line="308"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$34.6 million higher revenues in military and space end-use markets due to higher build rates on various missile platforms, additional content and higher build rates on other military and space platforms, and higher build rates on military fixed-wing aircraft platforms.</w:t>
      </w:r>
    </w:p>
    <w:p>
      <w:pPr>
        <w:spacing w:after="0" w:line="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Structural Systems operating income in 2020 compared to 2019 decreased $27.3 million primarily due to unfavorable manufacturing volume, partially offset by favorable product mix and lower other manufacturing costs.</w:t>
      </w:r>
    </w:p>
    <w:p>
      <w:pPr>
        <w:spacing w:after="0" w:line="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29, 2020, a fire severely damaged our performance center in Guaymas, Mexico, which is part of our Structural Systems segment. There were no injuries, however, property and equipment, inventory, and tooling in this leased facility were damaged. We have insurance coverage and expect the majority, if not all, of these items will be covered, less our deductible. The full financial impact cannot be estimated at this time as we are currently working with our insurance carriers to determine the cause of the fire. Our Guaymas performance center is comprised of two buildings with an aggregate total of 62,000 square feet. The loss of production from the Guaymas performance center is being absorbed by our other existing performance centers. See Note 14 to our consolidated financial statements included in Part IV, Item 15(a) of this Annual Report on Form 10-K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General and Administrative (“CG&amp;A”) Expenses</w:t>
      </w:r>
    </w:p>
    <w:p>
      <w:pPr>
        <w:spacing w:after="0" w:line="10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CG&amp;A expenses in 2020 compared to 2019 decreased $3.2 million primarily due to lower professional services fees of $2.2 million and one-time severance charges of $1.7 million in the prior year, which did not recur in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consolidated financial statements included in Part IV, Item 15(a) of this Annual Report on Form 10-K.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backlog was primarily in the commercial aerospace end-use markets, partially offset by an increase in military and space end-use markets.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backlog for 2020 and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10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3"/>
          </w:tcPr>
          <w:p>
            <w:pPr>
              <w:jc w:val="right"/>
              <w:ind w:right="190"/>
              <w:spacing w:after="0"/>
              <w:rPr>
                <w:sz w:val="20"/>
                <w:szCs w:val="20"/>
                <w:color w:val="auto"/>
              </w:rPr>
            </w:pPr>
            <w:r>
              <w:rPr>
                <w:rFonts w:ascii="Arial" w:cs="Arial" w:eastAsia="Arial" w:hAnsi="Arial"/>
                <w:sz w:val="14"/>
                <w:szCs w:val="14"/>
                <w:color w:val="auto"/>
              </w:rPr>
              <w:t>December 31,</w:t>
            </w:r>
          </w:p>
        </w:tc>
        <w:tc>
          <w:tcPr>
            <w:tcW w:w="102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color w:val="auto"/>
              </w:rPr>
              <w:t>Change</w:t>
            </w:r>
          </w:p>
        </w:tc>
        <w:tc>
          <w:tcPr>
            <w:tcW w:w="38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592"/>
              <w:spacing w:after="0"/>
              <w:rPr>
                <w:sz w:val="20"/>
                <w:szCs w:val="20"/>
                <w:color w:val="auto"/>
              </w:rPr>
            </w:pPr>
            <w:r>
              <w:rPr>
                <w:rFonts w:ascii="Arial" w:cs="Arial" w:eastAsia="Arial" w:hAnsi="Arial"/>
                <w:sz w:val="14"/>
                <w:szCs w:val="14"/>
                <w:color w:val="auto"/>
              </w:rPr>
              <w:t>2019</w:t>
            </w:r>
          </w:p>
        </w:tc>
      </w:tr>
      <w:tr>
        <w:trPr>
          <w:trHeight w:val="195"/>
        </w:trPr>
        <w:tc>
          <w:tcPr>
            <w:tcW w:w="20" w:type="dxa"/>
            <w:vAlign w:val="bottom"/>
            <w:tcBorders>
              <w:top w:val="single" w:sz="8" w:color="CCEEFF"/>
            </w:tcBorders>
            <w:shd w:val="clear" w:color="auto" w:fill="CCEEFF"/>
          </w:tcPr>
          <w:p>
            <w:pPr>
              <w:spacing w:after="0"/>
              <w:rPr>
                <w:sz w:val="17"/>
                <w:szCs w:val="17"/>
                <w:color w:val="auto"/>
              </w:rPr>
            </w:pPr>
          </w:p>
        </w:tc>
        <w:tc>
          <w:tcPr>
            <w:tcW w:w="600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Consolidated Ducommun</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4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78,370</w:t>
            </w: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529,663</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451,293</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430,642</w:t>
            </w:r>
          </w:p>
        </w:tc>
      </w:tr>
      <w:tr>
        <w:trPr>
          <w:trHeight w:val="229"/>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822,008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6"/>
              </w:rPr>
              <w:t>Electronic Systems</w:t>
            </w:r>
          </w:p>
        </w:tc>
        <w:tc>
          <w:tcPr>
            <w:tcW w:w="4540" w:type="dxa"/>
            <w:vAlign w:val="bottom"/>
            <w:tcBorders>
              <w:bottom w:val="single" w:sz="8" w:color="CCEEFF"/>
            </w:tcBorders>
            <w:gridSpan w:val="3"/>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93,117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404,144</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311,027</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75,719</w:t>
            </w:r>
          </w:p>
        </w:tc>
      </w:tr>
      <w:tr>
        <w:trPr>
          <w:trHeight w:val="229"/>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484,882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Structural Systems</w:t>
            </w:r>
          </w:p>
        </w:tc>
        <w:tc>
          <w:tcPr>
            <w:tcW w:w="452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(14,747)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125,519</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140,266</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211,607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354,923</w:t>
            </w:r>
          </w:p>
        </w:tc>
      </w:tr>
      <w:tr>
        <w:trPr>
          <w:trHeight w:val="223"/>
        </w:trPr>
        <w:tc>
          <w:tcPr>
            <w:tcW w:w="20" w:type="dxa"/>
            <w:vAlign w:val="bottom"/>
          </w:tcPr>
          <w:p>
            <w:pPr>
              <w:spacing w:after="0"/>
              <w:rPr>
                <w:sz w:val="19"/>
                <w:szCs w:val="19"/>
                <w:color w:val="auto"/>
              </w:rPr>
            </w:pPr>
          </w:p>
        </w:tc>
        <w:tc>
          <w:tcPr>
            <w:tcW w:w="600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(158,063)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337,126</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495,189</w:t>
            </w: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Compared to 2018</w:t>
      </w:r>
    </w:p>
    <w:p>
      <w:pPr>
        <w:spacing w:after="0" w:line="9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in our 2019 Annual Report on Form 10-K filed with the SEC on February 20, 2020,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Total debt, the weighted-average interest rate, cash and cash equivalents and available credit facilities were as follows:</w:t>
      </w:r>
    </w:p>
    <w:p>
      <w:pPr>
        <w:spacing w:after="0" w:line="274" w:lineRule="exact"/>
        <w:rPr>
          <w:sz w:val="20"/>
          <w:szCs w:val="20"/>
          <w:color w:val="auto"/>
        </w:rPr>
      </w:pPr>
    </w:p>
    <w:p>
      <w:pPr>
        <w:jc w:val="center"/>
        <w:ind w:left="7240"/>
        <w:spacing w:after="0"/>
        <w:rPr>
          <w:sz w:val="20"/>
          <w:szCs w:val="20"/>
          <w:color w:val="auto"/>
        </w:rPr>
      </w:pPr>
      <w:r>
        <w:rPr>
          <w:rFonts w:ascii="Arial" w:cs="Arial" w:eastAsia="Arial" w:hAnsi="Arial"/>
          <w:sz w:val="14"/>
          <w:szCs w:val="14"/>
          <w:color w:val="auto"/>
        </w:rPr>
        <w:t>(Dollars in millions)</w:t>
      </w:r>
    </w:p>
    <w:p>
      <w:pPr>
        <w:jc w:val="center"/>
        <w:ind w:left="724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color w:val="auto"/>
              </w:rPr>
              <w:t>2019</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including long-term portion</w:t>
            </w: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310.0</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Weighted-average interest rate on debt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6.87 %</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interest rate</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6.28 %</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right"/>
              <w:ind w:right="97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39.6</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Unused Revolving Credit Facility</w:t>
            </w: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99.8</w:t>
            </w:r>
          </w:p>
        </w:tc>
      </w:tr>
    </w:tbl>
    <w:p>
      <w:pPr>
        <w:spacing w:after="0" w:line="1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December 2019, we completed the refinancing of a portion of our existing debt by entering into a new revolving credit facility (“New Revolving Credit Facility”) to replace the existing revolving credit facility that was entered into in November 2018 (“2018 Revolving Credit Facility”) and entering into a new term loan (“New Term Loan”). The New Revolving Credit Facility is a $100.0 million senior secured revolving credit facility that will mature on December 20, 2024 replacing the $100.0 million 2018 Revolving Credit Facility that would have matured on November 21, 2023. The New Term Loan is a $140.0 million senior secured term loan that will mature on December 20, 2024. We also have an existing $240.0 million senior secured term loan that was entered into in November 2018 that will mature on November 21, 2025 (“2018 Term Loan”). The original amounts available under the New Revolving Credit Facility, New Term Loan, and 2018 Term Loan (collectively, the “Credit Facilities”) in aggregate, totaled $480.0 million. We are required to make installment payments of 1.25% of the original outstanding principal balance of the New Term Loan amount on a quarterly basis, on the last day of the calendar quarter. In addition, if we meet the annual excess cash flow threshold, we are required to make an annual additional principal payment</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based on the consolidated adjusted leverage ratio. During the first quarter of 2020, we made the required 2019 annual excess cash flow payment of $7.4 million. Further, the undrawn portion of the commitment of the New Revolving Credit Facility is subject to a commitment fee ranging from 0.175% to</w:t>
      </w:r>
    </w:p>
    <w:p>
      <w:pPr>
        <w:ind w:right="100"/>
        <w:spacing w:after="0" w:line="255" w:lineRule="auto"/>
        <w:rPr>
          <w:sz w:val="20"/>
          <w:szCs w:val="20"/>
          <w:color w:val="auto"/>
        </w:rPr>
      </w:pPr>
      <w:r>
        <w:rPr>
          <w:rFonts w:ascii="Arial" w:cs="Arial" w:eastAsia="Arial" w:hAnsi="Arial"/>
          <w:sz w:val="18"/>
          <w:szCs w:val="18"/>
          <w:color w:val="auto"/>
        </w:rPr>
        <w:t>0.275%, based upon the consolidated total net adjusted leverage ratio. As of December 31, 2020, we were in compliance with all covenants required under the Credit Facilities. See Note 8 to our consolidated financial statements included in Part IV, Item 15(a) of this Annual Report on Form 10-K for further information.</w:t>
      </w:r>
    </w:p>
    <w:p>
      <w:pPr>
        <w:spacing w:after="0" w:line="13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drew down $50.0 million on the New Revolving Credit Facility during the first quarter of 2020 to hold as cash on hand, $25.0 million of which was repaid during the fourth quarter of 2020, and thus, we made no net aggregate voluntary prepayments during 2020.</w:t>
      </w:r>
    </w:p>
    <w:p>
      <w:pPr>
        <w:spacing w:after="0" w:line="11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November 2018, we completed credit facilities to replace the then existing credit facilities. The November 2018 credit facilities consisted of the 2018 Term Loan and the 2018 Revolving Credit Facility (collectively, the “2018 Credit Facilities”). We were required to make installment payments of 0.25% of the outstanding principal balance of the 2018 Term Loan amount on a quarterly basis, however, in conjunction with the 2019 refinancing where we paid down $56.0 million on the 2018 Term Loan, it paid all the required quarterly installment payments on the 2018 Term Loan until maturity.</w:t>
      </w:r>
    </w:p>
    <w:p>
      <w:pPr>
        <w:spacing w:after="0" w:line="10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October 2015, we entered into interest rate cap hedges designated as cash flow hedges with a portion of these interest rate cap hedges maturing on a quarterly basis, and a final quarterly maturity date of June 2020, in aggregate, totaling $135.0 million of our debt. We paid a total of $1.0 million in connection with entering into the interest rate cap hedges. The interest rate cap hedges matured during our second quarter of 2020 and as such, all remaining amounts related to the interest rate cap hedges were fully amortized and unrealized gains and losses recorded in accumulated other comprehensive income were also realized at that time. See Note 1 to our consolidated financial statements included in Part IV, Item 15(a) of this Annual Report on Form 10-K for further information.</w:t>
      </w:r>
    </w:p>
    <w:p>
      <w:pPr>
        <w:spacing w:after="0" w:line="1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October 2019, we acquired Nobles Parent Inc., the parent company of Nobles Worldwide, Inc. (“Nobles”) for an original purchase price of $77.0 million, net of cash acquired, all payable in cash. Upon the closing of the transaction, we paid a gross total aggregate of $77.3 million in cash by drawing down on the 2018 Revolving Credit Facility. See Note 2 to our consolidated financial statements included in Part IV, Item 15(a) of this Annual Report on Form 10-K for further information.</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expect to spend a total of $16.0 million to $18.0 million for capital expenditures in 2021 (excluding capital expenditures we will spend to restore the manufacturing capabilities related to our Guaymas performance center that was severely damaged by fire on June 29, 2020),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 However, some portion of the expected capital expenditures in 2021 could be delayed as a result of the COVID-19 pandemic.</w:t>
      </w:r>
    </w:p>
    <w:p>
      <w:pPr>
        <w:spacing w:after="0" w:line="1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13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continue to depend on operating cash flow and the availability of our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Compared to 2019</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during 2020 was $12.6 million, compared to $51.0 million during 2019. The lower cash provided by operating activities during 2020 was primarily due to higher contract assets, higher inventories, and lower accounts payable, partially offset by higher contract liabilities and lower accounts receivable.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during 2020 was $5.5 million compared to $94.9 million during 2019. The lower cash used in investing activities during 2020 was primarily due to lower payments for acquisitions.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2020 was $9.7 million compared to $73.2 million during 2019. The lower cash provided by financing activities during 2020 was primarily due to lower net borrowings on the Credit Facilities.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Compared to 2018</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in our 2019 Annual Report on Form 10-K filed with the SEC on February 20, 2020, which is incorporated by reference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obligations at December 31, 2020 was as follows (dollars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Payments Due by Period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1"/>
              </w:rPr>
              <w:t>Less Than</w:t>
            </w: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color w:val="auto"/>
              </w:rPr>
              <w:t>1-3 Years</w:t>
            </w: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color w:val="auto"/>
              </w:rPr>
              <w:t>3-5 Years</w:t>
            </w:r>
          </w:p>
        </w:tc>
        <w:tc>
          <w:tcPr>
            <w:tcW w:w="220" w:type="dxa"/>
            <w:vAlign w:val="bottom"/>
          </w:tcPr>
          <w:p>
            <w:pPr>
              <w:spacing w:after="0"/>
              <w:rPr>
                <w:sz w:val="11"/>
                <w:szCs w:val="11"/>
                <w:color w:val="auto"/>
              </w:rPr>
            </w:pPr>
          </w:p>
        </w:tc>
        <w:tc>
          <w:tcPr>
            <w:tcW w:w="1080" w:type="dxa"/>
            <w:vAlign w:val="bottom"/>
          </w:tcPr>
          <w:p>
            <w:pPr>
              <w:jc w:val="right"/>
              <w:ind w:right="235"/>
              <w:spacing w:after="0" w:line="135" w:lineRule="exact"/>
              <w:rPr>
                <w:sz w:val="20"/>
                <w:szCs w:val="20"/>
                <w:color w:val="auto"/>
              </w:rPr>
            </w:pPr>
            <w:r>
              <w:rPr>
                <w:rFonts w:ascii="Arial" w:cs="Arial" w:eastAsia="Arial" w:hAnsi="Arial"/>
                <w:sz w:val="14"/>
                <w:szCs w:val="14"/>
                <w:color w:val="auto"/>
              </w:rPr>
              <w:t>More Than</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1 Year</w:t>
            </w: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55"/>
              <w:spacing w:after="0"/>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22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299,638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Future interest on long-term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orders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liability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11,181</w:t>
            </w: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328,496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17,336</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60" w:hanging="332"/>
        <w:spacing w:after="0" w:line="277" w:lineRule="auto"/>
        <w:tabs>
          <w:tab w:leader="none" w:pos="4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orders include non-cancelable commitments as of December 31, 2020 in which a written purchase order has been issued but the goods have not been received.</w:t>
      </w:r>
    </w:p>
    <w:p>
      <w:pPr>
        <w:spacing w:after="0" w:line="116" w:lineRule="exact"/>
        <w:rPr>
          <w:rFonts w:ascii="Arial" w:cs="Arial" w:eastAsia="Arial" w:hAnsi="Arial"/>
          <w:sz w:val="18"/>
          <w:szCs w:val="18"/>
          <w:color w:val="auto"/>
        </w:rPr>
      </w:pPr>
    </w:p>
    <w:p>
      <w:pPr>
        <w:ind w:left="340" w:hanging="332"/>
        <w:spacing w:after="0" w:line="263" w:lineRule="auto"/>
        <w:tabs>
          <w:tab w:leader="none" w:pos="3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2020, we have recorded $4.1 million in long-term liabilities related to uncertain tax positions. We are not able to reasonably estimate the timing of the long-term payments, or the amount by which our liability may increase or decrease over time, therefore, the liability relate to uncertain tax positions has not been included in the contractual obligations table.</w:t>
      </w:r>
    </w:p>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have estimated that the fair value of our indemnification obligations as insignificant based upon our history with such obligations and insurance coverage and have included no such obligation in the table above.</w:t>
      </w:r>
    </w:p>
    <w:p>
      <w:pPr>
        <w:spacing w:after="0" w:line="11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ultimate liability with respect to groundwater contamination at certain Structural Systems facilities will depend upon a number of factors, including changes in existing laws and regulations, the design and cost of construction, operation and maintenance activities, and the allocation of liability among potentially responsible parties. The above table does not include obligations related to these matters. See Note 14 to our consolidated financial statements included in Part IV, Item 15(a) of this Annual Report on Form 10-K for discussion of our environmental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Critical accounting policies are those accounting policies that can have a significant impact on the presentation of our financial condition and results of operations and that require the use of subjective estimates based upon past experience and management’s judgment. Because of the uncertainty inherent in such estimates, actual results may differ from these estimates. Below are those policies applied in preparing our financial statements that management believes are the most dependent on the application of estimates and assumptions. See Note 1 to our consolidated financial statements included in Part IV, Item 15(a) of this Annual Report on Form 10-K for additional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a significant number of contracts that are started and completed within the same year, as well as contracts derived from long-term agreements and programs that can span several years. We recognize revenue under ASC 606, which utilizes a five-step model.</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5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2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significant change in one or more of these estimates could affect the profitability of our contracts, we review and update our contract-related estimates on a regular basis. We recognize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we recognize the total loss in the quarter it is identified.</w:t>
      </w:r>
    </w:p>
    <w:p>
      <w:pPr>
        <w:spacing w:after="0" w:line="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impact of adjustments in contract estimates on our operating earnings can be reflected in either operating costs and expenses or revenue. See Note 1 to our consolidated financial statements included in Part IV, Item 15(a) of this Annual Report on Form 10-K for the net impact of these adjustments to our consolidated financial statements for 2020.</w:t>
      </w:r>
    </w:p>
    <w:p>
      <w:pPr>
        <w:spacing w:after="0" w:line="4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 contract liability is created for the advance or progress payment.</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 includes consideration of 1) margin of passing most recent annual goodwill impairment test or step one analysis, 2) earnings before interest, taxes, depreciation, and amortization, 3) long-term growth rate, 4) analyzing material adverse factors/changes between valuation dates, 5) general macroeconomic factors, and 6) industry and market conditions.</w:t>
      </w:r>
    </w:p>
    <w:p>
      <w:pPr>
        <w:spacing w:after="0" w:line="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quantitative approach for potential impairment analysis is performed by comparing the fair value of a reporting unit to its carrying value, including goodwill. Fair value is estimated by management using a combination of the income approach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The market approach also requires significant management judgment in selecting comparable business acquisitions and the transaction values observed and its related control premiums. In addition, we early adopted Accounting Standards Update 2017-04 (“ASU 2017-04”) on January 1, 2019 which simplified our goodwill impairment testing by eliminating step two of the goodwill impairment test.</w:t>
      </w:r>
    </w:p>
    <w:p>
      <w:pPr>
        <w:spacing w:after="0" w:line="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acquired Nobles in October 2019 and recorded goodwill of $34.9 million in our Structural Systems segment, which is also our reporting unit. Since a goodwill impairment analysis is required to be performed within one year of the acquisition date or sooner upon a triggering event, we performed a step one goodwill impairment analysis as of the first day of the fourth quarter of 2020 for our Structural Systems segment. The fair value of our Structural Systems segment exceeded its carrying value by 69% and thus, was not deemed impaired.</w:t>
      </w:r>
    </w:p>
    <w:p>
      <w:pPr>
        <w:spacing w:after="0" w:line="1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the fourth quarter of 2020, the carrying amount of goodwill at the date of the most recent annual impairment evaluation for Electronic Systems and Structural Systems was $117.4 million and $53.4 million, respectively.</w:t>
      </w:r>
    </w:p>
    <w:p>
      <w:pPr>
        <w:spacing w:after="0" w:line="1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the date of our 2020 annual evaluation for goodwill impairment, for the Electronic Systems segment, we used a qualitative assessment including 1) margin of passing most recent step one analysis, 2) earnings before interest, taxes, depreciation, and amortization, 3) long-term growth rate, 4) analyzing material adverse factors/changes between valuation dates, 5) general macroeconomic factors, and 6) industry and market conditions. Based upon our qualitative assessment, we concluded that it was more likely than not that the fair value of the reporting unit exceeded its carrying amount and thus, goodwill was not deemed impaired.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 Assets</w:t>
      </w:r>
    </w:p>
    <w:p>
      <w:pPr>
        <w:spacing w:after="0" w:line="1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amortize acquired other intangible assets with finite lives over the estimated economic lives of the assets, ranging from 10 years to 18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Stock-Based Compensation</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measure and recognize compensation expense for share-based payment transactions to our employees and non-employees at their estimated fair value. The expense is measured at the grant date, based on the calculated fair value of the share-based award, and is recognized over the requisite service period (generally the vesting period of the equity award). The fair value of stock options are determined using the Black-Scholes-Merton (“Black-Scholes”) valuation model, which requires assumptions and judgments regarding stock price volatility, risk-free interest rates, and expected options terms. Management’s estimates could differ from actual results. The fair value of unvested stock awards is determined based on the closing price of the underlying common stock on the date of grant except for market condition awards for which the fair value was based on a Monte Carlo simulation model.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and the related revenue is recognized.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0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spacing w:after="0" w:line="21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See Note 1 to our consolidated financial statements included in Part IV, Item 15(a) of this Annual Report on Form 10-K for a description of recent accounting pronouncements.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main market risk exposure relates to changes in U.S. and U.K. interest rates on our outstanding long-term debt. At December 31, 2020, we had borrowings of $320.6 million under our Credit Facilities.</w:t>
      </w:r>
    </w:p>
    <w:p>
      <w:pPr>
        <w:spacing w:after="0" w:line="3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New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60" w:lineRule="auto"/>
        <w:rPr>
          <w:sz w:val="20"/>
          <w:szCs w:val="20"/>
          <w:color w:val="auto"/>
        </w:rPr>
      </w:pPr>
      <w:r>
        <w:rPr>
          <w:rFonts w:ascii="Arial" w:cs="Arial" w:eastAsia="Arial" w:hAnsi="Arial"/>
          <w:sz w:val="18"/>
          <w:szCs w:val="18"/>
          <w:color w:val="auto"/>
        </w:rPr>
        <w:t>0.50%, [b] Bank of America’s prime rate, and [c] the Eurodollar Rate plus 1.00%) plus an applicable margin ranging from 0.50% to 1.50% per year, in each case based upon the consolidated total net adjusted leverage ratio.</w:t>
      </w:r>
    </w:p>
    <w:p>
      <w:pPr>
        <w:spacing w:after="0" w:line="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New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A hypothetical 10% increase or decrease in the interest rate would have an immaterial impact on our financial condition and results of operations.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financial statements and supplementary data together with the report thereon of PricewaterhouseCoopers LLP included in Part IV, Item 15(a) 1 and 2 of this Annual Report on Form 10-K are included herein by reference.</w:t>
      </w:r>
    </w:p>
    <w:p>
      <w:pPr>
        <w:spacing w:after="0" w:line="288" w:lineRule="exact"/>
        <w:rPr>
          <w:sz w:val="20"/>
          <w:szCs w:val="20"/>
          <w:color w:val="auto"/>
        </w:rPr>
      </w:pPr>
    </w:p>
    <w:p>
      <w:pPr>
        <w:ind w:right="1040"/>
        <w:spacing w:after="0" w:line="39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as amended (“Exchange Act”)) are designed to provide reasonable assurance that information required to be disclosed in reports we file or submit under the Exchange Act is recorded, processed, summarized and reported within the time periods specified in the rules and forms of the SEC and that such information is accumulated and communicated to our management, including the Chief Executive Officer and Chief Financial Officer, as appropriate to allow timely decisions regarding required disclosures.</w:t>
      </w:r>
    </w:p>
    <w:p>
      <w:pPr>
        <w:spacing w:after="0" w:line="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the Chief Financial Officer, we carried out an evaluation of the effectiveness of the design and operation of our disclosure controls and procedures as of the end of the period covered by this Annual Report on Form 10-K. Based on this evaluation, the Company’s Chief Executive Officer and Chief Financial Officer concluded that our disclosure controls and procedures were effective at the reasonable assurance level as of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10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(“GAAP”).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our financial statements.</w:t>
      </w:r>
    </w:p>
    <w:p>
      <w:pPr>
        <w:spacing w:after="0" w:line="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Management of the Company has assessed the effectiveness of the Company’s internal control over financial reporting as of December 31, 2020. In making this assessment, management used the criteria set forth by the Committee of Sponsoring Organizations of the Treadway Commission (“COSO”)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Based on our assessment and those criteria, management concluded that the Company maintained effective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of December 31, 2020.</w:t>
      </w:r>
    </w:p>
    <w:p>
      <w:pPr>
        <w:spacing w:after="0" w:line="6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2020 has been audited by PricewaterhouseCoopers LLP, an independent registered public accounting firm, as stated in their report, which is included in Item 15 of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that have materially affected, or are reasonably likely to materially affect, our internal control over financial reporting during the quarter ended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 of the Registrant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the caption “Election of Directors” in the 2021 Proxy Statement is incorporated herein by reference.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Registrant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the caption “Executive Officers of the Registrant” in the 2021 Proxy Statement is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and Audit Committee Financial Expert</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under the caption “Committees of the Board of Directors” relating to the Audit Committee of the Board of Directors in the 2021 Proxy Statement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Compliance with Section 16(a) of the Exchange 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the caption “Delinquent Section 16(a) Reports” in the 2021 Proxy Statement is incorporated herein by reference.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 of Business Conduct and Ethics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the caption “Code of Business Conduct and Ethics” in the 2021 Proxy Statement is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to Procedures to Recommend Nominees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procedures by which security holders may recommend nominees to the Company’s Board of Directors since the date of the Company’s last proxy statement.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information under the captions “Compensation of Executive Officers,” “Compensation of Directors,” “Compensation Committee Interlocks and Insider Participation” and “Compensation Committee Report” in the 2021 Proxy Statement is incorporated herein by reference.</w:t>
      </w:r>
    </w:p>
    <w:p>
      <w:pPr>
        <w:spacing w:after="0" w:line="223" w:lineRule="exact"/>
        <w:rPr>
          <w:sz w:val="20"/>
          <w:szCs w:val="20"/>
          <w:color w:val="auto"/>
        </w:rPr>
      </w:pPr>
    </w:p>
    <w:p>
      <w:pPr>
        <w:ind w:left="820" w:right="56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under the caption “Security Ownership of Certain Beneficial Owners and Management” in the 2021 Proxy Statement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compensation plans under which equity securities are authorized for issuance: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w w:val="96"/>
              </w:rPr>
              <w:t>Number of Securities</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2"/>
              </w:rPr>
              <w:t>Remaining</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color w:val="auto"/>
                <w:w w:val="94"/>
              </w:rPr>
              <w:t>Number of Securities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6"/>
              </w:rPr>
              <w:t>Available for</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3"/>
              </w:rPr>
              <w:t>Weighted-Average</w:t>
            </w: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89"/>
              </w:rPr>
              <w:t>Future Issuance</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color w:val="auto"/>
                <w:w w:val="91"/>
              </w:rPr>
              <w:t>to be Issued Upon</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6"/>
              </w:rPr>
              <w:t>Under Equity</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color w:val="auto"/>
                <w:w w:val="92"/>
              </w:rPr>
              <w:t>Exercise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tcPr>
          <w:p>
            <w:pPr>
              <w:jc w:val="center"/>
              <w:ind w:right="400"/>
              <w:spacing w:after="0" w:line="135" w:lineRule="exact"/>
              <w:rPr>
                <w:sz w:val="20"/>
                <w:szCs w:val="20"/>
                <w:color w:val="auto"/>
              </w:rPr>
            </w:pPr>
            <w:r>
              <w:rPr>
                <w:rFonts w:ascii="Arial" w:cs="Arial" w:eastAsia="Arial" w:hAnsi="Arial"/>
                <w:sz w:val="14"/>
                <w:szCs w:val="14"/>
                <w:color w:val="auto"/>
                <w:w w:val="93"/>
              </w:rPr>
              <w:t>Exercise Price of</w:t>
            </w: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color w:val="auto"/>
                <w:w w:val="92"/>
              </w:rPr>
              <w:t>Outstanding</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tcPr>
          <w:p>
            <w:pPr>
              <w:jc w:val="center"/>
              <w:ind w:right="400"/>
              <w:spacing w:after="0" w:line="135" w:lineRule="exact"/>
              <w:rPr>
                <w:sz w:val="20"/>
                <w:szCs w:val="20"/>
                <w:color w:val="auto"/>
              </w:rPr>
            </w:pPr>
            <w:r>
              <w:rPr>
                <w:rFonts w:ascii="Arial" w:cs="Arial" w:eastAsia="Arial" w:hAnsi="Arial"/>
                <w:sz w:val="14"/>
                <w:szCs w:val="14"/>
                <w:color w:val="auto"/>
                <w:w w:val="92"/>
              </w:rPr>
              <w:t>Outstanding</w:t>
            </w: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4"/>
              </w:rPr>
              <w:t>(Excluding Securities</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color w:val="auto"/>
                <w:w w:val="91"/>
              </w:rPr>
              <w:t>Options,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tcPr>
          <w:p>
            <w:pPr>
              <w:jc w:val="center"/>
              <w:ind w:right="400"/>
              <w:spacing w:after="0" w:line="135" w:lineRule="exact"/>
              <w:rPr>
                <w:sz w:val="20"/>
                <w:szCs w:val="20"/>
                <w:color w:val="auto"/>
              </w:rPr>
            </w:pPr>
            <w:r>
              <w:rPr>
                <w:rFonts w:ascii="Arial" w:cs="Arial" w:eastAsia="Arial" w:hAnsi="Arial"/>
                <w:sz w:val="14"/>
                <w:szCs w:val="14"/>
                <w:color w:val="auto"/>
                <w:w w:val="95"/>
              </w:rPr>
              <w:t>Options,</w:t>
            </w: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1"/>
              </w:rPr>
              <w:t>Reflected</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color w:val="auto"/>
                <w:w w:val="90"/>
              </w:rPr>
              <w:t>Warrants and Rights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tcPr>
          <w:p>
            <w:pPr>
              <w:jc w:val="center"/>
              <w:ind w:right="420"/>
              <w:spacing w:after="0" w:line="135" w:lineRule="exact"/>
              <w:rPr>
                <w:sz w:val="20"/>
                <w:szCs w:val="20"/>
                <w:color w:val="auto"/>
              </w:rPr>
            </w:pPr>
            <w:r>
              <w:rPr>
                <w:rFonts w:ascii="Arial" w:cs="Arial" w:eastAsia="Arial" w:hAnsi="Arial"/>
                <w:sz w:val="14"/>
                <w:szCs w:val="14"/>
                <w:color w:val="auto"/>
                <w:w w:val="90"/>
              </w:rPr>
              <w:t>Warrants and Rights</w:t>
            </w: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8"/>
              </w:rPr>
              <w:t>in Column</w:t>
            </w: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(b)</w:t>
            </w:r>
          </w:p>
        </w:tc>
        <w:tc>
          <w:tcPr>
            <w:tcW w:w="2180" w:type="dxa"/>
            <w:vAlign w:val="bottom"/>
          </w:tcPr>
          <w:p>
            <w:pPr>
              <w:jc w:val="center"/>
              <w:spacing w:after="0"/>
              <w:rPr>
                <w:sz w:val="20"/>
                <w:szCs w:val="20"/>
                <w:color w:val="auto"/>
              </w:rPr>
            </w:pPr>
            <w:r>
              <w:rPr>
                <w:rFonts w:ascii="Arial" w:cs="Arial" w:eastAsia="Arial" w:hAnsi="Arial"/>
                <w:sz w:val="14"/>
                <w:szCs w:val="14"/>
                <w:color w:val="auto"/>
                <w:w w:val="97"/>
              </w:rPr>
              <w:t>(a))(c)(3)</w:t>
            </w:r>
          </w:p>
        </w:tc>
        <w:tc>
          <w:tcPr>
            <w:tcW w:w="0" w:type="dxa"/>
            <w:vAlign w:val="bottom"/>
          </w:tcPr>
          <w:p>
            <w:pPr>
              <w:spacing w:after="0"/>
              <w:rPr>
                <w:sz w:val="1"/>
                <w:szCs w:val="1"/>
                <w:color w:val="auto"/>
              </w:rPr>
            </w:pPr>
          </w:p>
        </w:tc>
      </w:tr>
      <w:tr>
        <w:trPr>
          <w:trHeight w:val="226"/>
        </w:trPr>
        <w:tc>
          <w:tcPr>
            <w:tcW w:w="444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w w:val="92"/>
              </w:rPr>
              <w:t>Equity Compensation Plans approved by security holders</w:t>
            </w:r>
            <w:r>
              <w:rPr>
                <w:rFonts w:ascii="Arial" w:cs="Arial" w:eastAsia="Arial" w:hAnsi="Arial"/>
                <w:sz w:val="23"/>
                <w:szCs w:val="23"/>
                <w:color w:val="auto"/>
                <w:w w:val="92"/>
                <w:vertAlign w:val="superscript"/>
              </w:rPr>
              <w:t>(1)</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35.46</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409,487</w:t>
            </w:r>
          </w:p>
        </w:tc>
        <w:tc>
          <w:tcPr>
            <w:tcW w:w="0" w:type="dxa"/>
            <w:vAlign w:val="bottom"/>
          </w:tcPr>
          <w:p>
            <w:pPr>
              <w:spacing w:after="0"/>
              <w:rPr>
                <w:sz w:val="1"/>
                <w:szCs w:val="1"/>
                <w:color w:val="auto"/>
              </w:rPr>
            </w:pPr>
          </w:p>
        </w:tc>
      </w:tr>
      <w:tr>
        <w:trPr>
          <w:trHeight w:val="176"/>
        </w:trPr>
        <w:tc>
          <w:tcPr>
            <w:tcW w:w="4440" w:type="dxa"/>
            <w:vAlign w:val="bottom"/>
          </w:tcPr>
          <w:p>
            <w:pPr>
              <w:ind w:left="20"/>
              <w:spacing w:after="0" w:line="176" w:lineRule="exact"/>
              <w:rPr>
                <w:sz w:val="20"/>
                <w:szCs w:val="20"/>
                <w:color w:val="auto"/>
              </w:rPr>
            </w:pPr>
            <w:r>
              <w:rPr>
                <w:rFonts w:ascii="Arial" w:cs="Arial" w:eastAsia="Arial" w:hAnsi="Arial"/>
                <w:sz w:val="18"/>
                <w:szCs w:val="18"/>
                <w:color w:val="auto"/>
              </w:rPr>
              <w:t>Employee stock purchase plan approved by security</w:t>
            </w: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666,194</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holders</w:t>
            </w:r>
            <w:r>
              <w:rPr>
                <w:rFonts w:ascii="Arial" w:cs="Arial" w:eastAsia="Arial" w:hAnsi="Arial"/>
                <w:sz w:val="23"/>
                <w:szCs w:val="23"/>
                <w:color w:val="auto"/>
                <w:vertAlign w:val="superscript"/>
              </w:rPr>
              <w:t>(2)</w:t>
            </w:r>
          </w:p>
        </w:tc>
        <w:tc>
          <w:tcPr>
            <w:tcW w:w="2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 not approved by security</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gridSpan w:val="2"/>
            <w:vMerge w:val="continue"/>
            <w:shd w:val="clear" w:color="auto" w:fill="CCEEFF"/>
          </w:tcPr>
          <w:p>
            <w:pPr>
              <w:spacing w:after="0"/>
              <w:rPr>
                <w:sz w:val="19"/>
                <w:szCs w:val="19"/>
                <w:color w:val="auto"/>
              </w:rPr>
            </w:pPr>
          </w:p>
        </w:tc>
        <w:tc>
          <w:tcPr>
            <w:tcW w:w="2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6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1,075,681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80" w:right="80" w:hanging="329"/>
        <w:spacing w:after="0" w:line="268" w:lineRule="auto"/>
        <w:tabs>
          <w:tab w:leader="none" w:pos="574"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Consists of the 2020 Stock Incentive Plan (“2020 Plan”) and the 2013 Stock Incentive Plan, as Amended (“2013 Plan”), although the remaining shares available under the 2013 Plan as of May 6, 2020 were folded into the 2020 Plan plus any shares of common stock subject to outstanding awards under the 2013 Plan on or after May 6, 2020 that are forfeited, terminated, expire, or otherwise lapse without being exercised (to the extent applicable). The number of securities to be issued consists of 380,143 for stock options, 165,907 for restricted stock units and 288,954 for performance stock units at target. The weighted average exercise price applies only to the stock options.</w:t>
      </w:r>
    </w:p>
    <w:p>
      <w:pPr>
        <w:spacing w:after="0" w:line="2" w:lineRule="exact"/>
        <w:rPr>
          <w:rFonts w:ascii="Arial" w:cs="Arial" w:eastAsia="Arial" w:hAnsi="Arial"/>
          <w:sz w:val="17"/>
          <w:szCs w:val="17"/>
          <w:color w:val="auto"/>
        </w:rPr>
      </w:pPr>
    </w:p>
    <w:p>
      <w:pPr>
        <w:ind w:left="580" w:hanging="329"/>
        <w:spacing w:after="0" w:line="250" w:lineRule="auto"/>
        <w:tabs>
          <w:tab w:leader="none" w:pos="5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2018 Employee Stock Purchase Plan enables employees to purchase our common stock at a 15% discount to the lower of the market value at the beginning or end of each six month offering period. As such, the number of shares that may be issued during a given six month period and the purchase price of such shares cannot be determined in advance. See Note 10 to our consolidated financial statements included in Part IV, Item 15(a) of this Annual Report on Form 10-K.</w:t>
      </w:r>
    </w:p>
    <w:p>
      <w:pPr>
        <w:spacing w:after="0" w:line="1" w:lineRule="exact"/>
        <w:rPr>
          <w:rFonts w:ascii="Arial" w:cs="Arial" w:eastAsia="Arial" w:hAnsi="Arial"/>
          <w:sz w:val="18"/>
          <w:szCs w:val="18"/>
          <w:color w:val="auto"/>
        </w:rPr>
      </w:pPr>
    </w:p>
    <w:p>
      <w:pPr>
        <w:ind w:left="580" w:right="60" w:hanging="329"/>
        <w:spacing w:after="0" w:line="273" w:lineRule="auto"/>
        <w:tabs>
          <w:tab w:leader="none" w:pos="57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Awards are not restricted to any specified form or structure and may include, without limitation, sales or bonuses of stock, restricted stock, stock options, reload stock options, stock purchase warrants, other rights to acquire stock, securities convertible into or redeemable for stock, stock appreciation rights, limited stock appreciation rights, phantom stock, dividend equivalents, performance units or performance shares, and an award may consist of one such security or benefit, or two or more of them in tandem or in alternative.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under the caption “Certain Relationships and Related Transactions” in the 2021 Proxy Statement is incorporated herein by reference.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under the caption “Principal Accountant Fees and Services” contained in the 2021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54" w:lineRule="exact"/>
        <w:rPr>
          <w:sz w:val="20"/>
          <w:szCs w:val="20"/>
          <w:color w:val="auto"/>
        </w:rPr>
      </w:pPr>
    </w:p>
    <w:p>
      <w:pPr>
        <w:ind w:left="760" w:hanging="73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Financial Statements</w:t>
      </w:r>
    </w:p>
    <w:p>
      <w:pPr>
        <w:spacing w:after="0" w:line="76" w:lineRule="exact"/>
        <w:rPr>
          <w:rFonts w:ascii="Arial" w:cs="Arial" w:eastAsia="Arial" w:hAnsi="Arial"/>
          <w:sz w:val="18"/>
          <w:szCs w:val="18"/>
          <w:color w:val="auto"/>
        </w:rPr>
      </w:pPr>
    </w:p>
    <w:p>
      <w:pPr>
        <w:ind w:left="760" w:right="380"/>
        <w:spacing w:after="0" w:line="235" w:lineRule="auto"/>
        <w:rPr>
          <w:rFonts w:ascii="Arial" w:cs="Arial" w:eastAsia="Arial" w:hAnsi="Arial"/>
          <w:sz w:val="18"/>
          <w:szCs w:val="18"/>
          <w:color w:val="auto"/>
        </w:rPr>
      </w:pPr>
      <w:r>
        <w:rPr>
          <w:rFonts w:ascii="Arial" w:cs="Arial" w:eastAsia="Arial" w:hAnsi="Arial"/>
          <w:sz w:val="18"/>
          <w:szCs w:val="18"/>
          <w:color w:val="auto"/>
        </w:rPr>
        <w:t>The following consolidated financial statements of Ducommun Incorporated and subsidiaries, are incorporated by reference in Item 8 of this report.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00" w:type="dxa"/>
            <w:vAlign w:val="bottom"/>
            <w:gridSpan w:val="2"/>
          </w:tcPr>
          <w:p>
            <w:pPr>
              <w:ind w:left="660"/>
              <w:spacing w:after="0"/>
              <w:rPr>
                <w:sz w:val="20"/>
                <w:szCs w:val="20"/>
                <w:color w:val="auto"/>
              </w:rPr>
            </w:pPr>
            <w:r>
              <w:rPr>
                <w:rFonts w:ascii="Arial" w:cs="Arial" w:eastAsia="Arial" w:hAnsi="Arial"/>
                <w:sz w:val="14"/>
                <w:szCs w:val="14"/>
                <w:color w:val="auto"/>
              </w:rPr>
              <w:t>Page</w:t>
            </w:r>
          </w:p>
        </w:tc>
      </w:tr>
      <w:tr>
        <w:trPr>
          <w:trHeight w:val="269"/>
        </w:trPr>
        <w:tc>
          <w:tcPr>
            <w:tcW w:w="9640" w:type="dxa"/>
            <w:vAlign w:val="bottom"/>
            <w:gridSpan w:val="6"/>
          </w:tcPr>
          <w:p>
            <w:pPr>
              <w:ind w:left="76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Report of Independent Registered Public Accounting Firm</w:t>
              </w:r>
            </w:hyperlink>
          </w:p>
        </w:tc>
        <w:tc>
          <w:tcPr>
            <w:tcW w:w="1580" w:type="dxa"/>
            <w:vAlign w:val="bottom"/>
            <w:tcBorders>
              <w:top w:val="single" w:sz="8" w:color="auto"/>
            </w:tcBorders>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c>
          <w:tcPr>
            <w:tcW w:w="20" w:type="dxa"/>
            <w:vAlign w:val="bottom"/>
          </w:tcPr>
          <w:p>
            <w:pPr>
              <w:spacing w:after="0"/>
              <w:rPr>
                <w:sz w:val="23"/>
                <w:szCs w:val="23"/>
                <w:color w:val="auto"/>
              </w:rPr>
            </w:pPr>
          </w:p>
        </w:tc>
      </w:tr>
      <w:tr>
        <w:trPr>
          <w:trHeight w:val="243"/>
        </w:trPr>
        <w:tc>
          <w:tcPr>
            <w:tcW w:w="9640" w:type="dxa"/>
            <w:vAlign w:val="bottom"/>
            <w:gridSpan w:val="6"/>
          </w:tcPr>
          <w:p>
            <w:pPr>
              <w:ind w:left="760"/>
              <w:spacing w:after="0"/>
              <w:rPr>
                <w:rFonts w:ascii="Arial" w:cs="Arial" w:eastAsia="Arial" w:hAnsi="Arial"/>
                <w:sz w:val="18"/>
                <w:szCs w:val="18"/>
                <w:color w:val="0000FF"/>
              </w:rPr>
            </w:pPr>
            <w:hyperlink w:anchor="page43">
              <w:r>
                <w:rPr>
                  <w:rFonts w:ascii="Arial" w:cs="Arial" w:eastAsia="Arial" w:hAnsi="Arial"/>
                  <w:sz w:val="18"/>
                  <w:szCs w:val="18"/>
                  <w:u w:val="single" w:color="auto"/>
                  <w:color w:val="0000FF"/>
                </w:rPr>
                <w:t>Consolidated Balance Sheets - December 31,</w:t>
              </w:r>
              <w:r>
                <w:rPr>
                  <w:rFonts w:ascii="Arial" w:cs="Arial" w:eastAsia="Arial" w:hAnsi="Arial"/>
                  <w:sz w:val="18"/>
                  <w:szCs w:val="18"/>
                  <w:color w:val="0000FF"/>
                </w:rPr>
                <w:t xml:space="preserve"> 2020 and 20</w:t>
              </w:r>
              <w:r>
                <w:rPr>
                  <w:rFonts w:ascii="Arial" w:cs="Arial" w:eastAsia="Arial" w:hAnsi="Arial"/>
                  <w:sz w:val="18"/>
                  <w:szCs w:val="18"/>
                  <w:u w:val="single" w:color="auto"/>
                  <w:color w:val="0000FF"/>
                </w:rPr>
                <w:t>19</w:t>
              </w:r>
            </w:hyperlink>
          </w:p>
        </w:tc>
        <w:tc>
          <w:tcPr>
            <w:tcW w:w="158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c>
          <w:tcPr>
            <w:tcW w:w="20" w:type="dxa"/>
            <w:vAlign w:val="bottom"/>
          </w:tcPr>
          <w:p>
            <w:pPr>
              <w:spacing w:after="0"/>
              <w:rPr>
                <w:sz w:val="21"/>
                <w:szCs w:val="21"/>
                <w:color w:val="auto"/>
              </w:rPr>
            </w:pPr>
          </w:p>
        </w:tc>
      </w:tr>
      <w:tr>
        <w:trPr>
          <w:trHeight w:val="20"/>
        </w:trPr>
        <w:tc>
          <w:tcPr>
            <w:tcW w:w="17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640" w:type="dxa"/>
            <w:vAlign w:val="bottom"/>
            <w:gridSpan w:val="6"/>
          </w:tcPr>
          <w:p>
            <w:pPr>
              <w:ind w:left="76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Consolidated Statements of Income - Years Ended December 31, 2020, 2019, and 2018</w:t>
              </w:r>
            </w:hyperlink>
          </w:p>
        </w:tc>
        <w:tc>
          <w:tcPr>
            <w:tcW w:w="158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44</w:t>
              </w:r>
            </w:hyperlink>
          </w:p>
        </w:tc>
        <w:tc>
          <w:tcPr>
            <w:tcW w:w="20" w:type="dxa"/>
            <w:vAlign w:val="bottom"/>
          </w:tcPr>
          <w:p>
            <w:pPr>
              <w:spacing w:after="0"/>
              <w:rPr>
                <w:sz w:val="24"/>
                <w:szCs w:val="24"/>
                <w:color w:val="auto"/>
              </w:rPr>
            </w:pPr>
          </w:p>
        </w:tc>
      </w:tr>
      <w:tr>
        <w:trPr>
          <w:trHeight w:val="283"/>
        </w:trPr>
        <w:tc>
          <w:tcPr>
            <w:tcW w:w="9640" w:type="dxa"/>
            <w:vAlign w:val="bottom"/>
            <w:gridSpan w:val="6"/>
          </w:tcPr>
          <w:p>
            <w:pPr>
              <w:ind w:left="76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Consolidated Statements of Comprehensive Income - Years Ended December 31, 2020, 2019, and 2018</w:t>
              </w:r>
            </w:hyperlink>
          </w:p>
        </w:tc>
        <w:tc>
          <w:tcPr>
            <w:tcW w:w="158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c>
          <w:tcPr>
            <w:tcW w:w="20" w:type="dxa"/>
            <w:vAlign w:val="bottom"/>
          </w:tcPr>
          <w:p>
            <w:pPr>
              <w:spacing w:after="0"/>
              <w:rPr>
                <w:sz w:val="24"/>
                <w:szCs w:val="24"/>
                <w:color w:val="auto"/>
              </w:rPr>
            </w:pPr>
          </w:p>
        </w:tc>
      </w:tr>
      <w:tr>
        <w:trPr>
          <w:trHeight w:val="283"/>
        </w:trPr>
        <w:tc>
          <w:tcPr>
            <w:tcW w:w="9640" w:type="dxa"/>
            <w:vAlign w:val="bottom"/>
            <w:gridSpan w:val="6"/>
          </w:tcPr>
          <w:p>
            <w:pPr>
              <w:ind w:left="760"/>
              <w:spacing w:after="0"/>
              <w:rPr>
                <w:rFonts w:ascii="Arial" w:cs="Arial" w:eastAsia="Arial" w:hAnsi="Arial"/>
                <w:sz w:val="18"/>
                <w:szCs w:val="18"/>
                <w:u w:val="single" w:color="auto"/>
                <w:color w:val="0000FF"/>
                <w:w w:val="97"/>
              </w:rPr>
            </w:pPr>
            <w:hyperlink w:anchor="page46">
              <w:r>
                <w:rPr>
                  <w:rFonts w:ascii="Arial" w:cs="Arial" w:eastAsia="Arial" w:hAnsi="Arial"/>
                  <w:sz w:val="18"/>
                  <w:szCs w:val="18"/>
                  <w:u w:val="single" w:color="auto"/>
                  <w:color w:val="0000FF"/>
                  <w:w w:val="97"/>
                </w:rPr>
                <w:t>Consolidated Statements of Changes in Shareholders’ Equity - Years Ended December 31, 2020, 2019, and 2018</w:t>
              </w:r>
            </w:hyperlink>
          </w:p>
        </w:tc>
        <w:tc>
          <w:tcPr>
            <w:tcW w:w="15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c>
          <w:tcPr>
            <w:tcW w:w="20" w:type="dxa"/>
            <w:vAlign w:val="bottom"/>
          </w:tcPr>
          <w:p>
            <w:pPr>
              <w:spacing w:after="0"/>
              <w:rPr>
                <w:sz w:val="24"/>
                <w:szCs w:val="24"/>
                <w:color w:val="auto"/>
              </w:rPr>
            </w:pPr>
          </w:p>
        </w:tc>
      </w:tr>
      <w:tr>
        <w:trPr>
          <w:trHeight w:val="283"/>
        </w:trPr>
        <w:tc>
          <w:tcPr>
            <w:tcW w:w="9640" w:type="dxa"/>
            <w:vAlign w:val="bottom"/>
            <w:gridSpan w:val="6"/>
          </w:tcPr>
          <w:p>
            <w:pPr>
              <w:ind w:left="7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Consolidated Statements of Cash Flows - Years Ended December 31, 2020, 2019, and 2018</w:t>
              </w:r>
            </w:hyperlink>
          </w:p>
        </w:tc>
        <w:tc>
          <w:tcPr>
            <w:tcW w:w="158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47</w:t>
              </w:r>
            </w:hyperlink>
          </w:p>
        </w:tc>
        <w:tc>
          <w:tcPr>
            <w:tcW w:w="20" w:type="dxa"/>
            <w:vAlign w:val="bottom"/>
          </w:tcPr>
          <w:p>
            <w:pPr>
              <w:spacing w:after="0"/>
              <w:rPr>
                <w:sz w:val="24"/>
                <w:szCs w:val="24"/>
                <w:color w:val="auto"/>
              </w:rPr>
            </w:pPr>
          </w:p>
        </w:tc>
      </w:tr>
      <w:tr>
        <w:trPr>
          <w:trHeight w:val="283"/>
        </w:trPr>
        <w:tc>
          <w:tcPr>
            <w:tcW w:w="9640" w:type="dxa"/>
            <w:vAlign w:val="bottom"/>
            <w:gridSpan w:val="6"/>
          </w:tcPr>
          <w:p>
            <w:pPr>
              <w:ind w:left="7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Notes to Consolidated Financial Statements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c>
          <w:tcPr>
            <w:tcW w:w="20" w:type="dxa"/>
            <w:vAlign w:val="bottom"/>
          </w:tcPr>
          <w:p>
            <w:pPr>
              <w:spacing w:after="0"/>
              <w:rPr>
                <w:sz w:val="24"/>
                <w:szCs w:val="24"/>
                <w:color w:val="auto"/>
              </w:rPr>
            </w:pPr>
          </w:p>
        </w:tc>
      </w:tr>
      <w:tr>
        <w:trPr>
          <w:trHeight w:val="243"/>
        </w:trPr>
        <w:tc>
          <w:tcPr>
            <w:tcW w:w="1160" w:type="dxa"/>
            <w:vAlign w:val="bottom"/>
          </w:tcPr>
          <w:p>
            <w:pPr>
              <w:ind w:left="760"/>
              <w:spacing w:after="0"/>
              <w:rPr>
                <w:sz w:val="20"/>
                <w:szCs w:val="20"/>
                <w:color w:val="auto"/>
              </w:rPr>
            </w:pPr>
            <w:r>
              <w:rPr>
                <w:rFonts w:ascii="Arial" w:cs="Arial" w:eastAsia="Arial" w:hAnsi="Arial"/>
                <w:sz w:val="18"/>
                <w:szCs w:val="18"/>
                <w:color w:val="auto"/>
              </w:rPr>
              <w:t>2.</w:t>
            </w: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Financial Statement Schedule</w:t>
            </w:r>
          </w:p>
        </w:tc>
        <w:tc>
          <w:tcPr>
            <w:tcW w:w="6340" w:type="dxa"/>
            <w:vAlign w:val="bottom"/>
            <w:gridSpan w:val="3"/>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4"/>
        </w:trPr>
        <w:tc>
          <w:tcPr>
            <w:tcW w:w="9640" w:type="dxa"/>
            <w:vAlign w:val="bottom"/>
            <w:gridSpan w:val="6"/>
          </w:tcPr>
          <w:p>
            <w:pPr>
              <w:ind w:left="760"/>
              <w:spacing w:after="0"/>
              <w:rPr>
                <w:sz w:val="20"/>
                <w:szCs w:val="20"/>
                <w:color w:val="auto"/>
              </w:rPr>
            </w:pPr>
            <w:r>
              <w:rPr>
                <w:rFonts w:ascii="Arial" w:cs="Arial" w:eastAsia="Arial" w:hAnsi="Arial"/>
                <w:sz w:val="18"/>
                <w:szCs w:val="18"/>
                <w:color w:val="auto"/>
              </w:rPr>
              <w:t>The following schedule for the years ended December 31, 2020, 2019 and 2018 is filed herewith:</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9640" w:type="dxa"/>
            <w:vAlign w:val="bottom"/>
            <w:gridSpan w:val="6"/>
          </w:tcPr>
          <w:p>
            <w:pPr>
              <w:ind w:left="760"/>
              <w:spacing w:after="0"/>
              <w:rPr>
                <w:sz w:val="20"/>
                <w:szCs w:val="20"/>
                <w:color w:val="auto"/>
              </w:rPr>
            </w:pPr>
            <w:r>
              <w:rPr>
                <w:rFonts w:ascii="Arial" w:cs="Arial" w:eastAsia="Arial" w:hAnsi="Arial"/>
                <w:sz w:val="18"/>
                <w:szCs w:val="18"/>
                <w:color w:val="auto"/>
              </w:rPr>
              <w:t>Schedule II - Consolidated Valuation and Qualifying Accounts</w:t>
            </w:r>
          </w:p>
        </w:tc>
        <w:tc>
          <w:tcPr>
            <w:tcW w:w="158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c>
          <w:tcPr>
            <w:tcW w:w="20" w:type="dxa"/>
            <w:vAlign w:val="bottom"/>
          </w:tcPr>
          <w:p>
            <w:pPr>
              <w:spacing w:after="0"/>
              <w:rPr>
                <w:sz w:val="24"/>
                <w:szCs w:val="24"/>
                <w:color w:val="auto"/>
              </w:rPr>
            </w:pPr>
          </w:p>
        </w:tc>
      </w:tr>
      <w:tr>
        <w:trPr>
          <w:trHeight w:val="229"/>
        </w:trPr>
        <w:tc>
          <w:tcPr>
            <w:tcW w:w="9640" w:type="dxa"/>
            <w:vAlign w:val="bottom"/>
            <w:gridSpan w:val="6"/>
          </w:tcPr>
          <w:p>
            <w:pPr>
              <w:ind w:left="760"/>
              <w:spacing w:after="0"/>
              <w:rPr>
                <w:sz w:val="20"/>
                <w:szCs w:val="20"/>
                <w:color w:val="auto"/>
              </w:rPr>
            </w:pPr>
            <w:r>
              <w:rPr>
                <w:rFonts w:ascii="Arial" w:cs="Arial" w:eastAsia="Arial" w:hAnsi="Arial"/>
                <w:sz w:val="18"/>
                <w:szCs w:val="18"/>
                <w:color w:val="auto"/>
                <w:w w:val="90"/>
              </w:rPr>
              <w:t>All other schedules have been omitted because they are not applicable, not required, or the information has been otherwise</w:t>
            </w: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640" w:type="dxa"/>
            <w:vAlign w:val="bottom"/>
            <w:gridSpan w:val="6"/>
          </w:tcPr>
          <w:p>
            <w:pPr>
              <w:ind w:left="760"/>
              <w:spacing w:after="0"/>
              <w:rPr>
                <w:sz w:val="20"/>
                <w:szCs w:val="20"/>
                <w:color w:val="auto"/>
              </w:rPr>
            </w:pPr>
            <w:r>
              <w:rPr>
                <w:rFonts w:ascii="Arial" w:cs="Arial" w:eastAsia="Arial" w:hAnsi="Arial"/>
                <w:sz w:val="18"/>
                <w:szCs w:val="18"/>
                <w:color w:val="auto"/>
              </w:rPr>
              <w:t>supplied in the financial statements or notes thereto.</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1160" w:type="dxa"/>
            <w:vAlign w:val="bottom"/>
          </w:tcPr>
          <w:p>
            <w:pPr>
              <w:ind w:left="760"/>
              <w:spacing w:after="0"/>
              <w:rPr>
                <w:sz w:val="20"/>
                <w:szCs w:val="20"/>
                <w:color w:val="auto"/>
              </w:rPr>
            </w:pPr>
            <w:r>
              <w:rPr>
                <w:rFonts w:ascii="Arial" w:cs="Arial" w:eastAsia="Arial" w:hAnsi="Arial"/>
                <w:sz w:val="18"/>
                <w:szCs w:val="18"/>
                <w:color w:val="auto"/>
              </w:rPr>
              <w:t>3.</w:t>
            </w: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7880" w:type="dxa"/>
            <w:vAlign w:val="bottom"/>
            <w:gridSpan w:val="4"/>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4"/>
        </w:trPr>
        <w:tc>
          <w:tcPr>
            <w:tcW w:w="9640" w:type="dxa"/>
            <w:vAlign w:val="bottom"/>
            <w:gridSpan w:val="6"/>
          </w:tcPr>
          <w:p>
            <w:pPr>
              <w:ind w:left="20"/>
              <w:spacing w:after="0"/>
              <w:rPr>
                <w:sz w:val="20"/>
                <w:szCs w:val="20"/>
                <w:color w:val="auto"/>
              </w:rPr>
            </w:pPr>
            <w:r>
              <w:rPr>
                <w:rFonts w:ascii="Arial" w:cs="Arial" w:eastAsia="Arial" w:hAnsi="Arial"/>
                <w:sz w:val="18"/>
                <w:szCs w:val="18"/>
                <w:color w:val="auto"/>
              </w:rPr>
              <w:t>See Item 15(b) for a list of exhibits.</w:t>
            </w: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985"/>
        </w:trPr>
        <w:tc>
          <w:tcPr>
            <w:tcW w:w="9640" w:type="dxa"/>
            <w:vAlign w:val="bottom"/>
            <w:gridSpan w:val="6"/>
          </w:tcPr>
          <w:p>
            <w:pPr>
              <w:ind w:left="40"/>
              <w:spacing w:after="0"/>
              <w:rPr>
                <w:sz w:val="20"/>
                <w:szCs w:val="20"/>
                <w:color w:val="auto"/>
              </w:rPr>
            </w:pPr>
            <w:r>
              <w:rPr>
                <w:rFonts w:ascii="Arial" w:cs="Arial" w:eastAsia="Arial" w:hAnsi="Arial"/>
                <w:sz w:val="18"/>
                <w:szCs w:val="18"/>
                <w:b w:val="1"/>
                <w:bCs w:val="1"/>
                <w:color w:val="auto"/>
              </w:rPr>
              <w:t>ITEM 16. FORM 10-K SUMMARY</w:t>
            </w:r>
          </w:p>
        </w:tc>
        <w:tc>
          <w:tcPr>
            <w:tcW w:w="1600" w:type="dxa"/>
            <w:vAlign w:val="bottom"/>
            <w:gridSpan w:val="2"/>
          </w:tcPr>
          <w:p>
            <w:pPr>
              <w:ind w:left="1340"/>
              <w:spacing w:after="0"/>
              <w:rPr>
                <w:sz w:val="20"/>
                <w:szCs w:val="20"/>
                <w:color w:val="auto"/>
              </w:rPr>
            </w:pPr>
            <w:r>
              <w:rPr>
                <w:rFonts w:ascii="Arial" w:cs="Arial" w:eastAsia="Arial" w:hAnsi="Arial"/>
                <w:sz w:val="18"/>
                <w:szCs w:val="18"/>
                <w:color w:val="auto"/>
              </w:rPr>
              <w:t>—</w:t>
            </w:r>
          </w:p>
        </w:tc>
      </w:tr>
      <w:tr>
        <w:trPr>
          <w:trHeight w:val="770"/>
        </w:trPr>
        <w:tc>
          <w:tcPr>
            <w:tcW w:w="1160" w:type="dxa"/>
            <w:vAlign w:val="bottom"/>
          </w:tcPr>
          <w:p>
            <w:pPr>
              <w:ind w:left="60"/>
              <w:spacing w:after="0"/>
              <w:rPr>
                <w:sz w:val="20"/>
                <w:szCs w:val="20"/>
                <w:color w:val="auto"/>
              </w:rPr>
            </w:pPr>
            <w:r>
              <w:rPr>
                <w:rFonts w:ascii="Arial" w:cs="Arial" w:eastAsia="Arial" w:hAnsi="Arial"/>
                <w:sz w:val="18"/>
                <w:szCs w:val="18"/>
                <w:color w:val="auto"/>
              </w:rPr>
              <w:t>Signatures</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1120"/>
        </w:trPr>
        <w:tc>
          <w:tcPr>
            <w:tcW w:w="1160" w:type="dxa"/>
            <w:vAlign w:val="bottom"/>
          </w:tcPr>
          <w:p>
            <w:pPr>
              <w:spacing w:after="0"/>
              <w:rPr>
                <w:sz w:val="24"/>
                <w:szCs w:val="24"/>
                <w:color w:val="auto"/>
              </w:rPr>
            </w:pPr>
          </w:p>
        </w:tc>
        <w:tc>
          <w:tcPr>
            <w:tcW w:w="8480" w:type="dxa"/>
            <w:vAlign w:val="bottom"/>
            <w:gridSpan w:val="5"/>
          </w:tcPr>
          <w:p>
            <w:pPr>
              <w:jc w:val="right"/>
              <w:ind w:right="3920"/>
              <w:spacing w:after="0"/>
              <w:rPr>
                <w:sz w:val="20"/>
                <w:szCs w:val="20"/>
                <w:color w:val="auto"/>
              </w:rPr>
            </w:pPr>
            <w:r>
              <w:rPr>
                <w:rFonts w:ascii="Arial" w:cs="Arial" w:eastAsia="Arial" w:hAnsi="Arial"/>
                <w:sz w:val="18"/>
                <w:szCs w:val="18"/>
                <w:color w:val="auto"/>
              </w:rPr>
              <w:t>40</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Ducommun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Ducommun Incorporated and its subsidiaries (the “Company”) as of December 31, 2020 and 2019, and the related consolidated statements of income, of comprehensive income, of changes in shareholders’ equity and of cash flows for each of the three years in the period ended December 31, 2020, including the related notes and financial statement schedule listed in the index appearing under Item 15(a)2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3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 and the manner in which it accounts for revenues from contracts with customers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Structural Systems Reporting Unit</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described in Notes 1 and 6 to the consolidated financial statements, the Company’s consolidated goodwill balance was $171 million as of December 31, 2020, and the goodwill associated with the Structural Systems reporting unit was $53 million. Goodwill is evaluated for impairment on an annual basis on the first day of the fourth fiscal quarter. If certain factors occur, management may be required to perform an interim impairment test. Potential impairment is identified by comparing the fair value of a reporting unit to its carrying value, including goodwill. Fair value is estimated by management using a combination of the income approach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management’s best estimate of future revenues, gross margins, and adjusted after-tax earnings. The market approach also requires significant management judgment in selecting comparable business acquisitions and the transaction values observed and its related control premiums.</w:t>
      </w:r>
    </w:p>
    <w:p>
      <w:pPr>
        <w:spacing w:after="0" w:line="14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of the Structural Systems reporting unit is a critical audit matter are (i) the significant judgment by management when estimating the fair value of the reporting unit; (ii) a high degree of auditor judgment, subjectivity, and effort in performing procedures and evaluating management’s significant assumption related to the estimated gross margin; and (iii) the audit effort involved the use of professionals with specialized skill and knowledge.</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Structural Systems reporting unit. These procedures also included, among others (i) testing management’s process for estimating the fair value of the reporting unit; (ii) evaluating the appropriateness of the valuation model; (iii) testing the completeness and accuracy of underlying data used in the model; and (iv) evaluating the significant assumption used by management related to the estimated gross margin. Evaluating management’s assumption related to the estimated gross margin involved evaluating whether the assumption used by management was reasonable considering (i) the current and past performance of the reporting unit; (ii) the consistency with external market and industry data; and (iii) whether the assumption was consistent with evidence obtained in other areas of the audit. Professionals with specialized skill and knowledge were used to assist in the evaluation of the Company’s model.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and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3"/>
          </w:tcPr>
          <w:p>
            <w:pPr>
              <w:jc w:val="right"/>
              <w:ind w:right="110"/>
              <w:spacing w:after="0"/>
              <w:rPr>
                <w:sz w:val="20"/>
                <w:szCs w:val="20"/>
                <w:color w:val="auto"/>
              </w:rPr>
            </w:pPr>
            <w:r>
              <w:rPr>
                <w:rFonts w:ascii="Arial" w:cs="Arial" w:eastAsia="Arial" w:hAnsi="Arial"/>
                <w:sz w:val="14"/>
                <w:szCs w:val="14"/>
                <w:color w:val="auto"/>
              </w:rPr>
              <w:t>December 31,</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39,584</w:t>
            </w:r>
          </w:p>
        </w:tc>
        <w:tc>
          <w:tcPr>
            <w:tcW w:w="0" w:type="dxa"/>
            <w:vAlign w:val="bottom"/>
          </w:tcPr>
          <w:p>
            <w:pPr>
              <w:spacing w:after="0"/>
              <w:rPr>
                <w:sz w:val="1"/>
                <w:szCs w:val="1"/>
                <w:color w:val="auto"/>
              </w:rPr>
            </w:pPr>
          </w:p>
        </w:tc>
      </w:tr>
      <w:tr>
        <w:trPr>
          <w:trHeight w:val="176"/>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96"/>
              </w:rPr>
              <w:t>Accounts receivable (net of allowance for credit losses of $1,552 and $1,321 at December 31,</w:t>
            </w:r>
          </w:p>
        </w:tc>
        <w:tc>
          <w:tcPr>
            <w:tcW w:w="10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58,025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67,133</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2020 and 2019, respectively)</w:t>
            </w:r>
          </w:p>
        </w:tc>
        <w:tc>
          <w:tcPr>
            <w:tcW w:w="10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154,028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106,670</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129,223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112,482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cost of contracts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410,284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109,990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115,216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170,830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170,917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124,744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138,362</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837,347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790,429</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82,597</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14,517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37,620</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142,902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144,690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311,922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300,887</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508,013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497,629</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 (Notes 12, 14)</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 $0.01 par value; 35,000,000 shares authorized; 11,728,212 and 11,572,668 shares</w:t>
            </w:r>
          </w:p>
        </w:tc>
        <w:tc>
          <w:tcPr>
            <w:tcW w:w="10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issued and outstanding at December 31, 2020 and 2019, respectively</w:t>
            </w:r>
          </w:p>
        </w:tc>
        <w:tc>
          <w:tcPr>
            <w:tcW w:w="10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88,399</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241,727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212,553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Shareholders’ Equity</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329,334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292,800</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837,347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790,429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color w:val="auto"/>
                <w:w w:val="96"/>
              </w:rPr>
              <w:t>Years Ended December 31,</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5"/>
        </w:trPr>
        <w:tc>
          <w:tcPr>
            <w:tcW w:w="6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2018</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629,307</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568,891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506,711</w:t>
            </w:r>
          </w:p>
        </w:tc>
      </w:tr>
      <w:tr>
        <w:trPr>
          <w:trHeight w:val="22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122,596</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89,808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95,964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84,007</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14,671</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45,506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56,233</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23,918</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37,763</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10,271</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29,174</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6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Weighted-Average Number of Shares Outstanding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11,659</w:t>
            </w:r>
          </w:p>
        </w:tc>
      </w:tr>
    </w:tbl>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color w:val="auto"/>
                <w:w w:val="94"/>
              </w:rPr>
              <w:t>Years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Adjustments: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40" w:type="dxa"/>
            <w:vAlign w:val="bottom"/>
          </w:tcPr>
          <w:p>
            <w:pPr>
              <w:ind w:left="360"/>
              <w:spacing w:after="0" w:line="176" w:lineRule="exact"/>
              <w:rPr>
                <w:sz w:val="20"/>
                <w:szCs w:val="20"/>
                <w:color w:val="auto"/>
              </w:rPr>
            </w:pPr>
            <w:r>
              <w:rPr>
                <w:rFonts w:ascii="Arial" w:cs="Arial" w:eastAsia="Arial" w:hAnsi="Arial"/>
                <w:sz w:val="18"/>
                <w:szCs w:val="18"/>
                <w:color w:val="auto"/>
                <w:w w:val="93"/>
              </w:rPr>
              <w:t>Amortization of actuarial losses and prior service costs, net of tax of $236, $209,</w:t>
            </w:r>
          </w:p>
        </w:tc>
        <w:tc>
          <w:tcPr>
            <w:tcW w:w="9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rPr>
                <w:sz w:val="20"/>
                <w:szCs w:val="20"/>
                <w:color w:val="auto"/>
              </w:rPr>
            </w:pPr>
            <w:r>
              <w:rPr>
                <w:rFonts w:ascii="Arial" w:cs="Arial" w:eastAsia="Arial" w:hAnsi="Arial"/>
                <w:sz w:val="18"/>
                <w:szCs w:val="18"/>
                <w:color w:val="auto"/>
              </w:rPr>
              <w:t>and $173 for 2020, 2019, and 2018, respectively</w:t>
            </w:r>
          </w:p>
        </w:tc>
        <w:tc>
          <w:tcPr>
            <w:tcW w:w="9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Actuarial losses arising during the period, net of tax benefit of $701, $502, and</w:t>
            </w:r>
          </w:p>
        </w:tc>
        <w:tc>
          <w:tcPr>
            <w:tcW w:w="9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(2,251)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$302 for 2020, 2019, and 2018, respectively</w:t>
            </w:r>
          </w:p>
        </w:tc>
        <w:tc>
          <w:tcPr>
            <w:tcW w:w="9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40" w:type="dxa"/>
            <w:vAlign w:val="bottom"/>
          </w:tcPr>
          <w:p>
            <w:pPr>
              <w:ind w:left="180"/>
              <w:spacing w:after="0" w:line="176" w:lineRule="exact"/>
              <w:rPr>
                <w:sz w:val="20"/>
                <w:szCs w:val="20"/>
                <w:color w:val="auto"/>
              </w:rPr>
            </w:pPr>
            <w:r>
              <w:rPr>
                <w:rFonts w:ascii="Arial" w:cs="Arial" w:eastAsia="Arial" w:hAnsi="Arial"/>
                <w:sz w:val="18"/>
                <w:szCs w:val="18"/>
                <w:color w:val="auto"/>
                <w:w w:val="96"/>
              </w:rPr>
              <w:t>Change in net unrealized gains on cash flow hedges, net of tax of $57, $29, and</w:t>
            </w:r>
          </w:p>
        </w:tc>
        <w:tc>
          <w:tcPr>
            <w:tcW w:w="9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$121 for 2020, 2019, and 2018, respectively</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Income, Net of Tax</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Comprehensive Income, Net of Tax</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27,842</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9,113</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7"/>
              </w:rPr>
              <w:t>Additional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102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5"/>
              </w:rPr>
              <w:t>Shares</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5"/>
              </w:rPr>
              <w:t>Common</w:t>
            </w:r>
          </w:p>
        </w:tc>
        <w:tc>
          <w:tcPr>
            <w:tcW w:w="16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color w:val="auto"/>
              </w:rPr>
              <w:t>Treasury</w:t>
            </w: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w w:val="94"/>
              </w:rPr>
              <w:t>Paid-In</w:t>
            </w: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1"/>
              </w:rPr>
              <w:t>Comprehensive</w:t>
            </w:r>
          </w:p>
        </w:tc>
        <w:tc>
          <w:tcPr>
            <w:tcW w:w="140" w:type="dxa"/>
            <w:vAlign w:val="bottom"/>
          </w:tcPr>
          <w:p>
            <w:pPr>
              <w:spacing w:after="0"/>
              <w:rPr>
                <w:sz w:val="11"/>
                <w:szCs w:val="11"/>
                <w:color w:val="auto"/>
              </w:rPr>
            </w:pPr>
          </w:p>
        </w:tc>
        <w:tc>
          <w:tcPr>
            <w:tcW w:w="1020" w:type="dxa"/>
            <w:vAlign w:val="bottom"/>
          </w:tcPr>
          <w:p>
            <w:pPr>
              <w:jc w:val="center"/>
              <w:ind w:right="52"/>
              <w:spacing w:after="0" w:line="135"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Outstanding</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Stock</w:t>
            </w:r>
          </w:p>
        </w:tc>
        <w:tc>
          <w:tcPr>
            <w:tcW w:w="16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Capital</w:t>
            </w: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Loss</w:t>
            </w:r>
          </w:p>
        </w:tc>
        <w:tc>
          <w:tcPr>
            <w:tcW w:w="140" w:type="dxa"/>
            <w:vAlign w:val="bottom"/>
          </w:tcPr>
          <w:p>
            <w:pPr>
              <w:spacing w:after="0"/>
              <w:rPr>
                <w:sz w:val="16"/>
                <w:szCs w:val="16"/>
                <w:color w:val="auto"/>
              </w:rPr>
            </w:pPr>
          </w:p>
        </w:tc>
        <w:tc>
          <w:tcPr>
            <w:tcW w:w="1020" w:type="dxa"/>
            <w:vAlign w:val="bottom"/>
          </w:tcPr>
          <w:p>
            <w:pPr>
              <w:jc w:val="center"/>
              <w:ind w:right="32"/>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2017</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11,332,841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161,364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235,583</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Other comprehensive loss, net of</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14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w w:val="98"/>
              </w:rPr>
              <w:t>Adoption of ASC 606 adjustment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8,665</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Adoption of ASU 2018-02</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14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84,800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Stock repurchased related to the</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stock options and</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(98,438)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 vested</w:t>
            </w: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300" w:type="dxa"/>
            <w:vAlign w:val="bottom"/>
          </w:tcPr>
          <w:p>
            <w:pPr>
              <w:jc w:val="right"/>
              <w:spacing w:after="0"/>
              <w:rPr>
                <w:sz w:val="20"/>
                <w:szCs w:val="20"/>
                <w:color w:val="auto"/>
              </w:rPr>
            </w:pPr>
            <w:r>
              <w:rPr>
                <w:rFonts w:ascii="Arial" w:cs="Arial" w:eastAsia="Arial" w:hAnsi="Arial"/>
                <w:sz w:val="18"/>
                <w:szCs w:val="18"/>
                <w:color w:val="auto"/>
              </w:rPr>
              <w:t>98,660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11,417,863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83,712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180,356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(7,357)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256,825</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w w:val="95"/>
              </w:rPr>
              <w:t>Other comprehensive income, net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of tax</w:t>
            </w:r>
          </w:p>
        </w:tc>
        <w:tc>
          <w:tcPr>
            <w:tcW w:w="1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Adoption of ASC 842 adjustment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300" w:type="dxa"/>
            <w:vAlign w:val="bottom"/>
          </w:tcPr>
          <w:p>
            <w:pPr>
              <w:jc w:val="right"/>
              <w:spacing w:after="0"/>
              <w:rPr>
                <w:sz w:val="20"/>
                <w:szCs w:val="20"/>
                <w:color w:val="auto"/>
              </w:rPr>
            </w:pPr>
            <w:r>
              <w:rPr>
                <w:rFonts w:ascii="Arial" w:cs="Arial" w:eastAsia="Arial" w:hAnsi="Arial"/>
                <w:sz w:val="18"/>
                <w:szCs w:val="18"/>
                <w:color w:val="auto"/>
              </w:rPr>
              <w:t>26,521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w w:val="99"/>
              </w:rPr>
              <w:t>Stock repurchased related to the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exercise of stock options and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(123,192)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(5,604)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 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11,572,668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212,553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292,800</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29,174</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Other comprehensive loss, net of</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14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300" w:type="dxa"/>
            <w:vAlign w:val="bottom"/>
          </w:tcPr>
          <w:p>
            <w:pPr>
              <w:jc w:val="right"/>
              <w:spacing w:after="0"/>
              <w:rPr>
                <w:sz w:val="20"/>
                <w:szCs w:val="20"/>
                <w:color w:val="auto"/>
              </w:rPr>
            </w:pPr>
            <w:r>
              <w:rPr>
                <w:rFonts w:ascii="Arial" w:cs="Arial" w:eastAsia="Arial" w:hAnsi="Arial"/>
                <w:sz w:val="18"/>
                <w:szCs w:val="18"/>
                <w:color w:val="auto"/>
              </w:rPr>
              <w:t>57,285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w w:val="99"/>
              </w:rPr>
              <w:t>Stock repurchased related to the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exercise of stock options and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(95,411)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 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11,728,212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329,334</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6"/>
          </w:tcPr>
          <w:p>
            <w:pPr>
              <w:spacing w:after="0"/>
              <w:rPr>
                <w:sz w:val="20"/>
                <w:szCs w:val="20"/>
                <w:color w:val="auto"/>
              </w:rPr>
            </w:pPr>
            <w:r>
              <w:rPr>
                <w:rFonts w:ascii="Arial" w:cs="Arial" w:eastAsia="Arial" w:hAnsi="Arial"/>
                <w:sz w:val="14"/>
                <w:szCs w:val="14"/>
                <w:color w:val="auto"/>
                <w:w w:val="90"/>
              </w:rPr>
              <w:t>Years Ended December 31,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5"/>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rPr>
              <w:t>2018</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29,174</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32,461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9,035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25,296</w:t>
            </w: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rPr>
              <w:t>Non-cash operating lease cost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Property and equipment impairment due to restructuring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5,040</w:t>
            </w:r>
          </w:p>
        </w:tc>
      </w:tr>
      <w:tr>
        <w:trPr>
          <w:trHeight w:val="230"/>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loss on extinguishment of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rPr>
              <w:t>Insurance recoveries related to loss on operating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(86,665)</w:t>
            </w:r>
          </w:p>
        </w:tc>
      </w:tr>
      <w:tr>
        <w:trPr>
          <w:trHeight w:val="230"/>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23,243</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Production cost of contracts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(1,569)</w:t>
            </w: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18,496</w:t>
            </w: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Contract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17,145</w:t>
            </w: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r>
      <w:tr>
        <w:trPr>
          <w:trHeight w:val="223"/>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51,031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46,237</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(17,617)</w:t>
            </w: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sale of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rPr>
              <w:t>Insurance recoveries related to property and equipment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Life insurance proceeds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w w:val="95"/>
              </w:rPr>
              <w:t>Payments for acquisition of Certified Thermoplastics Co., LLC, net of cash acquired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(30,712)</w:t>
            </w: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Payments for acquisition of Nobles Worldwide, Inc. net of cash acquired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rPr>
              <w:t>Post closing cash received from the acquisition of Nobles Worldwide, Inc.,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702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(94,934)</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(47,933)</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from senior secured revolving credit facility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296,400</w:t>
            </w: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rPr>
              <w:t>Repayments of senior secured revolving credit facility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(298,400)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(354,500)</w:t>
            </w: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from term loans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rPr>
              <w:t>Repayments of term loans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(167,000)</w:t>
            </w:r>
          </w:p>
        </w:tc>
      </w:tr>
      <w:tr>
        <w:trPr>
          <w:trHeight w:val="230"/>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of other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68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(3,541)</w:t>
            </w:r>
          </w:p>
        </w:tc>
      </w:tr>
      <w:tr>
        <w:trPr>
          <w:trHeight w:val="229"/>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paid upon issuance of common stock under stock plans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23"/>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73,224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56,466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Business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 leading global provider of engineering and manufacturing services for high-performance products and high-cost-of failure applications used primarily in the aerospace and defense (“A&amp;D”), industrial, medical, and other industries (collectively, “Industrial”). Our operations are organized into two primary businesses: Electronic Systems segment and Structural Systems segment,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All reportable operating segments follow the same accounting principles.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0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and include the accounts of Ducommun Incorporated and its subsidiaries (“Ducommun,” the “Company,” “we,” “us” or “our”), after eliminating intercompany balances and transactions.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fiscal quarters typically end on the Saturday closest to the end of March, June and September for the first three fiscal quarters of each year, and ends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adopted Accounting Standards Codification (“ASC”) 842, “Leases” (“ASC 842”), on January 1, 2019.</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applied ASC 842 using the additional transition method and therefore, recognized the cumulative effect of initially applying ASC 842 as an adjustment to the opening consolidated balance sheet at January 1, 2019. Therefore, the comparative information has not been adjusted and continues to be reported under the previous lease accounting standard, ASC 840, “Leases” (“ASC 840”).</w:t>
      </w:r>
    </w:p>
    <w:p>
      <w:pPr>
        <w:spacing w:after="0" w:line="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adopted ASC 606, “Revenue from Contracts with Customers” (“ASC 606”), on January 1, 2018. As a result, we changed our accounting policy for revenue recognition and the majority of our revenues are now recognized over time. The majority of our inventory is now charged to cost of sales as raw materials are placed into production and the related revenue is recognized. Revenues recognized before billing are classified as contract assets. Payments received from customers prior to our billing are classified as contract liabilities. The determination of our provision for estimated losses on contracts was also changed as the definition of a contract for us became the customer purchase order instead of the long-term arrangements and are classified as contract liabilities.</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applied ASC 606 using the modified retrospective method (also known as the cumulative effect method) and as such, recognized the cumulative effect of initially applying ASC 606 as an adjustment to retained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amounts and disclosures included in the consolidated financial statements required management to make estimates and judgments that affect the amount of assets, liabilities (including forward loss reserves),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these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current year’s presentation.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112" w:lineRule="exact"/>
        <w:rPr>
          <w:sz w:val="20"/>
          <w:szCs w:val="20"/>
          <w:color w:val="auto"/>
        </w:rPr>
      </w:pPr>
    </w:p>
    <w:p>
      <w:pPr>
        <w:jc w:val="center"/>
        <w:ind w:left="5160"/>
        <w:spacing w:after="0"/>
        <w:rPr>
          <w:sz w:val="20"/>
          <w:szCs w:val="20"/>
          <w:color w:val="auto"/>
        </w:rPr>
      </w:pPr>
      <w:r>
        <w:rPr>
          <w:rFonts w:ascii="Arial" w:cs="Arial" w:eastAsia="Arial" w:hAnsi="Arial"/>
          <w:sz w:val="14"/>
          <w:szCs w:val="14"/>
          <w:color w:val="auto"/>
        </w:rPr>
        <w:t>(Dollars in thousands)</w:t>
      </w:r>
    </w:p>
    <w:p>
      <w:pPr>
        <w:jc w:val="center"/>
        <w:ind w:left="516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840" w:type="dxa"/>
        <w:tblCellMar>
          <w:top w:w="0" w:type="dxa"/>
          <w:left w:w="0" w:type="dxa"/>
          <w:bottom w:w="0" w:type="dxa"/>
          <w:right w:w="0" w:type="dxa"/>
        </w:tblCellMar>
      </w:tblPr>
      <w:tr>
        <w:trPr>
          <w:trHeight w:val="188"/>
        </w:trPr>
        <w:tc>
          <w:tcPr>
            <w:tcW w:w="5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2019</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2018</w:t>
            </w:r>
          </w:p>
        </w:tc>
      </w:tr>
      <w:tr>
        <w:trPr>
          <w:trHeight w:val="22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11,573</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Taxes paid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3,810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5,699</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Purchases of property and equipment not paid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2,477</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1,380</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824</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5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have money market funds and they are included as cash and cash equivalents. We also had interest rate cap hedge agreements and the fair value of the interest rate cap hedge agreements were determined using pricing models that use observable market inputs as of the balance sheet date, a Level 2 measurement. The interest rate cap hedges matured during the second quarter of 2020 and as such, the premium was zero as of December 31,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financial instruments in either 2020 or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equivalents consist of highly liquid instruments purchased with original maturities of three months or less. These assets are valued at cost, which approximates fair value, which we classify as Level 1. See Fair Value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recognize derivative instruments on our consolidated balance sheets at their fair value. On the date that we enter into a derivative contract, we designate the derivative instrument as a fair value hedge, a cash flow hedge, or a derivative instrument that will not be accounted for using hedge accounting methods. As of December 31, 2020, we had no derivative instruments as our cash flow hedges matured in the second quarter of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10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maintain an allowance for credit losses for expected losses from the inability of customers to make required payments. The allowance for credit losses is evaluated periodically for expected credit losses based on the financial condition of customers and their payment history, the aging of accounts receivable, historical write-off experience and other assumptions, such as current assessment of economic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and the related revenue is recognized.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 and Depreciation</w:t>
      </w:r>
    </w:p>
    <w:p>
      <w:pPr>
        <w:spacing w:after="0" w:line="10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Property and equipment, including assets recorded under operating and finance leases, are recorded at cost. Depreciation and amortization are computed using the straight-line method over the estimated useful lives of the related assets, or the lease term if shorter for leasehold improvements. Repairs and maintenance are charged to expense as incurred. We evaluate long-lived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assets for recoverability considering undiscounted cash flows, when significant changes in conditions occur, and recognize impairment losses if any, based upon the fair value of the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0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 includes consideration of 1) margin of passing most recent annual goodwill impairment test or step one analysis, 2) earnings before interest, taxes, depreciation, and amortization, 3) long-term growth rate, 4) analyzing material adverse factors/changes between valuation dates, 5) general macroeconomic factors, and 6) industry and market conditions.</w:t>
      </w:r>
    </w:p>
    <w:p>
      <w:pPr>
        <w:spacing w:after="0" w:line="5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quantitative approach for potential impairment analysis is performed by comparing the fair value of a reporting unit to its carrying value, including goodwill. Fair value is estimated by management using a combination of the income approach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Changes in any of these assumptions may have a significant impact on the estimated fair value of a reporting unit. The market approach also requires significant management judgment in selecting comparable business acquisitions and the transaction values observed and its related control premiums. In addition, we adopted Accounting Standards Update 2017-04 (“ASU 2017-04”) on January 1, 2019 which simplified our goodwill impairment testing by eliminating step two of the goodwill impairment test.</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the fourth quarter of 2020, the carrying amount of goodwill at the date of the most recent annual impairment evaluation for Electronic Systems and Structural Systems was $117.4 million and $53.4 million, respectively.</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acquired Nobles in October 2019 and recorded goodwill of $34.9 million in our Structural Systems segment, which is also our reporting unit. Since a goodwill impairment analysis is required to be performed within one year of the acquisition date or sooner upon a triggering event, we performed a step one goodwill impairment analysis as of the first day of the fourth quarter of 2020 for our Structural Systems segment. The fair value of our Structural Systems segment exceeded its carrying value by 69% and thus, was not deemed impaired.</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the date of our 2020 annual evaluation for goodwill impairment for the Electronic Systems segment, which is also our reporting unit, we performed a qualitative assessment including 1) margin of passing most recent step one analysis, 2) earnings before interest, taxes, depreciation, and amortization, 3) long-term growth rate, 4) analyzing material adverse factors/changes between valuation dates, 5) general macroeconomic factors, and 6) industry and market conditions. Based upon our qualitative assessment, we concluded that it was more likely than not that the fair value of the reporting unit exceeded its carrying amount and thus, goodwill was not deemed impaired.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 Assets</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amortize acquired other intangible assets with finite lives over the estimated economic lives of the assets, ranging from 10 to 18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Charges</w:t>
      </w:r>
    </w:p>
    <w:p>
      <w:pPr>
        <w:spacing w:after="0" w:line="10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May 2020, management approved and commenced a restructuring plan in the Structural Systems segment mainly to reduce headcount in response to the impact from the COVID-19 pandemic on commercial aerospace demand outlook. We recorded an aggregate total of $2.4 million for severance and benefit costs which were charged to restructuring charges during the year ended December 31, 2020.</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Accumulated Other Comprehensive Loss</w:t>
      </w:r>
    </w:p>
    <w:p>
      <w:pPr>
        <w:spacing w:after="0" w:line="9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Accumulated other comprehensive loss, as reflected on the consolidated balance sheets under the equity section, was comprised of cumulative pension and retirement liability adjustments, net of tax, and change in net unrealized gains and losses on cash flow hedges, net of tax.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0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a significant number of contracts that are started and completed within the same year, as well as contracts derived from long-term agreements and programs that can span several years. We recognize revenue under ASC 606, which utilizes a five-step model.</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significant change in one or more of these estimates could affect the profitability of our contracts, we review and update our contract-related estimates on a regular basis. We recognize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we recognize the total loss in the quarter it is identified.</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adjustments in contract estimates on our operating earnings can be reflected in either operating costs and expenses or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Net cumulative catch-up adjustments on profit recorded were not material for the year ended December 31, 2020.</w:t>
      </w:r>
    </w:p>
    <w:p>
      <w:pPr>
        <w:spacing w:after="0" w:line="9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 contract liability is created for the advance or progress payment.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 As of December 31, 2020 and 2019, provision for estimated losses on contracts were $2.3 million and $4.2 million, respectively.</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December 31, 2020 and 2019, production costs of contracts were $7.0 million and $9.4 million,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0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contract liabilities from revenue contracts with customers are as follows: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4"/>
          </w:tcPr>
          <w:p>
            <w:pPr>
              <w:jc w:val="right"/>
              <w:ind w:right="659"/>
              <w:spacing w:after="0"/>
              <w:rPr>
                <w:sz w:val="20"/>
                <w:szCs w:val="20"/>
                <w:color w:val="auto"/>
              </w:rPr>
            </w:pPr>
            <w:r>
              <w:rPr>
                <w:rFonts w:ascii="Arial" w:cs="Arial" w:eastAsia="Arial" w:hAnsi="Arial"/>
                <w:sz w:val="14"/>
                <w:szCs w:val="14"/>
                <w:color w:val="auto"/>
              </w:rPr>
              <w:t>(Dollars in thousands)</w:t>
            </w:r>
          </w:p>
        </w:tc>
      </w:tr>
      <w:tr>
        <w:trPr>
          <w:trHeight w:val="147"/>
        </w:trPr>
        <w:tc>
          <w:tcPr>
            <w:tcW w:w="8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2"/>
                <w:szCs w:val="12"/>
                <w:color w:val="auto"/>
              </w:rPr>
            </w:pPr>
          </w:p>
        </w:tc>
        <w:tc>
          <w:tcPr>
            <w:tcW w:w="1140" w:type="dxa"/>
            <w:vAlign w:val="bottom"/>
          </w:tcPr>
          <w:p>
            <w:pPr>
              <w:jc w:val="right"/>
              <w:ind w:right="179"/>
              <w:spacing w:after="0" w:line="147" w:lineRule="exact"/>
              <w:rPr>
                <w:sz w:val="20"/>
                <w:szCs w:val="20"/>
                <w:color w:val="auto"/>
              </w:rPr>
            </w:pPr>
            <w:r>
              <w:rPr>
                <w:rFonts w:ascii="Arial" w:cs="Arial" w:eastAsia="Arial" w:hAnsi="Arial"/>
                <w:sz w:val="14"/>
                <w:szCs w:val="14"/>
                <w:color w:val="auto"/>
                <w:w w:val="97"/>
              </w:rPr>
              <w:t>December 31,</w:t>
            </w:r>
          </w:p>
        </w:tc>
      </w:tr>
      <w:tr>
        <w:trPr>
          <w:trHeight w:val="186"/>
        </w:trPr>
        <w:tc>
          <w:tcPr>
            <w:tcW w:w="8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2019</w:t>
            </w:r>
          </w:p>
        </w:tc>
      </w:tr>
      <w:tr>
        <w:trPr>
          <w:trHeight w:val="22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154,028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106,670</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28,264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14,517</w:t>
            </w:r>
          </w:p>
        </w:tc>
      </w:tr>
    </w:tbl>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increase in our contract assets as of December 31, 2020 compared to December 31, 2019 was primarily due to a net increase of products in work in process and finished goods in the current year compared to the prior year.</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increase in our contract liabilities as of December 31, 2020 compared to December 31, 2019 was primarily due to a net increase of advance or progress payments received from our customers in the current year compared to the prior year. We recognized $6.3 million of the contract liabilities as of December 31, 2019 as revenues during the year ended December 31, 2020.</w:t>
      </w:r>
    </w:p>
    <w:p>
      <w:pPr>
        <w:spacing w:after="0" w:line="6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Remaining performance obligations is defined as customer placed purchase orders (“POs”) with firm fixed price and firm delivery dates. Our remaining performance obligations as of December 31, 2020 totaled $779.7 million. We anticipate recognizing an estimated 65% of our remaining performance obligations as revenue during the next 12 months with the remaining performance obligations being recognized in 2022 and beyond.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by Category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revenue categories disclosed above, the following table reflects our revenue disaggregated by major end-use market: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4"/>
                <w:szCs w:val="14"/>
                <w:color w:val="auto"/>
                <w:w w:val="93"/>
              </w:rPr>
              <w:t>(Dollars in thousands)</w:t>
            </w:r>
          </w:p>
        </w:tc>
        <w:tc>
          <w:tcPr>
            <w:tcW w:w="2020" w:type="dxa"/>
            <w:vAlign w:val="bottom"/>
            <w:gridSpan w:val="3"/>
            <w:vMerge w:val="restart"/>
          </w:tcPr>
          <w:p>
            <w:pPr>
              <w:ind w:left="880"/>
              <w:spacing w:after="0"/>
              <w:rPr>
                <w:sz w:val="20"/>
                <w:szCs w:val="20"/>
                <w:color w:val="auto"/>
              </w:rPr>
            </w:pPr>
            <w:r>
              <w:rPr>
                <w:rFonts w:ascii="Arial" w:cs="Arial" w:eastAsia="Arial" w:hAnsi="Arial"/>
                <w:sz w:val="14"/>
                <w:szCs w:val="14"/>
                <w:color w:val="auto"/>
                <w:w w:val="92"/>
              </w:rPr>
              <w:t>% of Net Revenues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4"/>
                <w:szCs w:val="14"/>
                <w:color w:val="auto"/>
                <w:w w:val="90"/>
              </w:rPr>
              <w:t>Years Ended December 31,</w:t>
            </w:r>
          </w:p>
        </w:tc>
        <w:tc>
          <w:tcPr>
            <w:tcW w:w="202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Change</w:t>
            </w: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1380" w:type="dxa"/>
            <w:vAlign w:val="bottom"/>
          </w:tcPr>
          <w:p>
            <w:pPr>
              <w:jc w:val="right"/>
              <w:ind w:right="473"/>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shd w:val="clear" w:color="auto" w:fill="CCEEFF"/>
          </w:tcPr>
          <w:p>
            <w:pPr>
              <w:spacing w:after="0"/>
              <w:rPr>
                <w:sz w:val="17"/>
                <w:szCs w:val="17"/>
                <w:color w:val="auto"/>
              </w:rPr>
            </w:pPr>
          </w:p>
        </w:tc>
        <w:tc>
          <w:tcPr>
            <w:tcW w:w="416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Consolidated Ducommun</w:t>
            </w: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22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99,059</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422,859</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323,800</w:t>
            </w:r>
          </w:p>
        </w:tc>
        <w:tc>
          <w:tcPr>
            <w:tcW w:w="1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67.2 %</w:t>
            </w:r>
          </w:p>
        </w:tc>
        <w:tc>
          <w:tcPr>
            <w:tcW w:w="1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44.9 %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48,785</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721,088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Electronic Systems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Military and space</w:t>
            </w:r>
          </w:p>
        </w:tc>
        <w:tc>
          <w:tcPr>
            <w:tcW w:w="2720" w:type="dxa"/>
            <w:vAlign w:val="bottom"/>
            <w:tcBorders>
              <w:top w:val="single" w:sz="8" w:color="CCEEFF"/>
            </w:tcBorders>
            <w:gridSpan w:val="3"/>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64,431</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308,676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244,245</w:t>
            </w:r>
          </w:p>
        </w:tc>
        <w:tc>
          <w:tcPr>
            <w:tcW w:w="1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78.6 %</w:t>
            </w:r>
          </w:p>
        </w:tc>
        <w:tc>
          <w:tcPr>
            <w:tcW w:w="1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48,785</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360,373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Structural Systems</w:t>
            </w:r>
          </w:p>
        </w:tc>
        <w:tc>
          <w:tcPr>
            <w:tcW w:w="270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34,628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114,183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79,555</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48.3 %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281,160</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51.7 %</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4"/>
          </w:tcPr>
          <w:p>
            <w:pPr>
              <w:ind w:left="6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360,715</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spacing w:after="0" w:line="5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Commitments</w:t>
      </w:r>
    </w:p>
    <w:p>
      <w:pPr>
        <w:spacing w:after="0" w:line="10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the normal course of business, we are defendants in certain litigation, claims and inquiries, including matters relating to environmental laws. In addition, we make various commitments and incur contingent liabilities. Management’s estimates regarding contingent liabilities could differ from actual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Liabilities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Environmental liabilities are recorded when environmental assessments and/or remedial efforts are probable and costs can be reasonably estimated. Generally, the timing of these accruals coincides with the completion of a feasibility study or our commitment to a formal plan of action. Further, we review and update our environmental accruals as circumstances change and/or additional information is obtained that reasonably could be expected to have a meaningful effect on the outcome of a matter or the estimated cost thereof.</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Stock-Based Compensation</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measure and recognize compensation expense for share-based payment transactions to our employees and non-employees at their estimated fair value. The expense is measured at the grant date, based on the calculated fair value of the share-based award, and is recognized over the requisite service period (generally the vesting period of the equity award). The fair value of stock options are determined using the Black-Scholes-Merton (“Black-Scholes”) valuation model, which requires assumptions and judgments regarding stock price volatility, risk-free interest rates, and expected options terms. Management’s estimates could differ from actual results. The fair value of unvested stock awards is determined based on the closing price of the underlying common stock on the date of grant except for market condition awards for which the fair value was based on a Monte Carlo simulation model.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Charitable Contributions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$1.4 million to the Ducommun Foundation during 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0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potentially dilutive shares that could be issued if exercised or converted into common stock in each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net income and weighted-average common shares outstanding used to compute earnings per share were as follows:</w:t>
      </w:r>
    </w:p>
    <w:p>
      <w:pPr>
        <w:spacing w:after="0" w:line="220" w:lineRule="exact"/>
        <w:rPr>
          <w:sz w:val="20"/>
          <w:szCs w:val="20"/>
          <w:color w:val="auto"/>
        </w:rPr>
      </w:pPr>
    </w:p>
    <w:p>
      <w:pPr>
        <w:jc w:val="center"/>
        <w:ind w:left="6040"/>
        <w:spacing w:after="0"/>
        <w:rPr>
          <w:sz w:val="20"/>
          <w:szCs w:val="20"/>
          <w:color w:val="auto"/>
        </w:rPr>
      </w:pPr>
      <w:r>
        <w:rPr>
          <w:rFonts w:ascii="Arial" w:cs="Arial" w:eastAsia="Arial" w:hAnsi="Arial"/>
          <w:sz w:val="14"/>
          <w:szCs w:val="14"/>
          <w:color w:val="auto"/>
        </w:rPr>
        <w:t>(In thousands, except per share data)</w:t>
      </w:r>
    </w:p>
    <w:p>
      <w:pPr>
        <w:jc w:val="center"/>
        <w:ind w:left="604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29,174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potential common shares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weighted-average common shares outstanding</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ind w:right="815"/>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Potentially dilutive stock awards to purchase common stock, as shown below, were excluded from the computation of diluted earnings per share because their inclusion would have been anti-dilutive. However, these shares may be potentially dilutive common shares in the future.</w:t>
      </w:r>
    </w:p>
    <w:p>
      <w:pPr>
        <w:jc w:val="center"/>
        <w:ind w:left="6340"/>
        <w:spacing w:after="0" w:line="220" w:lineRule="auto"/>
        <w:rPr>
          <w:sz w:val="20"/>
          <w:szCs w:val="20"/>
          <w:color w:val="auto"/>
        </w:rPr>
      </w:pPr>
      <w:r>
        <w:rPr>
          <w:rFonts w:ascii="Arial" w:cs="Arial" w:eastAsia="Arial" w:hAnsi="Arial"/>
          <w:sz w:val="14"/>
          <w:szCs w:val="14"/>
          <w:color w:val="auto"/>
        </w:rPr>
        <w:t>(In thousands)</w:t>
      </w:r>
    </w:p>
    <w:p>
      <w:pPr>
        <w:jc w:val="center"/>
        <w:ind w:left="634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gridSpan w:val="2"/>
          </w:tcPr>
          <w:p>
            <w:pPr>
              <w:jc w:val="right"/>
              <w:ind w:right="140"/>
              <w:spacing w:after="0"/>
              <w:rPr>
                <w:sz w:val="20"/>
                <w:szCs w:val="20"/>
                <w:color w:val="auto"/>
              </w:rPr>
            </w:pPr>
            <w:r>
              <w:rPr>
                <w:rFonts w:ascii="Arial" w:cs="Arial" w:eastAsia="Arial" w:hAnsi="Arial"/>
                <w:sz w:val="14"/>
                <w:szCs w:val="14"/>
                <w:color w:val="auto"/>
              </w:rPr>
              <w:t>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Arial" w:cs="Arial" w:eastAsia="Arial" w:hAnsi="Arial"/>
                <w:sz w:val="14"/>
                <w:szCs w:val="14"/>
                <w:color w:val="auto"/>
              </w:rPr>
              <w:t>2018</w:t>
            </w:r>
          </w:p>
        </w:tc>
      </w:tr>
      <w:tr>
        <w:trPr>
          <w:trHeight w:val="22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stock units</w:t>
            </w: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Adopted in 2020</w:t>
      </w:r>
    </w:p>
    <w:p>
      <w:pPr>
        <w:spacing w:after="0" w:line="10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March 2020, the FASB issued ASU 2020-03, “Codification Improvements to Financial Instruments” (“ASU 2020-03”), which provides clarity to, or addresses various specific issues, including modifications of debt instruments. The new guidance was effective upon issuance of this final accounting standards update. The adoption of this standard did not have a material impact on our consolidated financial statements.</w:t>
      </w:r>
    </w:p>
    <w:p>
      <w:pPr>
        <w:spacing w:after="0" w:line="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2020, the FASB issued ASU 2020-02, “Financial Statements - Credit losses (Topic 326) and Leases (Topic 842) - Amendments to SEC Paragraphs Pursuant to SEC Staff Accounting Bulletin No. 119 and Update to SEC Section on Effective Date Relating to Accounting Standards Update No. 2016-02, Leases (Topic 842)” (“ASU 2020-02”), which provides guidance on the measurement and requirements related to credit losses. The new guidance was effective upon issuance of this final accounting standards update. The adoption of this standard did not have a material impact on our consolidated financial statements.</w:t>
      </w:r>
    </w:p>
    <w:p>
      <w:pPr>
        <w:spacing w:after="0" w:line="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April 2019, the FASB issued ASU 2019-04, “Codification Improvements to Topic 326, Financial Instruments - Credit Losses, Topic 815, Derivatives and Hedging, and Topic 825, Financial Statements” (“ASU 2019-04”), which clarify, correct, and improve various aspects of the guidance in ASU 2016-01, ASU 2016-13, and ASU 2017-12. The new guidance is effective for fiscal years beginning after December 15, 2019, including interim periods within those fiscal years, which was our interim period beginning January 1, 2020. The adoption of this standard did not have a material impact on our consolidated financial statements.</w:t>
      </w:r>
    </w:p>
    <w:p>
      <w:pPr>
        <w:spacing w:after="0" w:line="6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March 2019, the FASB issued ASU 2019-01, “Leases (Topic 842): Codification Improvements” (“ASU 2019-01”), which addresses various lessor implementation issues and clarifies that lessees and lessors are exempt from certain interim disclosure requirements associated with the adoption of ASC</w:t>
      </w:r>
    </w:p>
    <w:p>
      <w:pPr>
        <w:ind w:right="160" w:firstLine="8"/>
        <w:spacing w:after="0" w:line="323" w:lineRule="auto"/>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new guidance is effective for fiscal years beginning after December 15, 2019, including interim periods within those fiscal years, which was our interim period beginning January 1, 2020. The adoption of this standard did not have a material impact on our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(“ASU 2018-13”), which should improve the effectiveness of fair value measurement disclosures by removing certain requirements, modifying certain requirements, and adding certain new requirements. The new guidance was effective for fiscal years beginning after December 15, 2019, including interim periods within those fiscal years, which was our interim period beginning January 1, 2020. Early adoption was permitted. The adoption of this standard did not have a material impact on our consolidated financial statements.</w:t>
      </w:r>
    </w:p>
    <w:p>
      <w:pPr>
        <w:spacing w:after="0" w:line="4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(“ASU 2016-13”), which is intended to improve financial reporting by requiring timelier recording of credit losses on loans and other financial instruments held by financial institutions and other organizations. ASU 2016-13 requires the measurement of all expected credit losses for financial assets held at the reporting date based on historical experience, current conditions, and reasonable and supportable forecasts. ASU 2016-13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The new guidance was effective for fiscal years beginning after December 15, 2019, including interim periods within those fiscal years, which was our interim period beginning January 1, 2020. The adoption of this standard did not have a material impact on our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October 2020, the FASB issued ASU 2020-10, “Codification Improvements” (“ASU 2020-10”), which affect a wide variety of Topics in the Accounting Standards Codification (“Codification”). ASU 2020-10, among other things, contains amendments that improve the consistency of the Codification by including all disclosure guidance in the appropriate Disclosure Section (Section 50). Many of the amendments arose as the FASB provided an option to give certain information either on the face of the financial statements or in the notes to financial statements and that option only was included in the Other Presentation Matters Section (Section 45) of the Codification. Those amendments are not expected to change current practice. The new guidance is effective for fiscal years beginning after December 15, 2020, which will be our interim period beginning January 1, 2021. Early adoption is permitted. We are currently evaluating the impact of this standard but do not expect it to impact us significantly.</w:t>
      </w:r>
    </w:p>
    <w:p>
      <w:pPr>
        <w:spacing w:after="0" w:line="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2020, the FASB issued ASU 2020-06, “Debt with Conversion and Other Options (Subtopic 470-20) and Derivatives and Hedging - Contracts in Entity’s Own Equity (Subtopic 815-40) - Accounting for Convertible Instruments and Contracts in an Entity’s Own Equity” (“ASU 2020-06”), which simplifies reporting or provides clarification on various topics, including clarification that an entity should use the weighted-average share count from each quarter when calculating the year-to-date weighted-average share count. The new guidance is effective for fiscal years beginning after December 15, 2021, including interim periods within those fiscal years, which will be our interim period beginning January 1, 2022. Early adoption is permitted. We are evaluating the impact of this standard.</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(“ASU 2020-04”), which provides optional guidance for a limited time for contracts that reference London Interbank Offered Rate (“LIBOR”), to ease the potential burden in accounting for, or recognizing the effects, of reference rate reform on financial reporting as a result of the cessation of LIBOR. The new guidance is effective at any time after March 12, 2020 but no later than December 31, 2022. We are evaluating the impact of this standard.</w:t>
      </w:r>
    </w:p>
    <w:p>
      <w:pPr>
        <w:spacing w:after="0" w:line="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which removes certain exceptions and provides guidance on various areas of tax accounting. The new guidance is effective for fiscal years beginning after December 15, 2020, including interim periods within those fiscal years, which will be our interim period beginning January 1, 2021. Early adoption is permitted. We are evaluating the impact of this standard.</w:t>
      </w:r>
    </w:p>
    <w:p>
      <w:pPr>
        <w:spacing w:after="0" w:line="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August 2018, the FASB issued ASU 2018-14, “Compensation - Retirement Benefits - Defined Benefit Plans - General (Topic 715-20): Disclosure Framework - Changes to the Disclosure Requirements for Defined Benefit Plans” (“ASU 2018-14”), which will remove disclosures that no longer are considered cost-beneficial, clarify the specific requirements of disclosures, and add disclosure requirements identified as relevant. The new guidance is effective for fiscal years beginning after December 15, 2020, including interim periods within those fiscal years, which will be our interim period beginning January 1, 2021. Early adoption is permitted. We are evaluating the impact of this standard.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Combinations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October 2019, we acquired 100.0% of the outstanding equity interests of Nobles Parent Inc., the parent company of Nobles Worldwide, Inc. (“Nobles”), a privately-held global leader in the design and manufacturing of high performance ammunition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handling systems for a wide range of military platforms including fixed-wing aircraft, rotary-wing aircraft, ground vehicles, and shipboard systems. Nobles is located in St. Croix Falls, Wisconsin. The acquisition of Nobles advances our strategy to diversify and offer more customized, value-driven engineered products with aftermarket opportunities.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original purchase price for Nobles was $77.0 million, net of cash acquired, all payable in cash. We paid a gross aggregate of $77.3 million in cash upon the closing of the transaction. Subsequent to the closing of the transaction, during the three months ended March 28, 2020, we received $0.2 million back from the seller which lowered the purchase price to $76.8 million, net of cash acquired. We allocated the final gross purchase price of $77.1 million to the assets acquired and liabilities assumed at estimated fair values. The excess of the purchase price over the aggregate fair values of the net assets was recorded as goodwill.</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final estimated fair value of the assets acquired and liabilities assumed at the date of acquisition (in thousands):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8"/>
        </w:trPr>
        <w:tc>
          <w:tcPr>
            <w:tcW w:w="60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37,200</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80,736</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non-current deferred tax liability</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23"/>
        </w:trPr>
        <w:tc>
          <w:tcPr>
            <w:tcW w:w="6060" w:type="dxa"/>
            <w:vAlign w:val="bottom"/>
          </w:tcPr>
          <w:p>
            <w:pPr>
              <w:ind w:left="340"/>
              <w:spacing w:after="0"/>
              <w:rPr>
                <w:sz w:val="20"/>
                <w:szCs w:val="20"/>
                <w:color w:val="auto"/>
              </w:rPr>
            </w:pPr>
            <w:r>
              <w:rPr>
                <w:rFonts w:ascii="Arial" w:cs="Arial" w:eastAsia="Arial" w:hAnsi="Arial"/>
                <w:sz w:val="18"/>
                <w:szCs w:val="18"/>
                <w:color w:val="auto"/>
              </w:rPr>
              <w:t>Total purchase price allocation</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77,115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606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20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60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220" w:type="dxa"/>
            <w:vAlign w:val="bottom"/>
          </w:tcPr>
          <w:p>
            <w:pPr>
              <w:jc w:val="right"/>
              <w:ind w:right="319"/>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34,200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 and trademarks</w:t>
            </w:r>
          </w:p>
        </w:tc>
        <w:tc>
          <w:tcPr>
            <w:tcW w:w="12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intangible assets acquired of $37.2 million were determined based on the estimated fair values using valuation techniques consistent with the income approach to measure fair value. The useful lives were estimated based on the underlying agreements or the future economic benefit expected to be received from the assets. The fair values of the identifiable intangible assets were estimated using several valuation methodologies, which represented Level 3 fair value measurements. The value for customer relationships was estimated based on a multi-period excess earnings approach, while the value for trade names and trademarks was assessed using the relief from royalty methodology.</w:t>
      </w:r>
    </w:p>
    <w:p>
      <w:pPr>
        <w:spacing w:after="0" w:line="6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goodwill of $34.9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Nobles acquisition, for tax purposes, is also deemed a stock acquisition and thus, the goodwill recognized is not deductible for income tax purposes except for $6.7 million of pre-acquisition goodwill that is tax deductible.</w:t>
      </w:r>
    </w:p>
    <w:p>
      <w:pPr>
        <w:spacing w:after="0" w:line="3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Acquisition related transaction costs were not included as components of consideration transferred but have been expensed as incurred. Total acquisition-related transaction costs incurred by us were $0.8 million during 2019 and charged to selling, general and administrative expenses.</w:t>
      </w:r>
    </w:p>
    <w:p>
      <w:pPr>
        <w:spacing w:after="0" w:line="1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Nobles’ results of operations have been included in our consolidated statements of income since the date of acquisition as part of the Structural Systems segment. Pro forma results of operations of the Nobles acquisition have not been presented as the effect of the Nobles acquisition was not material to our financial results.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20"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(In thousands)</w:t>
      </w:r>
    </w:p>
    <w:p>
      <w:pPr>
        <w:ind w:left="890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p>
      <w:pPr>
        <w:jc w:val="both"/>
        <w:ind w:left="8180"/>
        <w:spacing w:after="0"/>
        <w:tabs>
          <w:tab w:leader="none" w:pos="10120" w:val="left"/>
        </w:tabs>
        <w:rPr>
          <w:sz w:val="20"/>
          <w:szCs w:val="20"/>
          <w:color w:val="auto"/>
        </w:rPr>
      </w:pPr>
      <w:r>
        <w:rPr>
          <w:rFonts w:ascii="Arial" w:cs="Arial" w:eastAsia="Arial" w:hAnsi="Arial"/>
          <w:sz w:val="14"/>
          <w:szCs w:val="14"/>
          <w:color w:val="auto"/>
        </w:rPr>
        <w:t>2020</w:t>
      </w:r>
      <w:r>
        <w:rPr>
          <w:sz w:val="20"/>
          <w:szCs w:val="20"/>
          <w:color w:val="auto"/>
        </w:rPr>
        <w:tab/>
      </w:r>
      <w:r>
        <w:rPr>
          <w:rFonts w:ascii="Arial" w:cs="Arial" w:eastAsia="Arial" w:hAnsi="Arial"/>
          <w:sz w:val="14"/>
          <w:szCs w:val="14"/>
          <w:color w:val="auto"/>
        </w:rPr>
        <w:t>2019</w:t>
      </w:r>
    </w:p>
    <w:p>
      <w:pPr>
        <w:sectPr>
          <w:pgSz w:w="11900" w:h="16838" w:orient="portrait"/>
          <w:cols w:equalWidth="0" w:num="1">
            <w:col w:w="11200"/>
          </w:cols>
          <w:pgMar w:left="320" w:top="121" w:right="37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 and supplies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 in process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Finished goods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 the following: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234"/>
        </w:trPr>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107,983</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98,151</w:t>
            </w:r>
          </w:p>
        </w:tc>
      </w:tr>
      <w:tr>
        <w:trPr>
          <w:trHeight w:val="229"/>
        </w:trPr>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15,895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10,887</w:t>
            </w:r>
          </w:p>
        </w:tc>
      </w:tr>
      <w:tr>
        <w:trPr>
          <w:trHeight w:val="230"/>
        </w:trPr>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r>
      <w:tr>
        <w:trPr>
          <w:trHeight w:val="223"/>
        </w:trPr>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112,482</w:t>
            </w:r>
          </w:p>
        </w:tc>
      </w:tr>
      <w:tr>
        <w:trPr>
          <w:trHeight w:val="21"/>
        </w:trPr>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-633730</wp:posOffset>
            </wp:positionV>
            <wp:extent cx="710628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-334010</wp:posOffset>
            </wp:positionV>
            <wp:extent cx="710628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ind w:left="620"/>
              <w:spacing w:after="0"/>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4"/>
                <w:szCs w:val="14"/>
                <w:color w:val="auto"/>
              </w:rPr>
            </w:pPr>
          </w:p>
        </w:tc>
        <w:tc>
          <w:tcPr>
            <w:tcW w:w="1380" w:type="dxa"/>
            <w:vAlign w:val="bottom"/>
          </w:tcPr>
          <w:p>
            <w:pPr>
              <w:jc w:val="center"/>
              <w:ind w:left="568"/>
              <w:spacing w:after="0"/>
              <w:rPr>
                <w:sz w:val="20"/>
                <w:szCs w:val="20"/>
                <w:color w:val="auto"/>
              </w:rPr>
            </w:pPr>
            <w:r>
              <w:rPr>
                <w:rFonts w:ascii="Arial" w:cs="Arial" w:eastAsia="Arial" w:hAnsi="Arial"/>
                <w:sz w:val="14"/>
                <w:szCs w:val="14"/>
                <w:b w:val="1"/>
                <w:bCs w:val="1"/>
                <w:color w:val="auto"/>
                <w:w w:val="90"/>
              </w:rPr>
              <w:t>Range of</w:t>
            </w:r>
          </w:p>
        </w:tc>
      </w:tr>
      <w:tr>
        <w:trPr>
          <w:trHeight w:val="184"/>
        </w:trPr>
        <w:tc>
          <w:tcPr>
            <w:tcW w:w="1620" w:type="dxa"/>
            <w:vAlign w:val="bottom"/>
          </w:tcPr>
          <w:p>
            <w:pPr>
              <w:ind w:left="620"/>
              <w:spacing w:after="0"/>
              <w:rPr>
                <w:sz w:val="20"/>
                <w:szCs w:val="20"/>
                <w:color w:val="auto"/>
              </w:rPr>
            </w:pPr>
            <w:r>
              <w:rPr>
                <w:rFonts w:ascii="Arial" w:cs="Arial" w:eastAsia="Arial" w:hAnsi="Arial"/>
                <w:sz w:val="14"/>
                <w:szCs w:val="14"/>
                <w:color w:val="auto"/>
              </w:rPr>
              <w:t>December 31,</w:t>
            </w:r>
          </w:p>
        </w:tc>
        <w:tc>
          <w:tcPr>
            <w:tcW w:w="1080" w:type="dxa"/>
            <w:vAlign w:val="bottom"/>
          </w:tcPr>
          <w:p>
            <w:pPr>
              <w:spacing w:after="0"/>
              <w:rPr>
                <w:sz w:val="15"/>
                <w:szCs w:val="15"/>
                <w:color w:val="auto"/>
              </w:rPr>
            </w:pPr>
          </w:p>
        </w:tc>
        <w:tc>
          <w:tcPr>
            <w:tcW w:w="1380" w:type="dxa"/>
            <w:vAlign w:val="bottom"/>
          </w:tcPr>
          <w:p>
            <w:pPr>
              <w:jc w:val="center"/>
              <w:ind w:left="568"/>
              <w:spacing w:after="0"/>
              <w:rPr>
                <w:sz w:val="20"/>
                <w:szCs w:val="20"/>
                <w:color w:val="auto"/>
              </w:rPr>
            </w:pPr>
            <w:r>
              <w:rPr>
                <w:rFonts w:ascii="Arial" w:cs="Arial" w:eastAsia="Arial" w:hAnsi="Arial"/>
                <w:sz w:val="14"/>
                <w:szCs w:val="14"/>
                <w:b w:val="1"/>
                <w:bCs w:val="1"/>
                <w:color w:val="auto"/>
                <w:w w:val="92"/>
              </w:rPr>
              <w:t>Estimated</w:t>
            </w:r>
          </w:p>
        </w:tc>
      </w:tr>
      <w:tr>
        <w:trPr>
          <w:trHeight w:val="182"/>
        </w:trPr>
        <w:tc>
          <w:tcPr>
            <w:tcW w:w="1620" w:type="dxa"/>
            <w:vAlign w:val="bottom"/>
          </w:tcPr>
          <w:p>
            <w:pPr>
              <w:jc w:val="right"/>
              <w:ind w:right="1248"/>
              <w:spacing w:after="0"/>
              <w:rPr>
                <w:sz w:val="20"/>
                <w:szCs w:val="20"/>
                <w:color w:val="auto"/>
              </w:rPr>
            </w:pPr>
            <w:r>
              <w:rPr>
                <w:rFonts w:ascii="Arial" w:cs="Arial" w:eastAsia="Arial" w:hAnsi="Arial"/>
                <w:sz w:val="14"/>
                <w:szCs w:val="14"/>
                <w:color w:val="auto"/>
                <w:w w:val="89"/>
              </w:rPr>
              <w:t>2020</w:t>
            </w:r>
          </w:p>
        </w:tc>
        <w:tc>
          <w:tcPr>
            <w:tcW w:w="1080" w:type="dxa"/>
            <w:vAlign w:val="bottom"/>
          </w:tcPr>
          <w:p>
            <w:pPr>
              <w:jc w:val="right"/>
              <w:ind w:right="548"/>
              <w:spacing w:after="0"/>
              <w:rPr>
                <w:sz w:val="20"/>
                <w:szCs w:val="20"/>
                <w:color w:val="auto"/>
              </w:rPr>
            </w:pPr>
            <w:r>
              <w:rPr>
                <w:rFonts w:ascii="Arial" w:cs="Arial" w:eastAsia="Arial" w:hAnsi="Arial"/>
                <w:sz w:val="14"/>
                <w:szCs w:val="14"/>
                <w:color w:val="auto"/>
              </w:rPr>
              <w:t>2019</w:t>
            </w:r>
          </w:p>
        </w:tc>
        <w:tc>
          <w:tcPr>
            <w:tcW w:w="1380" w:type="dxa"/>
            <w:vAlign w:val="bottom"/>
          </w:tcPr>
          <w:p>
            <w:pPr>
              <w:jc w:val="center"/>
              <w:ind w:left="568"/>
              <w:spacing w:after="0"/>
              <w:rPr>
                <w:sz w:val="20"/>
                <w:szCs w:val="20"/>
                <w:color w:val="auto"/>
              </w:rPr>
            </w:pPr>
            <w:r>
              <w:rPr>
                <w:rFonts w:ascii="Arial" w:cs="Arial" w:eastAsia="Arial" w:hAnsi="Arial"/>
                <w:sz w:val="14"/>
                <w:szCs w:val="14"/>
                <w:color w:val="auto"/>
                <w:w w:val="96"/>
              </w:rPr>
              <w:t>Useful Lives</w:t>
            </w:r>
          </w:p>
        </w:tc>
      </w:tr>
    </w:tbl>
    <w:p>
      <w:pPr>
        <w:spacing w:after="0" w:line="1" w:lineRule="exact"/>
        <w:rPr>
          <w:sz w:val="20"/>
          <w:szCs w:val="20"/>
          <w:color w:val="auto"/>
        </w:rPr>
      </w:pPr>
    </w:p>
    <w:p>
      <w:pPr>
        <w:sectPr>
          <w:pgSz w:w="11900" w:h="16838" w:orient="portrait"/>
          <w:cols w:equalWidth="0" w:num="2">
            <w:col w:w="5920" w:space="720"/>
            <w:col w:w="456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0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spacing w:after="0"/>
              <w:rPr>
                <w:sz w:val="20"/>
                <w:szCs w:val="20"/>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61,626</w:t>
            </w:r>
          </w:p>
        </w:tc>
        <w:tc>
          <w:tcPr>
            <w:tcW w:w="100" w:type="dxa"/>
            <w:vAlign w:val="bottom"/>
          </w:tcPr>
          <w:p>
            <w:pPr>
              <w:spacing w:after="0"/>
              <w:rPr>
                <w:sz w:val="19"/>
                <w:szCs w:val="19"/>
                <w:color w:val="auto"/>
              </w:rPr>
            </w:pPr>
          </w:p>
        </w:tc>
        <w:tc>
          <w:tcPr>
            <w:tcW w:w="1700" w:type="dxa"/>
            <w:vAlign w:val="bottom"/>
          </w:tcPr>
          <w:p>
            <w:pPr>
              <w:ind w:left="420"/>
              <w:spacing w:after="0"/>
              <w:rPr>
                <w:sz w:val="20"/>
                <w:szCs w:val="20"/>
                <w:color w:val="auto"/>
              </w:rPr>
            </w:pPr>
            <w:r>
              <w:rPr>
                <w:rFonts w:ascii="Arial" w:cs="Arial" w:eastAsia="Arial" w:hAnsi="Arial"/>
                <w:sz w:val="18"/>
                <w:szCs w:val="18"/>
                <w:color w:val="auto"/>
              </w:rPr>
              <w:t>5 - 40 Years</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2 - 20 Years</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19"/>
                <w:szCs w:val="19"/>
                <w:color w:val="auto"/>
              </w:rPr>
            </w:pPr>
          </w:p>
        </w:tc>
        <w:tc>
          <w:tcPr>
            <w:tcW w:w="1700" w:type="dxa"/>
            <w:vAlign w:val="bottom"/>
          </w:tcPr>
          <w:p>
            <w:pPr>
              <w:ind w:left="420"/>
              <w:spacing w:after="0"/>
              <w:rPr>
                <w:sz w:val="20"/>
                <w:szCs w:val="20"/>
                <w:color w:val="auto"/>
              </w:rPr>
            </w:pPr>
            <w:r>
              <w:rPr>
                <w:rFonts w:ascii="Arial" w:cs="Arial" w:eastAsia="Arial" w:hAnsi="Arial"/>
                <w:sz w:val="18"/>
                <w:szCs w:val="18"/>
                <w:color w:val="auto"/>
              </w:rPr>
              <w:t>2 - 10 Years</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279,732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278,136</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169,742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109,990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115,216</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
        </w:trPr>
        <w:tc>
          <w:tcPr>
            <w:tcW w:w="5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$13.8 million, $13.5 million, and $13.5 million, for the years ended December 31, 2020, 2019 and 2018, respectively.</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elected to utilize the following practical expedients that are permitted under ASC 842:</w:t>
      </w:r>
    </w:p>
    <w:p>
      <w:pPr>
        <w:spacing w:after="0" w:line="131" w:lineRule="exact"/>
        <w:rPr>
          <w:sz w:val="20"/>
          <w:szCs w:val="20"/>
          <w:color w:val="auto"/>
        </w:rPr>
      </w:pPr>
    </w:p>
    <w:p>
      <w:pPr>
        <w:ind w:left="660" w:right="120" w:hanging="328"/>
        <w:spacing w:after="0" w:line="381" w:lineRule="auto"/>
        <w:tabs>
          <w:tab w:leader="none" w:pos="655" w:val="left"/>
        </w:tabs>
        <w:numPr>
          <w:ilvl w:val="0"/>
          <w:numId w:val="25"/>
        </w:numPr>
        <w:rPr>
          <w:rFonts w:ascii="Arial" w:cs="Arial" w:eastAsia="Arial" w:hAnsi="Arial"/>
          <w:sz w:val="15"/>
          <w:szCs w:val="15"/>
          <w:color w:val="auto"/>
        </w:rPr>
      </w:pPr>
      <w:r>
        <w:rPr>
          <w:rFonts w:ascii="Arial" w:cs="Arial" w:eastAsia="Arial" w:hAnsi="Arial"/>
          <w:sz w:val="15"/>
          <w:szCs w:val="15"/>
          <w:color w:val="auto"/>
        </w:rPr>
        <w:t>As an accounting policy election by class of underlying asset, elected not to separate nonlease components from lease components and instead to account for each separate lease component and the nonlease components associated with that lease component as a single lease component; and</w:t>
      </w:r>
    </w:p>
    <w:p>
      <w:pPr>
        <w:spacing w:after="0" w:line="5" w:lineRule="exact"/>
        <w:rPr>
          <w:rFonts w:ascii="Arial" w:cs="Arial" w:eastAsia="Arial" w:hAnsi="Arial"/>
          <w:sz w:val="15"/>
          <w:szCs w:val="15"/>
          <w:color w:val="auto"/>
        </w:rPr>
      </w:pPr>
    </w:p>
    <w:p>
      <w:pPr>
        <w:ind w:left="660" w:right="14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an accounting policy election not to apply the recognition requirements in ASC 842 to short term leases (a lease at commencement date has a lease term of 12 months or less and does not contain a purchase option that the lessee is reasonably certain to exercise).</w:t>
      </w:r>
    </w:p>
    <w:p>
      <w:pPr>
        <w:spacing w:after="0" w:line="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have operating and finance leases for manufacturing facilities, corporate offices, and various equipment. Our leases have remaining lease terms of 1 to 9 years, some of which include options to extend the leases for up to 5 years, and some of which include options to terminate the leases within 1 year.</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The components of lease expense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60" w:type="dxa"/>
            <w:vAlign w:val="bottom"/>
            <w:gridSpan w:val="5"/>
          </w:tcPr>
          <w:p>
            <w:pPr>
              <w:jc w:val="center"/>
              <w:ind w:right="52"/>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189"/>
        </w:trPr>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5"/>
          </w:tcPr>
          <w:p>
            <w:pPr>
              <w:jc w:val="center"/>
              <w:ind w:right="52"/>
              <w:spacing w:after="0"/>
              <w:rPr>
                <w:sz w:val="20"/>
                <w:szCs w:val="20"/>
                <w:color w:val="auto"/>
              </w:rPr>
            </w:pPr>
            <w:r>
              <w:rPr>
                <w:rFonts w:ascii="Arial" w:cs="Arial" w:eastAsia="Arial" w:hAnsi="Arial"/>
                <w:sz w:val="14"/>
                <w:szCs w:val="14"/>
                <w:color w:val="auto"/>
                <w:w w:val="88"/>
              </w:rPr>
              <w:t>Years Ended</w:t>
            </w:r>
          </w:p>
        </w:tc>
        <w:tc>
          <w:tcPr>
            <w:tcW w:w="0" w:type="dxa"/>
            <w:vAlign w:val="bottom"/>
          </w:tcPr>
          <w:p>
            <w:pPr>
              <w:spacing w:after="0"/>
              <w:rPr>
                <w:sz w:val="1"/>
                <w:szCs w:val="1"/>
                <w:color w:val="auto"/>
              </w:rPr>
            </w:pPr>
          </w:p>
        </w:tc>
      </w:tr>
      <w:tr>
        <w:trPr>
          <w:trHeight w:val="225"/>
        </w:trPr>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6"/>
                <w:szCs w:val="16"/>
                <w:color w:val="auto"/>
                <w:w w:val="91"/>
              </w:rPr>
              <w:t>December 31, 2020</w:t>
            </w:r>
          </w:p>
        </w:tc>
        <w:tc>
          <w:tcPr>
            <w:tcW w:w="140" w:type="dxa"/>
            <w:vAlign w:val="bottom"/>
          </w:tcPr>
          <w:p>
            <w:pPr>
              <w:spacing w:after="0"/>
              <w:rPr>
                <w:sz w:val="19"/>
                <w:szCs w:val="19"/>
                <w:color w:val="auto"/>
              </w:rPr>
            </w:pPr>
          </w:p>
        </w:tc>
        <w:tc>
          <w:tcPr>
            <w:tcW w:w="1500" w:type="dxa"/>
            <w:vAlign w:val="bottom"/>
          </w:tcPr>
          <w:p>
            <w:pPr>
              <w:jc w:val="center"/>
              <w:ind w:right="52"/>
              <w:spacing w:after="0"/>
              <w:rPr>
                <w:sz w:val="20"/>
                <w:szCs w:val="20"/>
                <w:color w:val="auto"/>
              </w:rPr>
            </w:pPr>
            <w:r>
              <w:rPr>
                <w:rFonts w:ascii="Arial" w:cs="Arial" w:eastAsia="Arial" w:hAnsi="Arial"/>
                <w:sz w:val="16"/>
                <w:szCs w:val="16"/>
                <w:color w:val="auto"/>
                <w:w w:val="91"/>
              </w:rPr>
              <w:t>December 31, 2019</w:t>
            </w:r>
          </w:p>
        </w:tc>
        <w:tc>
          <w:tcPr>
            <w:tcW w:w="0" w:type="dxa"/>
            <w:vAlign w:val="bottom"/>
          </w:tcPr>
          <w:p>
            <w:pPr>
              <w:spacing w:after="0"/>
              <w:rPr>
                <w:sz w:val="1"/>
                <w:szCs w:val="1"/>
                <w:color w:val="auto"/>
              </w:rPr>
            </w:pPr>
          </w:p>
        </w:tc>
      </w:tr>
      <w:tr>
        <w:trPr>
          <w:trHeight w:val="251"/>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expense</w:t>
            </w: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7840" w:type="dxa"/>
            <w:vAlign w:val="bottom"/>
          </w:tcPr>
          <w:p>
            <w:pPr>
              <w:ind w:left="220"/>
              <w:spacing w:after="0"/>
              <w:rPr>
                <w:sz w:val="20"/>
                <w:szCs w:val="20"/>
                <w:color w:val="auto"/>
              </w:rPr>
            </w:pPr>
            <w:r>
              <w:rPr>
                <w:rFonts w:ascii="Arial" w:cs="Arial" w:eastAsia="Arial" w:hAnsi="Arial"/>
                <w:sz w:val="18"/>
                <w:szCs w:val="18"/>
                <w:color w:val="auto"/>
              </w:rPr>
              <w:t>Total finance lease expense</w:t>
            </w: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color w:val="auto"/>
              </w:rPr>
              <w:t>Short term and variable lease expenses for the year ended December 31, 2020 were not material.</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4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5"/>
          </w:tcPr>
          <w:p>
            <w:pPr>
              <w:jc w:val="center"/>
              <w:ind w:right="52"/>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189"/>
        </w:trPr>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5"/>
          </w:tcPr>
          <w:p>
            <w:pPr>
              <w:jc w:val="center"/>
              <w:ind w:right="52"/>
              <w:spacing w:after="0"/>
              <w:rPr>
                <w:sz w:val="20"/>
                <w:szCs w:val="20"/>
                <w:color w:val="auto"/>
              </w:rPr>
            </w:pPr>
            <w:r>
              <w:rPr>
                <w:rFonts w:ascii="Arial" w:cs="Arial" w:eastAsia="Arial" w:hAnsi="Arial"/>
                <w:sz w:val="14"/>
                <w:szCs w:val="14"/>
                <w:color w:val="auto"/>
                <w:w w:val="88"/>
              </w:rPr>
              <w:t>Years Ended</w:t>
            </w:r>
          </w:p>
        </w:tc>
        <w:tc>
          <w:tcPr>
            <w:tcW w:w="0" w:type="dxa"/>
            <w:vAlign w:val="bottom"/>
          </w:tcPr>
          <w:p>
            <w:pPr>
              <w:spacing w:after="0"/>
              <w:rPr>
                <w:sz w:val="1"/>
                <w:szCs w:val="1"/>
                <w:color w:val="auto"/>
              </w:rPr>
            </w:pPr>
          </w:p>
        </w:tc>
      </w:tr>
      <w:tr>
        <w:trPr>
          <w:trHeight w:val="225"/>
        </w:trPr>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6"/>
                <w:szCs w:val="16"/>
                <w:color w:val="auto"/>
                <w:w w:val="91"/>
              </w:rPr>
              <w:t>December 31, 2020</w:t>
            </w:r>
          </w:p>
        </w:tc>
        <w:tc>
          <w:tcPr>
            <w:tcW w:w="140" w:type="dxa"/>
            <w:vAlign w:val="bottom"/>
          </w:tcPr>
          <w:p>
            <w:pPr>
              <w:spacing w:after="0"/>
              <w:rPr>
                <w:sz w:val="19"/>
                <w:szCs w:val="19"/>
                <w:color w:val="auto"/>
              </w:rPr>
            </w:pPr>
          </w:p>
        </w:tc>
        <w:tc>
          <w:tcPr>
            <w:tcW w:w="1500" w:type="dxa"/>
            <w:vAlign w:val="bottom"/>
          </w:tcPr>
          <w:p>
            <w:pPr>
              <w:jc w:val="center"/>
              <w:ind w:right="52"/>
              <w:spacing w:after="0"/>
              <w:rPr>
                <w:sz w:val="20"/>
                <w:szCs w:val="20"/>
                <w:color w:val="auto"/>
              </w:rPr>
            </w:pPr>
            <w:r>
              <w:rPr>
                <w:rFonts w:ascii="Arial" w:cs="Arial" w:eastAsia="Arial" w:hAnsi="Arial"/>
                <w:sz w:val="16"/>
                <w:szCs w:val="16"/>
                <w:color w:val="auto"/>
                <w:w w:val="91"/>
              </w:rPr>
              <w:t>December 31, 2019</w:t>
            </w:r>
          </w:p>
        </w:tc>
        <w:tc>
          <w:tcPr>
            <w:tcW w:w="0" w:type="dxa"/>
            <w:vAlign w:val="bottom"/>
          </w:tcPr>
          <w:p>
            <w:pPr>
              <w:spacing w:after="0"/>
              <w:rPr>
                <w:sz w:val="1"/>
                <w:szCs w:val="1"/>
                <w:color w:val="auto"/>
              </w:rPr>
            </w:pP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4,191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6"/>
        </w:trPr>
        <w:tc>
          <w:tcPr>
            <w:tcW w:w="7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377"/>
        </w:trPr>
        <w:tc>
          <w:tcPr>
            <w:tcW w:w="7840" w:type="dxa"/>
            <w:vAlign w:val="bottom"/>
          </w:tcPr>
          <w:p>
            <w:pPr>
              <w:spacing w:after="0"/>
              <w:rPr>
                <w:sz w:val="20"/>
                <w:szCs w:val="20"/>
                <w:color w:val="auto"/>
              </w:rPr>
            </w:pPr>
            <w:r>
              <w:rPr>
                <w:rFonts w:ascii="Arial" w:cs="Arial" w:eastAsia="Arial" w:hAnsi="Arial"/>
                <w:sz w:val="18"/>
                <w:szCs w:val="18"/>
                <w:color w:val="auto"/>
              </w:rPr>
              <w:t>The weighted average remaining lease terms were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5"/>
          </w:tcPr>
          <w:p>
            <w:pPr>
              <w:jc w:val="center"/>
              <w:ind w:right="52"/>
              <w:spacing w:after="0"/>
              <w:rPr>
                <w:sz w:val="20"/>
                <w:szCs w:val="20"/>
                <w:color w:val="auto"/>
              </w:rPr>
            </w:pPr>
            <w:r>
              <w:rPr>
                <w:rFonts w:ascii="Arial" w:cs="Arial" w:eastAsia="Arial" w:hAnsi="Arial"/>
                <w:sz w:val="14"/>
                <w:szCs w:val="14"/>
                <w:color w:val="auto"/>
                <w:w w:val="94"/>
              </w:rPr>
              <w:t>(In years)</w:t>
            </w:r>
          </w:p>
        </w:tc>
        <w:tc>
          <w:tcPr>
            <w:tcW w:w="0" w:type="dxa"/>
            <w:vAlign w:val="bottom"/>
          </w:tcPr>
          <w:p>
            <w:pPr>
              <w:spacing w:after="0"/>
              <w:rPr>
                <w:sz w:val="1"/>
                <w:szCs w:val="1"/>
                <w:color w:val="auto"/>
              </w:rPr>
            </w:pPr>
          </w:p>
        </w:tc>
      </w:tr>
      <w:tr>
        <w:trPr>
          <w:trHeight w:val="225"/>
        </w:trPr>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December 31, 2020</w:t>
            </w:r>
          </w:p>
        </w:tc>
        <w:tc>
          <w:tcPr>
            <w:tcW w:w="140" w:type="dxa"/>
            <w:vAlign w:val="bottom"/>
          </w:tcPr>
          <w:p>
            <w:pPr>
              <w:spacing w:after="0"/>
              <w:rPr>
                <w:sz w:val="19"/>
                <w:szCs w:val="19"/>
                <w:color w:val="auto"/>
              </w:rPr>
            </w:pPr>
          </w:p>
        </w:tc>
        <w:tc>
          <w:tcPr>
            <w:tcW w:w="1500" w:type="dxa"/>
            <w:vAlign w:val="bottom"/>
          </w:tcPr>
          <w:p>
            <w:pPr>
              <w:jc w:val="center"/>
              <w:ind w:right="52"/>
              <w:spacing w:after="0"/>
              <w:rPr>
                <w:sz w:val="20"/>
                <w:szCs w:val="20"/>
                <w:color w:val="auto"/>
              </w:rPr>
            </w:pPr>
            <w:r>
              <w:rPr>
                <w:rFonts w:ascii="Arial" w:cs="Arial" w:eastAsia="Arial" w:hAnsi="Arial"/>
                <w:sz w:val="16"/>
                <w:szCs w:val="16"/>
                <w:color w:val="auto"/>
                <w:w w:val="91"/>
              </w:rPr>
              <w:t>December 31, 2019</w:t>
            </w:r>
          </w:p>
        </w:tc>
        <w:tc>
          <w:tcPr>
            <w:tcW w:w="0" w:type="dxa"/>
            <w:vAlign w:val="bottom"/>
          </w:tcPr>
          <w:p>
            <w:pPr>
              <w:spacing w:after="0"/>
              <w:rPr>
                <w:sz w:val="1"/>
                <w:szCs w:val="1"/>
                <w:color w:val="auto"/>
              </w:rPr>
            </w:pPr>
          </w:p>
        </w:tc>
      </w:tr>
      <w:tr>
        <w:trPr>
          <w:trHeight w:val="226"/>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16"/>
              <w:spacing w:after="0"/>
              <w:rPr>
                <w:sz w:val="20"/>
                <w:szCs w:val="20"/>
                <w:color w:val="auto"/>
              </w:rPr>
            </w:pPr>
            <w:r>
              <w:rPr>
                <w:rFonts w:ascii="Arial" w:cs="Arial" w:eastAsia="Arial" w:hAnsi="Arial"/>
                <w:sz w:val="18"/>
                <w:szCs w:val="18"/>
                <w:color w:val="auto"/>
                <w:w w:val="79"/>
              </w:rPr>
              <w:t>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ind w:right="16"/>
              <w:spacing w:after="0"/>
              <w:rPr>
                <w:sz w:val="20"/>
                <w:szCs w:val="20"/>
                <w:color w:val="auto"/>
              </w:rPr>
            </w:pPr>
            <w:r>
              <w:rPr>
                <w:rFonts w:ascii="Arial" w:cs="Arial" w:eastAsia="Arial" w:hAnsi="Arial"/>
                <w:sz w:val="18"/>
                <w:szCs w:val="18"/>
                <w:color w:val="auto"/>
                <w:w w:val="79"/>
              </w:rPr>
              <w:t>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When a lease is identified, we recognize a right-of-use asset and a corresponding lease liability based on the present value of the lease payments over the lease term discounted using our incremental borrowing rate, unless an implicit rate is readily determinable. As the discount rate in our leases is usually not readily available, we use our own incremental borrowing rate as the discount rate. Our incremental borrowing rate is based on the interest rate on our term loan, which is a secured rate. The interest rate on our term loan is based on London Interbank Offered Rate (“LIBOR”) plus an applicable margin.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discount rates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380" w:type="dxa"/>
            <w:vAlign w:val="bottom"/>
            <w:gridSpan w:val="3"/>
          </w:tcPr>
          <w:p>
            <w:pPr>
              <w:ind w:left="1320"/>
              <w:spacing w:after="0"/>
              <w:rPr>
                <w:sz w:val="20"/>
                <w:szCs w:val="20"/>
                <w:color w:val="auto"/>
              </w:rPr>
            </w:pPr>
            <w:r>
              <w:rPr>
                <w:rFonts w:ascii="Arial" w:cs="Arial" w:eastAsia="Arial" w:hAnsi="Arial"/>
                <w:sz w:val="14"/>
                <w:szCs w:val="14"/>
                <w:color w:val="auto"/>
              </w:rPr>
              <w:t>Years Ended</w:t>
            </w:r>
          </w:p>
        </w:tc>
      </w:tr>
      <w:tr>
        <w:trPr>
          <w:trHeight w:val="225"/>
        </w:trPr>
        <w:tc>
          <w:tcPr>
            <w:tcW w:w="33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31, 2020</w:t>
            </w: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December 31, 2019</w:t>
            </w:r>
          </w:p>
        </w:tc>
      </w:tr>
      <w:tr>
        <w:trPr>
          <w:trHeight w:val="226"/>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4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6.5%</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6120" w:type="dxa"/>
            <w:vAlign w:val="bottom"/>
            <w:gridSpan w:val="2"/>
          </w:tcPr>
          <w:p>
            <w:pPr>
              <w:jc w:val="center"/>
              <w:ind w:left="4370"/>
              <w:spacing w:after="0"/>
              <w:rPr>
                <w:sz w:val="20"/>
                <w:szCs w:val="20"/>
                <w:color w:val="auto"/>
              </w:rPr>
            </w:pPr>
            <w:r>
              <w:rPr>
                <w:rFonts w:ascii="Arial" w:cs="Arial" w:eastAsia="Arial" w:hAnsi="Arial"/>
                <w:sz w:val="18"/>
                <w:szCs w:val="18"/>
                <w:color w:val="auto"/>
                <w:w w:val="92"/>
              </w:rPr>
              <w:t>4.3%</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6.5%</w:t>
            </w:r>
          </w:p>
        </w:tc>
      </w:tr>
      <w:tr>
        <w:trPr>
          <w:trHeight w:val="877"/>
        </w:trPr>
        <w:tc>
          <w:tcPr>
            <w:tcW w:w="3380" w:type="dxa"/>
            <w:vAlign w:val="bottom"/>
          </w:tcPr>
          <w:p>
            <w:pPr>
              <w:spacing w:after="0"/>
              <w:rPr>
                <w:sz w:val="24"/>
                <w:szCs w:val="24"/>
                <w:color w:val="auto"/>
              </w:rPr>
            </w:pPr>
          </w:p>
        </w:tc>
        <w:tc>
          <w:tcPr>
            <w:tcW w:w="4480" w:type="dxa"/>
            <w:vAlign w:val="bottom"/>
          </w:tcPr>
          <w:p>
            <w:pPr>
              <w:jc w:val="right"/>
              <w:ind w:right="2050"/>
              <w:spacing w:after="0"/>
              <w:rPr>
                <w:sz w:val="20"/>
                <w:szCs w:val="20"/>
                <w:color w:val="auto"/>
              </w:rPr>
            </w:pPr>
            <w:r>
              <w:rPr>
                <w:rFonts w:ascii="Arial" w:cs="Arial" w:eastAsia="Arial" w:hAnsi="Arial"/>
                <w:sz w:val="18"/>
                <w:szCs w:val="18"/>
                <w:color w:val="auto"/>
              </w:rPr>
              <w:t>58</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Maturity of operating and finance lease liabilities are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360" w:type="dxa"/>
            <w:vAlign w:val="bottom"/>
          </w:tcPr>
          <w:p>
            <w:pPr>
              <w:spacing w:after="0"/>
              <w:rPr>
                <w:sz w:val="15"/>
                <w:szCs w:val="15"/>
                <w:color w:val="auto"/>
              </w:rPr>
            </w:pPr>
          </w:p>
        </w:tc>
      </w:tr>
      <w:tr>
        <w:trPr>
          <w:trHeight w:val="195"/>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color w:val="auto"/>
              </w:rPr>
              <w:t>Operating Leases</w:t>
            </w:r>
          </w:p>
        </w:tc>
        <w:tc>
          <w:tcPr>
            <w:tcW w:w="380" w:type="dxa"/>
            <w:vAlign w:val="bottom"/>
          </w:tcPr>
          <w:p>
            <w:pPr>
              <w:spacing w:after="0"/>
              <w:rPr>
                <w:sz w:val="16"/>
                <w:szCs w:val="16"/>
                <w:color w:val="auto"/>
              </w:rPr>
            </w:pPr>
          </w:p>
        </w:tc>
        <w:tc>
          <w:tcPr>
            <w:tcW w:w="1360" w:type="dxa"/>
            <w:vAlign w:val="bottom"/>
          </w:tcPr>
          <w:p>
            <w:pPr>
              <w:jc w:val="right"/>
              <w:ind w:right="332"/>
              <w:spacing w:after="0"/>
              <w:rPr>
                <w:sz w:val="20"/>
                <w:szCs w:val="20"/>
                <w:color w:val="auto"/>
              </w:rPr>
            </w:pPr>
            <w:r>
              <w:rPr>
                <w:rFonts w:ascii="Arial" w:cs="Arial" w:eastAsia="Arial" w:hAnsi="Arial"/>
                <w:sz w:val="14"/>
                <w:szCs w:val="14"/>
                <w:color w:val="auto"/>
                <w:w w:val="93"/>
              </w:rPr>
              <w:t>Finance Leases</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23"/>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29"/>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48"/>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Operating lease payments include $11.5 million related to options to extend lease terms that are reasonably certain of being exercised. As of December 31, 2020, there are no legally binding minimum lease payments for leases signed but not yet commenced.</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Finance lease payments related to options to extend lease terms that are reasonably certain of being exercised are not significant. As of December 31, 2020, it excludes $0.2 million of legally binding minimum lease payments for leases signed but not yet commenced. These finance leases will commence during 2021 with lease terms of 5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goodwill, by operating segment, for the years ended December 31, 2020 and 2019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47"/>
        </w:trPr>
        <w:tc>
          <w:tcPr>
            <w:tcW w:w="6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color w:val="auto"/>
                <w:w w:val="94"/>
              </w:rPr>
              <w:t>Electronic</w:t>
            </w: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93"/>
              </w:rPr>
              <w:t>Structural</w:t>
            </w:r>
          </w:p>
        </w:tc>
        <w:tc>
          <w:tcPr>
            <w:tcW w:w="220" w:type="dxa"/>
            <w:vAlign w:val="bottom"/>
          </w:tcPr>
          <w:p>
            <w:pPr>
              <w:spacing w:after="0"/>
              <w:rPr>
                <w:sz w:val="12"/>
                <w:szCs w:val="12"/>
                <w:color w:val="auto"/>
              </w:rPr>
            </w:pPr>
          </w:p>
        </w:tc>
        <w:tc>
          <w:tcPr>
            <w:tcW w:w="1220" w:type="dxa"/>
            <w:vAlign w:val="bottom"/>
          </w:tcPr>
          <w:p>
            <w:pPr>
              <w:jc w:val="right"/>
              <w:ind w:right="255"/>
              <w:spacing w:after="0" w:line="147" w:lineRule="exact"/>
              <w:rPr>
                <w:sz w:val="20"/>
                <w:szCs w:val="20"/>
                <w:color w:val="auto"/>
              </w:rPr>
            </w:pPr>
            <w:r>
              <w:rPr>
                <w:rFonts w:ascii="Arial" w:cs="Arial" w:eastAsia="Arial" w:hAnsi="Arial"/>
                <w:sz w:val="14"/>
                <w:szCs w:val="14"/>
                <w:color w:val="auto"/>
              </w:rPr>
              <w:t>Consolidated</w:t>
            </w:r>
          </w:p>
        </w:tc>
      </w:tr>
      <w:tr>
        <w:trPr>
          <w:trHeight w:val="186"/>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Systems</w:t>
            </w: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Systems</w:t>
            </w:r>
          </w:p>
        </w:tc>
        <w:tc>
          <w:tcPr>
            <w:tcW w:w="220" w:type="dxa"/>
            <w:vAlign w:val="bottom"/>
          </w:tcPr>
          <w:p>
            <w:pPr>
              <w:spacing w:after="0"/>
              <w:rPr>
                <w:sz w:val="16"/>
                <w:szCs w:val="16"/>
                <w:color w:val="auto"/>
              </w:rPr>
            </w:pPr>
          </w:p>
        </w:tc>
        <w:tc>
          <w:tcPr>
            <w:tcW w:w="1220" w:type="dxa"/>
            <w:vAlign w:val="bottom"/>
          </w:tcPr>
          <w:p>
            <w:pPr>
              <w:jc w:val="right"/>
              <w:ind w:right="295"/>
              <w:spacing w:after="0"/>
              <w:rPr>
                <w:sz w:val="20"/>
                <w:szCs w:val="20"/>
                <w:color w:val="auto"/>
              </w:rPr>
            </w:pPr>
            <w:r>
              <w:rPr>
                <w:rFonts w:ascii="Arial" w:cs="Arial" w:eastAsia="Arial" w:hAnsi="Arial"/>
                <w:sz w:val="14"/>
                <w:szCs w:val="14"/>
                <w:color w:val="auto"/>
              </w:rPr>
              <w:t>Ducommun</w:t>
            </w:r>
          </w:p>
        </w:tc>
      </w:tr>
      <w:tr>
        <w:trPr>
          <w:trHeight w:val="226"/>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goodwill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252,639</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Accumulated goodwill impairment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(81,722)</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170,917</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Purchase price allocation refinements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170,830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perform our annual goodwill impairment test as of the first day of the fourth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quantitative approach for potential impairment analysis is performed by comparing the fair value of a reporting unit to its carrying value, including goodwill. Fair value is estimated by management using a combination of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 In addition, we early adopted ASU 2017-04 on January 1, 2019 which simplified our goodwill impairment testing by eliminating step two of the goodwill impairment test.</w:t>
      </w:r>
    </w:p>
    <w:p>
      <w:pPr>
        <w:spacing w:after="0" w:line="3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business has been negatively impacted during the twelve months ended December 31, 2020 as a result of the COVID-19 pandemic. Therefore, we assessed our goodwill for potential impairment indicators. The most recent step one goodwill impairment test for our Electronic Systems reporting unit was the annual goodwill impairment test as of the first day of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0" w:name="page61"/>
    <w:bookmarkEnd w:id="60"/>
    <w:p>
      <w:pPr>
        <w:spacing w:after="0" w:line="275" w:lineRule="auto"/>
        <w:rPr>
          <w:sz w:val="20"/>
          <w:szCs w:val="20"/>
          <w:color w:val="auto"/>
        </w:rPr>
      </w:pPr>
      <w:r>
        <w:rPr>
          <w:rFonts w:ascii="Arial" w:cs="Arial" w:eastAsia="Arial" w:hAnsi="Arial"/>
          <w:sz w:val="17"/>
          <w:szCs w:val="17"/>
          <w:color w:val="auto"/>
        </w:rPr>
        <w:t>fourth quarter of 2019 where the fair value of our Electronic Systems reporting unit exceeded its carrying value by 44%. For our annual goodwill impairment test of our Electronic Systems reporting unit as of the first day of the fourth quarter of 2020, we used a qualitative assessment and determined it was not more likely than not that the fair value of a reporting unit was less than its carrying amount. The most recent step one goodwill impairment test for our Structural Systems reporting unit was the first day of the fourth quarter of 2020, where the fair value of our Structural Systems reporting unit exceeded its carrying value by 69%. Thus, the respective goodwill amounts were not deemed impaired.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We acquired Nobles in October 2019 and recorded goodwill of $34.9 million in our Structural Systems segment. See Note 2.</w:t>
      </w:r>
    </w:p>
    <w:p>
      <w:pPr>
        <w:spacing w:after="0" w:line="10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Other intangible assets are related to acquisitions, including Nobles, and recorded at fair value at the time of the acquisition. Other intangible assets with finite lives are generally amortized on the straight-line method over periods ranging from 10 to 18 years. Intangible assets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9"/>
              </w:rPr>
              <w:t>December 31, 2020</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December 31, 2019</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8"/>
              </w:rPr>
              <w:t>Wtd. Avg</w:t>
            </w: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0"/>
              </w:rPr>
              <w:t>Gross</w:t>
            </w: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1"/>
                <w:szCs w:val="11"/>
                <w:color w:val="auto"/>
              </w:rPr>
            </w:pPr>
          </w:p>
        </w:tc>
        <w:tc>
          <w:tcPr>
            <w:tcW w:w="940" w:type="dxa"/>
            <w:vAlign w:val="bottom"/>
          </w:tcPr>
          <w:p>
            <w:pPr>
              <w:jc w:val="center"/>
              <w:ind w:right="139"/>
              <w:spacing w:after="0" w:line="135" w:lineRule="exact"/>
              <w:rPr>
                <w:sz w:val="20"/>
                <w:szCs w:val="20"/>
                <w:color w:val="auto"/>
              </w:rPr>
            </w:pPr>
            <w:r>
              <w:rPr>
                <w:rFonts w:ascii="Arial" w:cs="Arial" w:eastAsia="Arial" w:hAnsi="Arial"/>
                <w:sz w:val="14"/>
                <w:szCs w:val="14"/>
                <w:color w:val="auto"/>
                <w:w w:val="91"/>
              </w:rPr>
              <w:t>Net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0"/>
              </w:rPr>
              <w:t>Gross</w:t>
            </w:r>
          </w:p>
        </w:tc>
        <w:tc>
          <w:tcPr>
            <w:tcW w:w="16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1"/>
                <w:szCs w:val="11"/>
                <w:color w:val="auto"/>
              </w:rPr>
            </w:pPr>
          </w:p>
        </w:tc>
        <w:tc>
          <w:tcPr>
            <w:tcW w:w="960" w:type="dxa"/>
            <w:vAlign w:val="bottom"/>
          </w:tcPr>
          <w:p>
            <w:pPr>
              <w:jc w:val="center"/>
              <w:ind w:right="138"/>
              <w:spacing w:after="0" w:line="135"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rPr>
              <w:t>Life</w:t>
            </w: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4"/>
              </w:rPr>
              <w:t>Carrying</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8"/>
              </w:rPr>
              <w:t>Carrying</w:t>
            </w:r>
          </w:p>
        </w:tc>
        <w:tc>
          <w:tcPr>
            <w:tcW w:w="22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8"/>
              </w:rPr>
              <w:t>Carrying</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38"/>
              <w:spacing w:after="0" w:line="135" w:lineRule="exact"/>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(Yrs)</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Amount</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6"/>
                <w:szCs w:val="16"/>
                <w:color w:val="auto"/>
              </w:rPr>
            </w:pPr>
          </w:p>
        </w:tc>
        <w:tc>
          <w:tcPr>
            <w:tcW w:w="960" w:type="dxa"/>
            <w:vAlign w:val="bottom"/>
          </w:tcPr>
          <w:p>
            <w:pPr>
              <w:jc w:val="center"/>
              <w:ind w:right="13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assets</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221,500</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101,535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119,965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221,900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88,838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133,062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names and trademarks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Contract renewal</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3000" w:type="dxa"/>
            <w:vAlign w:val="bottom"/>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229,245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229,645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138,362</w:t>
            </w: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780" w:type="dxa"/>
            <w:vAlign w:val="bottom"/>
            <w:gridSpan w:val="15"/>
          </w:tcPr>
          <w:p>
            <w:pPr>
              <w:spacing w:after="0"/>
              <w:rPr>
                <w:sz w:val="20"/>
                <w:szCs w:val="20"/>
                <w:color w:val="auto"/>
              </w:rPr>
            </w:pPr>
            <w:r>
              <w:rPr>
                <w:rFonts w:ascii="Arial" w:cs="Arial" w:eastAsia="Arial" w:hAnsi="Arial"/>
                <w:sz w:val="18"/>
                <w:szCs w:val="18"/>
                <w:color w:val="auto"/>
                <w:w w:val="91"/>
              </w:rPr>
              <w:t>The carrying amount of other intangible assets by operating segment as of December 31, 2020 and 2019 was as follows: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9"/>
              </w:rPr>
              <w:t>December 31, 2020</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December 31, 2019</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1"/>
                <w:szCs w:val="11"/>
                <w:color w:val="auto"/>
              </w:rPr>
            </w:pPr>
          </w:p>
        </w:tc>
        <w:tc>
          <w:tcPr>
            <w:tcW w:w="940" w:type="dxa"/>
            <w:vAlign w:val="bottom"/>
          </w:tcPr>
          <w:p>
            <w:pPr>
              <w:jc w:val="center"/>
              <w:ind w:right="139"/>
              <w:spacing w:after="0" w:line="135" w:lineRule="exact"/>
              <w:rPr>
                <w:sz w:val="20"/>
                <w:szCs w:val="20"/>
                <w:color w:val="auto"/>
              </w:rPr>
            </w:pPr>
            <w:r>
              <w:rPr>
                <w:rFonts w:ascii="Arial" w:cs="Arial" w:eastAsia="Arial" w:hAnsi="Arial"/>
                <w:sz w:val="14"/>
                <w:szCs w:val="14"/>
                <w:color w:val="auto"/>
                <w:w w:val="91"/>
              </w:rPr>
              <w:t>Net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1"/>
                <w:szCs w:val="11"/>
                <w:color w:val="auto"/>
              </w:rPr>
            </w:pPr>
          </w:p>
        </w:tc>
        <w:tc>
          <w:tcPr>
            <w:tcW w:w="960" w:type="dxa"/>
            <w:vAlign w:val="bottom"/>
          </w:tcPr>
          <w:p>
            <w:pPr>
              <w:jc w:val="center"/>
              <w:ind w:right="138"/>
              <w:spacing w:after="0" w:line="135"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0"/>
              </w:rPr>
              <w:t>Gross</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8"/>
              </w:rPr>
              <w:t>Carrying</w:t>
            </w:r>
          </w:p>
        </w:tc>
        <w:tc>
          <w:tcPr>
            <w:tcW w:w="220" w:type="dxa"/>
            <w:vAlign w:val="bottom"/>
          </w:tcPr>
          <w:p>
            <w:pPr>
              <w:spacing w:after="0"/>
              <w:rPr>
                <w:sz w:val="11"/>
                <w:szCs w:val="11"/>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90"/>
              </w:rPr>
              <w:t>Gross</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38"/>
              <w:spacing w:after="0" w:line="135" w:lineRule="exact"/>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6"/>
                <w:szCs w:val="16"/>
                <w:color w:val="auto"/>
              </w:rPr>
            </w:pPr>
          </w:p>
        </w:tc>
        <w:tc>
          <w:tcPr>
            <w:tcW w:w="960" w:type="dxa"/>
            <w:vAlign w:val="bottom"/>
          </w:tcPr>
          <w:p>
            <w:pPr>
              <w:jc w:val="center"/>
              <w:ind w:right="138"/>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164,545</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80,903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83,642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164,945</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71,527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93,418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44,944</w:t>
            </w:r>
          </w:p>
        </w:tc>
        <w:tc>
          <w:tcPr>
            <w:tcW w:w="0" w:type="dxa"/>
            <w:vAlign w:val="bottom"/>
          </w:tcPr>
          <w:p>
            <w:pPr>
              <w:spacing w:after="0"/>
              <w:rPr>
                <w:sz w:val="1"/>
                <w:szCs w:val="1"/>
                <w:color w:val="auto"/>
              </w:rPr>
            </w:pPr>
          </w:p>
        </w:tc>
      </w:tr>
      <w:tr>
        <w:trPr>
          <w:trHeight w:val="223"/>
        </w:trPr>
        <w:tc>
          <w:tcPr>
            <w:tcW w:w="3000" w:type="dxa"/>
            <w:vAlign w:val="bottom"/>
          </w:tcPr>
          <w:p>
            <w:pPr>
              <w:ind w:left="68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229,245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229,645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138,362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of other intangible assets was $13.2 million, $11.4 million and $10.7 million for the years ended December 31, 2020, 2019 and 2018, respectively. Future amortization expense by operating segment is expected to be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(In thousands)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47"/>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00"/>
              <w:spacing w:after="0" w:line="147" w:lineRule="exact"/>
              <w:rPr>
                <w:sz w:val="20"/>
                <w:szCs w:val="20"/>
                <w:color w:val="auto"/>
              </w:rPr>
            </w:pPr>
            <w:r>
              <w:rPr>
                <w:rFonts w:ascii="Arial" w:cs="Arial" w:eastAsia="Arial" w:hAnsi="Arial"/>
                <w:sz w:val="14"/>
                <w:szCs w:val="14"/>
                <w:color w:val="auto"/>
                <w:w w:val="97"/>
              </w:rPr>
              <w:t>Electronic</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7" w:lineRule="exact"/>
              <w:rPr>
                <w:sz w:val="20"/>
                <w:szCs w:val="20"/>
                <w:color w:val="auto"/>
              </w:rPr>
            </w:pPr>
            <w:r>
              <w:rPr>
                <w:rFonts w:ascii="Arial" w:cs="Arial" w:eastAsia="Arial" w:hAnsi="Arial"/>
                <w:sz w:val="14"/>
                <w:szCs w:val="14"/>
                <w:color w:val="auto"/>
                <w:w w:val="96"/>
              </w:rPr>
              <w:t>Structural</w:t>
            </w:r>
          </w:p>
        </w:tc>
        <w:tc>
          <w:tcPr>
            <w:tcW w:w="260" w:type="dxa"/>
            <w:vAlign w:val="bottom"/>
          </w:tcPr>
          <w:p>
            <w:pPr>
              <w:spacing w:after="0"/>
              <w:rPr>
                <w:sz w:val="12"/>
                <w:szCs w:val="12"/>
                <w:color w:val="auto"/>
              </w:rPr>
            </w:pPr>
          </w:p>
        </w:tc>
        <w:tc>
          <w:tcPr>
            <w:tcW w:w="1320" w:type="dxa"/>
            <w:vAlign w:val="bottom"/>
          </w:tcPr>
          <w:p>
            <w:pPr>
              <w:jc w:val="right"/>
              <w:ind w:right="334"/>
              <w:spacing w:after="0" w:line="147" w:lineRule="exact"/>
              <w:rPr>
                <w:sz w:val="20"/>
                <w:szCs w:val="20"/>
                <w:color w:val="auto"/>
              </w:rPr>
            </w:pPr>
            <w:r>
              <w:rPr>
                <w:rFonts w:ascii="Arial" w:cs="Arial" w:eastAsia="Arial" w:hAnsi="Arial"/>
                <w:sz w:val="14"/>
                <w:szCs w:val="14"/>
                <w:color w:val="auto"/>
              </w:rPr>
              <w:t>Consolidated</w:t>
            </w:r>
          </w:p>
        </w:tc>
      </w:tr>
      <w:tr>
        <w:trPr>
          <w:trHeight w:val="186"/>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Systems</w:t>
            </w:r>
          </w:p>
        </w:tc>
        <w:tc>
          <w:tcPr>
            <w:tcW w:w="26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Systems</w:t>
            </w:r>
          </w:p>
        </w:tc>
        <w:tc>
          <w:tcPr>
            <w:tcW w:w="26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Arial" w:cs="Arial" w:eastAsia="Arial" w:hAnsi="Arial"/>
                <w:sz w:val="14"/>
                <w:szCs w:val="14"/>
                <w:color w:val="auto"/>
              </w:rPr>
              <w:t>Ducommun</w:t>
            </w:r>
          </w:p>
        </w:tc>
      </w:tr>
      <w:tr>
        <w:trPr>
          <w:trHeight w:val="22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13,021</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12,949</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12,892</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12,656</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60,570</w:t>
            </w:r>
          </w:p>
        </w:tc>
      </w:tr>
      <w:tr>
        <w:trPr>
          <w:trHeight w:val="248"/>
        </w:trPr>
        <w:tc>
          <w:tcPr>
            <w:tcW w:w="6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124,744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liabilities consisted of the following:</w:t>
      </w:r>
    </w:p>
    <w:p>
      <w:pPr>
        <w:spacing w:after="0" w:line="220"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(In thousands)</w:t>
      </w:r>
    </w:p>
    <w:p>
      <w:pPr>
        <w:ind w:left="894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2019</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31,342</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Accrued income tax and sales tax</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37,620</w:t>
            </w:r>
          </w:p>
        </w:tc>
      </w:tr>
      <w:tr>
        <w:trPr>
          <w:trHeight w:val="20"/>
        </w:trPr>
        <w:tc>
          <w:tcPr>
            <w:tcW w:w="7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274" w:lineRule="exact"/>
        <w:rPr>
          <w:sz w:val="20"/>
          <w:szCs w:val="20"/>
          <w:color w:val="auto"/>
        </w:rPr>
      </w:pPr>
    </w:p>
    <w:p>
      <w:pPr>
        <w:ind w:left="8780"/>
        <w:spacing w:after="0"/>
        <w:rPr>
          <w:sz w:val="20"/>
          <w:szCs w:val="20"/>
          <w:color w:val="auto"/>
        </w:rPr>
      </w:pPr>
      <w:r>
        <w:rPr>
          <w:rFonts w:ascii="Arial" w:cs="Arial" w:eastAsia="Arial" w:hAnsi="Arial"/>
          <w:sz w:val="14"/>
          <w:szCs w:val="14"/>
          <w:color w:val="auto"/>
        </w:rPr>
        <w:t>(In thousands)</w:t>
      </w:r>
    </w:p>
    <w:p>
      <w:pPr>
        <w:ind w:left="880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295,638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320,638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313,638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 - term loans</w:t>
            </w: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debt issuance costs - term loans</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rPr>
              <w:t>311,922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300,887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color w:val="auto"/>
              </w:rPr>
              <w:t xml:space="preserve">Debt issuance costs - revolving credit facility </w:t>
            </w:r>
            <w:r>
              <w:rPr>
                <w:rFonts w:ascii="Arial" w:cs="Arial" w:eastAsia="Arial" w:hAnsi="Arial"/>
                <w:sz w:val="23"/>
                <w:szCs w:val="23"/>
                <w:color w:val="auto"/>
                <w:vertAlign w:val="superscript"/>
              </w:rPr>
              <w:t>(1)</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0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915"/>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0"/>
              <w:spacing w:after="0" w:line="176" w:lineRule="exact"/>
              <w:rPr>
                <w:sz w:val="20"/>
                <w:szCs w:val="20"/>
                <w:color w:val="auto"/>
              </w:rPr>
            </w:pPr>
            <w:r>
              <w:rPr>
                <w:rFonts w:ascii="Arial" w:cs="Arial" w:eastAsia="Arial" w:hAnsi="Arial"/>
                <w:sz w:val="18"/>
                <w:szCs w:val="18"/>
                <w:color w:val="auto"/>
              </w:rPr>
              <w:t>1,515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32"/>
              <w:spacing w:after="0" w:line="176" w:lineRule="exact"/>
              <w:rPr>
                <w:sz w:val="20"/>
                <w:szCs w:val="20"/>
                <w:color w:val="auto"/>
              </w:rPr>
            </w:pPr>
            <w:r>
              <w:rPr>
                <w:rFonts w:ascii="Arial" w:cs="Arial" w:eastAsia="Arial" w:hAnsi="Arial"/>
                <w:sz w:val="18"/>
                <w:szCs w:val="18"/>
                <w:color w:val="auto"/>
              </w:rPr>
              <w:t>1,894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interest rate</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200" w:type="dxa"/>
            <w:vAlign w:val="bottom"/>
          </w:tcPr>
          <w:p>
            <w:pPr>
              <w:spacing w:after="0"/>
              <w:rPr>
                <w:sz w:val="20"/>
                <w:szCs w:val="20"/>
                <w:color w:val="auto"/>
              </w:rPr>
            </w:pPr>
            <w:r>
              <w:rPr>
                <w:rFonts w:ascii="Arial" w:cs="Arial" w:eastAsia="Arial" w:hAnsi="Arial"/>
                <w:sz w:val="18"/>
                <w:szCs w:val="18"/>
                <w:color w:val="auto"/>
              </w:rPr>
              <w:t>(1) Included as part of other assets.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spacing w:after="0"/>
              <w:rPr>
                <w:sz w:val="20"/>
                <w:szCs w:val="20"/>
                <w:color w:val="auto"/>
              </w:rPr>
            </w:pPr>
            <w:r>
              <w:rPr>
                <w:rFonts w:ascii="Arial" w:cs="Arial" w:eastAsia="Arial" w:hAnsi="Arial"/>
                <w:sz w:val="18"/>
                <w:szCs w:val="18"/>
                <w:color w:val="auto"/>
              </w:rPr>
              <w:t>Future long-term debt payments at December 31, 2020 were as follows: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412"/>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2022</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2024</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320,638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December 2019, we completed the refinancing of a portion of our existing debt by entering into a new revolving credit facility (“New Revolving Credit Facility”) to replace the existing revolving credit facility that was entered into in November 2018 (“2018 Revolving Credit Facility”) and entered into a new term loan (“New Term Loan”). The New Revolving Credit Facility is a $100.0 million senior secured revolving credit facility that matures on December 20, 2024 replacing the $100.0 million 2018 Revolving Credit Facility that would have matured on November 21, 2023. The New Term Loan is a $140.0 million senior secured term loan that matures on December 20, 2024. We also have an existing $240.0 million senior secured term loan that was entered into in November 2018 that matures on November 21, 2025 (“2018 Term Loan”). The original amounts available under the New Revolving Credit Facility, New Term Loan, and 2018 Term Loan (collectively, the “Credit Facilities”) in aggregate, totaled $480.0 million.</w:t>
      </w:r>
    </w:p>
    <w:p>
      <w:pPr>
        <w:spacing w:after="0" w:line="12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New Term Loan bears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plus 1.00%) plus an applicable margin ranging from 0.50% to 1.50% per year, in each case based upon the consolidated total net adjusted leverage ratio, typically payable quarterly. In addition, the New Term Loan requires installment payments of 1.25% of the original outstanding principal balance of the New Term Loan amount on a quarterly basis, on the last day of the calendar quarter. During 2020, we made the required quarterly payments, in aggregate totaling $7.0 million.</w:t>
      </w:r>
    </w:p>
    <w:p>
      <w:pPr>
        <w:spacing w:after="0" w:line="13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New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New Revolving Credit Facility is subject to a commitment fee ranging from 0.175% to 0.275%, based upon the consolidated total net adjusted leverage ratio. However, the New Revolving Credit Facility does not require any principal installment payments.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 In addition, the 2018 Term Loan required installment payments of 0.25% of the outstanding principal balance of the 2018 Term Loan amount on a quarterly basis.</w:t>
      </w:r>
    </w:p>
    <w:p>
      <w:pPr>
        <w:spacing w:after="0" w:line="13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Further, under the Credit Facilities, if we exceed the annual excess cash flow threshold, we are required to make an annual additional principal payment based on the consolidated adjusted leverage ratio. The annual mandatory excess cash flow payment is based on (i) 50% of the excess cash flow amount if the adjusted leverage ratio is greater than 3.25 to 1.0, (ii) 25% of the excess cash flow amount if the adjusted leverage ratio is less than or equal to 3.25 to</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1.0 but greater than 2.50 to 1.0, and (iii) zero percent of the excess cash flow amount if the consolidated adjusted leverage ratio is less than or equal to 2.50 to 1.0. During the first quarter of 2020, we made the required 2019 annual excess cash flow payment of $7.4 million. As of December 31, 2020, we were in compliance with all covenants required under the Credit Facilities.</w:t>
      </w:r>
    </w:p>
    <w:p>
      <w:pPr>
        <w:spacing w:after="0" w:line="1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drew down $50.0 million on the New Revolving Credit Facility during the first quarter of 2020 to hold as cash on hand, $25.0 million of which was repaid during the fourth quarter of 2020, and thus, we made no net aggregate voluntary prepayments during 2020.</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conjunction with entering into the New Revolving Credit Facility and the New Term Loan, we drew down the entire $140.0 million on the New Term Loan and used those proceeds to pay off and close the 2018 Revolving Credit Facility of $58.5 million, paid down a portion of the 2018 Term Loan of $56.0 million, paid the accrued interest associated with the amounts being paid down on the 2018 Revolving Credit Facility and 2018 Term Loan, paid the fees related to this transaction, and the remainder used for general corporate expenses. The $56.0 million pay down on the 2018 Term Loan paid all the required quarterly installment payments on the 2018 Term Loan until maturity.</w:t>
      </w:r>
    </w:p>
    <w:p>
      <w:pPr>
        <w:spacing w:after="0" w:line="13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New Term Loan and 2018 Term Loan were considered a modification of debt and thus, no gain or loss was recorded. Instead, the new fees paid to the lenders of $0.6 million were capitalized and are being amortized over the life of the New Term Loan. The remaining debt issuance costs related to the 2018 Term Loan of $1.5 million will continue to be amortized over its remaining life.</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New Revolving Credit Facility that replaced the 2018 Revolving Credit Facility was considered an extinguishment of debt except for the portion related to the creditors that were part of both the New Revolving Credit Facility and the 2018 Revolving Credit Facility and in which case, it was considered a modification of debt. As a result, we expensed the portion of the unamortized debt issuance costs related to the 2018 Revolving Credit Facility that was considered an extinguishment of debt of $0.5 million. In addition, the new fees paid to the lenders of $0.5 million as part of the New Revolving Credit Facility were capitalized and are being amortized over its remaining life. Further, the remaining debt issuance costs related to the 2018 Revolving Credit Facility of $1.1 million will also be amortized over its remaining life.</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October 2019, we acquired 100.0% of the outstanding equity interests of Nobles for an original purchase price of $77.0 million, net of cash acquired, all payable in cash. Upon the closing of the transaction, we paid a gross total aggregate of $77.3 million in cash by drawing down on the 2018 Revolving Credit Facility. See Note 2.</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2020, we had $74.8 million of unused borrowing capacity under the New Revolving Credit Facility, after deducting $0.2 million for standby letters of credit.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Credit Facilities were entered into by us (“Parent Company”) and guaranteed by all of our domestic subsidiaries, other than two subsidiaries that were considered minor (“Subsidiary Guarantors”). The Subsidiary Guarantors jointly and severally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guarantee the Credit Facilities. The Parent Company has no independent assets or operations and therefore, no consolidating financial information for the Parent Company and its subsidiaries are presented.</w:t>
      </w:r>
    </w:p>
    <w:p>
      <w:pPr>
        <w:spacing w:after="0" w:line="116"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In October 2015, we entered into interest rate cap hedges designated as cash flow hedges with a portion of these interest rate cap hedges maturing on a quarterly basis, and a final quarterly maturity date of June 2020, in aggregate, totaling $135.0 million of our debt. We paid a total of $1.0 million in connection with entering into the interest rate cap hedges. The interest rate cap hedges matured during our second quarter of 2020 and as such, all remaining amounts related to the interest rate cap hedges were fully amortized and unrealized gains and losses recorded in accumulated other comprehensive income were also realized at that time. See Note 1 for further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are authorized to issue five million shares of preferred stock. At December 31, 2020 and 2019, no preferred shares were issued or outstanding.</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Incentive Compensation Plans</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currently have two active stock incentive plans: i) the 2020 Stock Incentive Plan (the “2020 Plan”), which expires on May 6, 2030, and ii) the 2018 Employee Stock Purchase Plan (“ESPP”). The 2013 Stock Incentive Plan, as Amended (the “2013 Plan”) was closed to further issuances of stock awards on May 6, 2020 and any remaining shares available were folded into the 2020 Plan as part of the approval of the 2020 Plan by shareholders at the 2020 Annual Meeting of Shareholders on May 6, 2020. The 2020 Plan permit awards of stock options, restricted stock units, performance stock units and other stock-based awards to our officers, key employees and non-employee directors on terms determined by the Compensation Committee of the Board of Directors (the “Compensation Committee”). The aggregate number of shares available for issuance under the 2020 Plan is 651,162 plus any outstanding awards issued under the 2013 Plan that are subsequently forfeited, terminated, expire or otherwise lapse without being exercised. As of December 31, 2020, shares available for future grant under the 2020 Plan are 409,487. Prior to the adoption of the 2020 Plan, we granted stock-based awards to purchase shares of our common stock under certain predecessor plans. No further awards can be granted under these predecessor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ESPP was adopted by the Board of Directors and approved by the shareholders in 2018, including 750,000 shares that can be awarded. The first offering period closed on July 31, 2019. Under the ESPP, our employees who elect to participate have the right to purchase common stock at a 15% discount from the lower of the market value of the common stock at the beginning or the end of each six month offering period and the discount will be treated as compensation to those employees. Employees purchase common stock using payroll deductions, which may not exceed 10% of their eligible compensation and other limitations. The Compensation Committee administers the ESPP. As of December 31, 2020, there are 666,194 shares available for future award grants.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years ended December 31, 2020, 2019, and 2018, we granted stock options to our officers and key employees of 8,000, 189,170, and 176,940, respectively, with weighted-average grant date fair values of $16.48, $15.95, and $12.87, respectively. Stock options have been granted with an exercise price equal to the fair market value of our stock on the date of grant and expire not more than ten years from the date of grant. The stock options typically vest over a period of three or four years from the date of grant. The option price and number of shares are subject to adjustment under certain dilutive circumstances. If an employee terminates employment, the non-vested portion of the stock options will not vest and all rights to the non-vested portion will terminate completely.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December 31, 2020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Weighted-</w:t>
            </w:r>
          </w:p>
        </w:tc>
        <w:tc>
          <w:tcPr>
            <w:tcW w:w="20" w:type="dxa"/>
            <w:vAlign w:val="bottom"/>
          </w:tcPr>
          <w:p>
            <w:pPr>
              <w:spacing w:after="0"/>
              <w:rPr>
                <w:sz w:val="14"/>
                <w:szCs w:val="14"/>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Weighted-Average</w:t>
            </w:r>
          </w:p>
        </w:tc>
        <w:tc>
          <w:tcPr>
            <w:tcW w:w="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w w:val="99"/>
              </w:rPr>
              <w:t>Aggregate Intrinsic</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2"/>
              </w:rPr>
              <w:t>Number</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1"/>
              </w:rPr>
              <w:t>Average</w:t>
            </w:r>
          </w:p>
        </w:tc>
        <w:tc>
          <w:tcPr>
            <w:tcW w:w="20" w:type="dxa"/>
            <w:vAlign w:val="bottom"/>
          </w:tcPr>
          <w:p>
            <w:pPr>
              <w:spacing w:after="0"/>
              <w:rPr>
                <w:sz w:val="11"/>
                <w:szCs w:val="11"/>
                <w:color w:val="auto"/>
              </w:rPr>
            </w:pPr>
          </w:p>
        </w:tc>
        <w:tc>
          <w:tcPr>
            <w:tcW w:w="1300" w:type="dxa"/>
            <w:vAlign w:val="bottom"/>
            <w:gridSpan w:val="3"/>
          </w:tcPr>
          <w:p>
            <w:pPr>
              <w:jc w:val="center"/>
              <w:ind w:right="140"/>
              <w:spacing w:after="0" w:line="135" w:lineRule="exact"/>
              <w:rPr>
                <w:sz w:val="20"/>
                <w:szCs w:val="20"/>
                <w:color w:val="auto"/>
              </w:rPr>
            </w:pPr>
            <w:r>
              <w:rPr>
                <w:rFonts w:ascii="Arial" w:cs="Arial" w:eastAsia="Arial" w:hAnsi="Arial"/>
                <w:sz w:val="14"/>
                <w:szCs w:val="14"/>
                <w:color w:val="auto"/>
                <w:w w:val="95"/>
              </w:rPr>
              <w:t>Remaining</w:t>
            </w:r>
          </w:p>
        </w:tc>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Exercise</w:t>
            </w:r>
          </w:p>
        </w:tc>
        <w:tc>
          <w:tcPr>
            <w:tcW w:w="20" w:type="dxa"/>
            <w:vAlign w:val="bottom"/>
          </w:tcPr>
          <w:p>
            <w:pPr>
              <w:spacing w:after="0"/>
              <w:rPr>
                <w:sz w:val="11"/>
                <w:szCs w:val="11"/>
                <w:color w:val="auto"/>
              </w:rPr>
            </w:pPr>
          </w:p>
        </w:tc>
        <w:tc>
          <w:tcPr>
            <w:tcW w:w="1300" w:type="dxa"/>
            <w:vAlign w:val="bottom"/>
            <w:gridSpan w:val="3"/>
          </w:tcPr>
          <w:p>
            <w:pPr>
              <w:jc w:val="center"/>
              <w:ind w:right="160"/>
              <w:spacing w:after="0" w:line="135" w:lineRule="exact"/>
              <w:rPr>
                <w:sz w:val="20"/>
                <w:szCs w:val="20"/>
                <w:color w:val="auto"/>
              </w:rPr>
            </w:pPr>
            <w:r>
              <w:rPr>
                <w:rFonts w:ascii="Arial" w:cs="Arial" w:eastAsia="Arial" w:hAnsi="Arial"/>
                <w:sz w:val="14"/>
                <w:szCs w:val="14"/>
                <w:color w:val="auto"/>
                <w:w w:val="95"/>
              </w:rPr>
              <w:t>Contractual Life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98"/>
              <w:spacing w:after="0" w:line="135" w:lineRule="exact"/>
              <w:rPr>
                <w:sz w:val="20"/>
                <w:szCs w:val="20"/>
                <w:color w:val="auto"/>
              </w:rPr>
            </w:pPr>
            <w:r>
              <w:rPr>
                <w:rFonts w:ascii="Arial" w:cs="Arial" w:eastAsia="Arial" w:hAnsi="Arial"/>
                <w:sz w:val="14"/>
                <w:szCs w:val="14"/>
                <w:color w:val="auto"/>
                <w:w w:val="94"/>
              </w:rPr>
              <w:t>Value (in</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of Stock Options</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Price Per Share</w:t>
            </w:r>
          </w:p>
        </w:tc>
        <w:tc>
          <w:tcPr>
            <w:tcW w:w="20" w:type="dxa"/>
            <w:vAlign w:val="bottom"/>
          </w:tcPr>
          <w:p>
            <w:pPr>
              <w:spacing w:after="0"/>
              <w:rPr>
                <w:sz w:val="15"/>
                <w:szCs w:val="15"/>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(Years)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78"/>
              <w:spacing w:after="0"/>
              <w:rPr>
                <w:sz w:val="20"/>
                <w:szCs w:val="20"/>
                <w:color w:val="auto"/>
              </w:rPr>
            </w:pPr>
            <w:r>
              <w:rPr>
                <w:rFonts w:ascii="Arial" w:cs="Arial" w:eastAsia="Arial" w:hAnsi="Arial"/>
                <w:sz w:val="14"/>
                <w:szCs w:val="14"/>
                <w:color w:val="auto"/>
                <w:w w:val="89"/>
              </w:rPr>
              <w:t>thousands)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Outstanding at January 1, 2020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446,818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tcPr>
          <w:p>
            <w:pPr>
              <w:jc w:val="right"/>
              <w:spacing w:after="0"/>
              <w:rPr>
                <w:sz w:val="20"/>
                <w:szCs w:val="20"/>
                <w:color w:val="auto"/>
              </w:rPr>
            </w:pPr>
            <w:r>
              <w:rPr>
                <w:rFonts w:ascii="Arial" w:cs="Arial" w:eastAsia="Arial" w:hAnsi="Arial"/>
                <w:sz w:val="18"/>
                <w:szCs w:val="18"/>
                <w:color w:val="auto"/>
              </w:rPr>
              <w:t>(54,063)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Exerciseable at December 31, 2020</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06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188,466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32.37</w:t>
            </w:r>
          </w:p>
        </w:tc>
        <w:tc>
          <w:tcPr>
            <w:tcW w:w="100" w:type="dxa"/>
            <w:vAlign w:val="bottom"/>
          </w:tcPr>
          <w:p>
            <w:pPr>
              <w:spacing w:after="0"/>
              <w:rPr>
                <w:sz w:val="17"/>
                <w:szCs w:val="17"/>
                <w:color w:val="auto"/>
              </w:rPr>
            </w:pPr>
          </w:p>
        </w:tc>
        <w:tc>
          <w:tcPr>
            <w:tcW w:w="12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5.9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7400" w:type="dxa"/>
            <w:vAlign w:val="bottom"/>
            <w:gridSpan w:val="4"/>
          </w:tcPr>
          <w:p>
            <w:pPr>
              <w:spacing w:after="0"/>
              <w:rPr>
                <w:sz w:val="20"/>
                <w:szCs w:val="20"/>
                <w:color w:val="auto"/>
              </w:rPr>
            </w:pPr>
            <w:r>
              <w:rPr>
                <w:rFonts w:ascii="Arial" w:cs="Arial" w:eastAsia="Arial" w:hAnsi="Arial"/>
                <w:sz w:val="18"/>
                <w:szCs w:val="18"/>
                <w:color w:val="auto"/>
              </w:rPr>
              <w:t>Changes in nonvested stock options for the year ended December 31, 2020 were as follows: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58"/>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5"/>
              </w:rPr>
              <w:t>Number of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5"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78"/>
              <w:spacing w:after="0" w:line="135" w:lineRule="exact"/>
              <w:rPr>
                <w:sz w:val="20"/>
                <w:szCs w:val="20"/>
                <w:color w:val="auto"/>
              </w:rPr>
            </w:pPr>
            <w:r>
              <w:rPr>
                <w:rFonts w:ascii="Arial" w:cs="Arial" w:eastAsia="Arial" w:hAnsi="Arial"/>
                <w:sz w:val="14"/>
                <w:szCs w:val="14"/>
                <w:color w:val="auto"/>
                <w:w w:val="96"/>
              </w:rPr>
              <w:t>Grant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4"/>
                <w:szCs w:val="14"/>
                <w:color w:val="auto"/>
                <w:w w:val="95"/>
              </w:rPr>
              <w:t>Options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color w:val="auto"/>
                <w:w w:val="92"/>
              </w:rPr>
              <w:t>Date Fair Value</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2020</w:t>
            </w: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349,871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(20,612)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191,677</w:t>
            </w: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aggregate intrinsic value of stock options represents the amount by which the market price of our common stock exceeds the exercise price of the stock option. The aggregate intrinsic value of stock options exercised for the years ended December 31, 2020, 2019 and 2018 was $0.9 million, $1.8 million, and $1.3 million, respectively. Cash received from stock options exercised for the years ended December 31, 2020, 2019 and 2018 was $1.9 million, $2.6 million, and $1.8 million, respectively, with related tax benefits of $0.5 million, $0.6 million, and $0.3 million, respectively. The total amount of stock options vested and expected to vest in the future is 380,143 shares with a weighted-average exercise price of $35.46 and an aggregate intrinsic value of $7.2 million. These stock options have a weighted-average remaining contractual term of 6.8 years.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share-based compensation cost expensed for stock options for the years ended December 31, 2020, 2019, and 2018 (before tax benefits) was $1.8 million, $1.6 million, and $0.9 million, respectively, and is included in selling, general and administrative expenses on the consolidated income statements. At December 31, 2020, total unrecognized compensation cost (before tax benefits) related to stock options of $1.8 million is expected to be recognized over a weighted-average period of 1.1 years. The total fair value of stock options vested during the years ended December 31, 2020, 2019, and 2018 was $2.0 million, $1.3 million, and $0.8 million, respectively.</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apply fair value accounting for stock-based compensation based on the grant date fair value estimated using a Black-Scholes-Merton (“Black-Scholes”) valuation model. The assumptions used to compute the fair value of stock option grants under the Stock Incentive Plans for years ended December 31, 2020, 2019, and 2018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color w:val="auto"/>
                <w:w w:val="98"/>
              </w:rPr>
              <w:t>Years Ended December 31,</w:t>
            </w:r>
          </w:p>
        </w:tc>
        <w:tc>
          <w:tcPr>
            <w:tcW w:w="1680" w:type="dxa"/>
            <w:vAlign w:val="bottom"/>
          </w:tcPr>
          <w:p>
            <w:pPr>
              <w:spacing w:after="0"/>
              <w:rPr>
                <w:sz w:val="15"/>
                <w:szCs w:val="15"/>
                <w:color w:val="auto"/>
              </w:rPr>
            </w:pPr>
          </w:p>
        </w:tc>
      </w:tr>
      <w:tr>
        <w:trPr>
          <w:trHeight w:val="195"/>
        </w:trPr>
        <w:tc>
          <w:tcPr>
            <w:tcW w:w="6940" w:type="dxa"/>
            <w:vAlign w:val="bottom"/>
            <w:gridSpan w:val="2"/>
          </w:tcPr>
          <w:p>
            <w:pPr>
              <w:ind w:left="6620"/>
              <w:spacing w:after="0"/>
              <w:rPr>
                <w:sz w:val="20"/>
                <w:szCs w:val="20"/>
                <w:color w:val="auto"/>
              </w:rPr>
            </w:pPr>
            <w:r>
              <w:rPr>
                <w:rFonts w:ascii="Arial" w:cs="Arial" w:eastAsia="Arial" w:hAnsi="Arial"/>
                <w:sz w:val="14"/>
                <w:szCs w:val="14"/>
                <w:color w:val="auto"/>
                <w:w w:val="96"/>
              </w:rPr>
              <w:t>2020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616"/>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680" w:type="dxa"/>
            <w:vAlign w:val="bottom"/>
          </w:tcPr>
          <w:p>
            <w:pPr>
              <w:jc w:val="right"/>
              <w:ind w:right="614"/>
              <w:spacing w:after="0"/>
              <w:rPr>
                <w:sz w:val="20"/>
                <w:szCs w:val="20"/>
                <w:color w:val="auto"/>
              </w:rPr>
            </w:pPr>
            <w:r>
              <w:rPr>
                <w:rFonts w:ascii="Arial" w:cs="Arial" w:eastAsia="Arial" w:hAnsi="Arial"/>
                <w:sz w:val="14"/>
                <w:szCs w:val="14"/>
                <w:color w:val="auto"/>
              </w:rPr>
              <w:t>2018</w:t>
            </w: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37.75 %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40.44 %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53.66 %</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Expected term (in months)</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recognize compensation expense, net of an estimated forfeiture rate, on a straight-line basis over the requisite service period of the award. We have award populations with option vesting terms of three and four years. We estimate the forfeiture rate based on our historic experience, attempting to determine any discernible activity patterns. The expected life computation is based on historic exercise patterns and post-vesting termination behavior. The risk-free interest rate for periods within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contractual life of the award is based on the U.S. Treasury yield curve in effect at the time of grant. The expected volatility is derived from historical volatility of our common stock. We suspended payments of dividends after the first quarter of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granted restricted stock units (“RSUs”) to certain officers, key employees and non-employee directors of 118,835, 62,520, and 81,230 RSUs during the years ended December 31, 2020, 2019, and 2018, respectively, with weighted-average grant date fair values (equal to the fair market value of our stock on the date of grant) of $27.62, $41.04, and $32.36 per share, respectively. RSUs represent a right to receive a share of stock at future vesting dates with no cash payment required from the holder. The RSUs typically have a three year vesting term of 33%, 33% and 34% on the first, second and third anniversaries of the date of grant, respectively. If an employee terminates employment, their non-vested portion of the RSUs will not vest and all rights to the non-vested portion will terminate.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for the year ended December 31, 2020 was as follows: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4"/>
              </w:rPr>
              <w:t>Number of</w:t>
            </w:r>
          </w:p>
        </w:tc>
        <w:tc>
          <w:tcPr>
            <w:tcW w:w="140" w:type="dxa"/>
            <w:vAlign w:val="bottom"/>
          </w:tcPr>
          <w:p>
            <w:pPr>
              <w:spacing w:after="0"/>
              <w:rPr>
                <w:sz w:val="14"/>
                <w:szCs w:val="14"/>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35"/>
        </w:trPr>
        <w:tc>
          <w:tcPr>
            <w:tcW w:w="86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58"/>
              <w:spacing w:after="0" w:line="135"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35"/>
        </w:trPr>
        <w:tc>
          <w:tcPr>
            <w:tcW w:w="86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2"/>
              </w:rPr>
              <w:t>Restricted Stock</w:t>
            </w:r>
          </w:p>
        </w:tc>
        <w:tc>
          <w:tcPr>
            <w:tcW w:w="140" w:type="dxa"/>
            <w:vAlign w:val="bottom"/>
          </w:tcPr>
          <w:p>
            <w:pPr>
              <w:spacing w:after="0"/>
              <w:rPr>
                <w:sz w:val="11"/>
                <w:szCs w:val="11"/>
                <w:color w:val="auto"/>
              </w:rPr>
            </w:pPr>
          </w:p>
        </w:tc>
        <w:tc>
          <w:tcPr>
            <w:tcW w:w="1140" w:type="dxa"/>
            <w:vAlign w:val="bottom"/>
          </w:tcPr>
          <w:p>
            <w:pPr>
              <w:jc w:val="center"/>
              <w:ind w:right="98"/>
              <w:spacing w:after="0" w:line="135" w:lineRule="exact"/>
              <w:rPr>
                <w:sz w:val="20"/>
                <w:szCs w:val="20"/>
                <w:color w:val="auto"/>
              </w:rPr>
            </w:pPr>
            <w:r>
              <w:rPr>
                <w:rFonts w:ascii="Arial" w:cs="Arial" w:eastAsia="Arial" w:hAnsi="Arial"/>
                <w:sz w:val="14"/>
                <w:szCs w:val="14"/>
                <w:color w:val="auto"/>
                <w:w w:val="91"/>
              </w:rPr>
              <w:t>Grant</w:t>
            </w:r>
          </w:p>
        </w:tc>
        <w:tc>
          <w:tcPr>
            <w:tcW w:w="0" w:type="dxa"/>
            <w:vAlign w:val="bottom"/>
          </w:tcPr>
          <w:p>
            <w:pPr>
              <w:spacing w:after="0"/>
              <w:rPr>
                <w:sz w:val="1"/>
                <w:szCs w:val="1"/>
                <w:color w:val="auto"/>
              </w:rPr>
            </w:pPr>
          </w:p>
        </w:tc>
      </w:tr>
      <w:tr>
        <w:trPr>
          <w:trHeight w:val="186"/>
        </w:trPr>
        <w:tc>
          <w:tcPr>
            <w:tcW w:w="86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rPr>
              <w:t>Units</w:t>
            </w:r>
          </w:p>
        </w:tc>
        <w:tc>
          <w:tcPr>
            <w:tcW w:w="140" w:type="dxa"/>
            <w:vAlign w:val="bottom"/>
          </w:tcPr>
          <w:p>
            <w:pPr>
              <w:spacing w:after="0"/>
              <w:rPr>
                <w:sz w:val="16"/>
                <w:szCs w:val="16"/>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w w:val="94"/>
              </w:rPr>
              <w:t>Date Fair Value</w:t>
            </w:r>
          </w:p>
        </w:tc>
        <w:tc>
          <w:tcPr>
            <w:tcW w:w="0" w:type="dxa"/>
            <w:vAlign w:val="bottom"/>
          </w:tcPr>
          <w:p>
            <w:pPr>
              <w:spacing w:after="0"/>
              <w:rPr>
                <w:sz w:val="1"/>
                <w:szCs w:val="1"/>
                <w:color w:val="auto"/>
              </w:rPr>
            </w:pPr>
          </w:p>
        </w:tc>
      </w:tr>
      <w:tr>
        <w:trPr>
          <w:trHeight w:val="226"/>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118,835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share-based compensation cost expensed for RSUs for the years ended December 31, 2020, 2019, and 2018 (before tax benefits) was $2.6 million, $2.4 million, and $2.1 million respectively, and is included in selling, general and administrative expenses on the consolidated income statements. At December 31, 2020, total unrecognized compensation cost (before tax benefits) related to RSUs of $3.4 million is expected to be recognized over a weighted average period of 1.8 years. The total fair value of RSUs vested for the years ended December 31, 2020, 2019, and 2018 was $2.3 million, $2.4 million, and $2.7 million, respectively. The tax benefit realized from vested RSUs for the years ended December 31, 2020, 2019, and 2018 was $0.5 million, $0.6 million, and $0.6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granted performance stock awards (“PSUs”) to certain key employees of 159,136, 58,178, and 64,700 PSUs during the years ended December 31, 2020, 2019, and 2018, respectively, with weighted-average grant date fair values of $29.65, $43.80, and $35.16 per share, respectively. PSU awards are subject to the attainment of performance goals established by the Compensation Committee, the periods during which performance is to be measured, and all other limitations and conditions applicable to the awarded shares. Performance goals are based on a pre-established objective formula that specifies the manner of determining the number of PSUs that will be granted if performance goals are attained. If an employee terminates employment, their non-vested portion of the PSUs will not vest and all rights to the non-vested portion will terminate.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Performance stock activity for the year ended December 31, 2020 was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Number of</w:t>
            </w:r>
          </w:p>
        </w:tc>
        <w:tc>
          <w:tcPr>
            <w:tcW w:w="120" w:type="dxa"/>
            <w:vAlign w:val="bottom"/>
          </w:tcPr>
          <w:p>
            <w:pPr>
              <w:spacing w:after="0"/>
              <w:rPr>
                <w:sz w:val="14"/>
                <w:szCs w:val="14"/>
                <w:color w:val="auto"/>
              </w:rPr>
            </w:pPr>
          </w:p>
        </w:tc>
        <w:tc>
          <w:tcPr>
            <w:tcW w:w="1060" w:type="dxa"/>
            <w:vAlign w:val="bottom"/>
          </w:tcPr>
          <w:p>
            <w:pPr>
              <w:jc w:val="center"/>
              <w:ind w:right="58"/>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5"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Performance Stock</w:t>
            </w:r>
          </w:p>
        </w:tc>
        <w:tc>
          <w:tcPr>
            <w:tcW w:w="120" w:type="dxa"/>
            <w:vAlign w:val="bottom"/>
          </w:tcPr>
          <w:p>
            <w:pPr>
              <w:spacing w:after="0"/>
              <w:rPr>
                <w:sz w:val="11"/>
                <w:szCs w:val="11"/>
                <w:color w:val="auto"/>
              </w:rPr>
            </w:pPr>
          </w:p>
        </w:tc>
        <w:tc>
          <w:tcPr>
            <w:tcW w:w="1060" w:type="dxa"/>
            <w:vAlign w:val="bottom"/>
          </w:tcPr>
          <w:p>
            <w:pPr>
              <w:jc w:val="center"/>
              <w:ind w:right="78"/>
              <w:spacing w:after="0" w:line="135" w:lineRule="exact"/>
              <w:rPr>
                <w:sz w:val="20"/>
                <w:szCs w:val="20"/>
                <w:color w:val="auto"/>
              </w:rPr>
            </w:pPr>
            <w:r>
              <w:rPr>
                <w:rFonts w:ascii="Arial" w:cs="Arial" w:eastAsia="Arial" w:hAnsi="Arial"/>
                <w:sz w:val="14"/>
                <w:szCs w:val="14"/>
                <w:color w:val="auto"/>
                <w:w w:val="96"/>
              </w:rPr>
              <w:t>Grant</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6"/>
                <w:szCs w:val="16"/>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color w:val="auto"/>
                <w:w w:val="92"/>
              </w:rPr>
              <w:t>Date Fair Value</w:t>
            </w:r>
          </w:p>
        </w:tc>
        <w:tc>
          <w:tcPr>
            <w:tcW w:w="0" w:type="dxa"/>
            <w:vAlign w:val="bottom"/>
          </w:tcPr>
          <w:p>
            <w:pPr>
              <w:spacing w:after="0"/>
              <w:rPr>
                <w:sz w:val="1"/>
                <w:szCs w:val="1"/>
                <w:color w:val="auto"/>
              </w:rPr>
            </w:pPr>
          </w:p>
        </w:tc>
      </w:tr>
      <w:tr>
        <w:trPr>
          <w:trHeight w:val="22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30"/>
        </w:trPr>
        <w:tc>
          <w:tcPr>
            <w:tcW w:w="86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159,136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share-based compensation cost expensed for PSUs for the years ended December 31, 2020, 2019, and 2018 (before tax benefits) was $4.9 million, $3.2 million and $1.9 million, respectively, and is included in selling, general and administrative expenses on the consolidated income statements. At December 31, 2020, total unrecognized compensation cost (before tax benefits) related to PSUs of $4.2 million is expected to be recognized over a weighted-average period of 2.0 years. The total fair value of PSUs vested during the years ended December 31, 2020, 2019, and 2018, was $3.7 million, $3.8 million, and $0.3</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million, respectively. The tax benefit realized from PSUs for the years ended December 31, 2020, 2019, and 2018 were $0.9 million, $0.9 million, and $0.1 million, respectively.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Retirement Plans</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three unfunded supplemental retirement plans. The first plan was suspended in 1986, but continues to cover certain former executives. The second plan was suspended in 1997, but continues to cover certain current and retired directors. The third plan covers certain current and retired employees and further employee contributions to this plan were suspended on August 5, 2011. The liability for the third plan and interest thereon is included in accrued employee compensation and long-term liabilities and was zero and $0.1 million, respectively, at December 31, 2020 and zero and $0.1 million, respectively, at December 31, 2019. The accumulated benefit obligations of the first two plans at December 31, 2020 and December 31, 2019 were $0.3 million and $0.4 million, respectively, and are included in accrued liabilities.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Contribution 401(K) Plans</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sponsor a 401(k) defined contribution plan for all our employees. The plan allows the employees to make annual voluntary contributions not to exceed the lesser of an amount equal to 25% of their compensation or limits established by the Internal Revenue Code. Under this plan, we generally provide a match equal to 50% of the employee’s contributions up to the first 6% of compensation, except for union employees who are not eligible to receive the match. Our provision for matching and profit sharing contributions for the three years ended December 31, 2020, 2019, and 2018 was $2.6 million, $2.7 million, and $2.6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Plans</w:t>
      </w:r>
    </w:p>
    <w:p>
      <w:pPr>
        <w:spacing w:after="0" w:line="1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 defined benefit pension plan covering certain hourly employees of a subsidiary (the “Pension Plan”). Pension Plan benefits are generally determined on the basis of the retiree’s age and length of service. Assets of the Pension Plan are composed primarily of fixed income and equity securities. We also have a retirement plan covering certain current and retired employees (the “LaBarge Retirement Plan”). As part of the acquisition of CTP, we acquired their defined benefit pension plan (the “CTP Pension Plan”), which covered certain current and retired employees that were fully funded by CTP as of the acquisition date in April 2018. The CTP Pension Plan was suspended as of the acquisition date but continued to cover certain current and former CTP employees. The CTP Pension Plan gross assets, liabilities, and current year expense were immaterial for disclosure purposes. The CTP Pension Plan was subsequently liquidated in November 2019 with no loss recorded as a pension plan escrow fund was established as part of the acquisition to cover any losses until it was liquidated.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cost for the Pension Plan and LaBarge Retirement Plan in aggregate are as follows:</w:t>
      </w:r>
    </w:p>
    <w:p>
      <w:pPr>
        <w:spacing w:after="0" w:line="31" w:lineRule="exact"/>
        <w:rPr>
          <w:sz w:val="20"/>
          <w:szCs w:val="20"/>
          <w:color w:val="auto"/>
        </w:rPr>
      </w:pPr>
    </w:p>
    <w:p>
      <w:pPr>
        <w:jc w:val="center"/>
        <w:ind w:left="6100"/>
        <w:spacing w:after="0"/>
        <w:rPr>
          <w:sz w:val="20"/>
          <w:szCs w:val="20"/>
          <w:color w:val="auto"/>
        </w:rPr>
      </w:pPr>
      <w:r>
        <w:rPr>
          <w:rFonts w:ascii="Arial" w:cs="Arial" w:eastAsia="Arial" w:hAnsi="Arial"/>
          <w:sz w:val="14"/>
          <w:szCs w:val="14"/>
          <w:color w:val="auto"/>
        </w:rPr>
        <w:t>(In thousands)</w:t>
      </w:r>
    </w:p>
    <w:p>
      <w:pPr>
        <w:jc w:val="center"/>
        <w:ind w:left="610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2018</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actuarial losses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periodic pension cost</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reclassifications of net actuarial losses from accumulated other comprehensive loss to net income for 2020 were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color w:val="auto"/>
                <w:w w:val="93"/>
              </w:rPr>
              <w:t>(In thousands)</w:t>
            </w:r>
          </w:p>
        </w:tc>
      </w:tr>
      <w:tr>
        <w:trPr>
          <w:trHeight w:val="182"/>
        </w:trPr>
        <w:tc>
          <w:tcPr>
            <w:tcW w:w="9600" w:type="dxa"/>
            <w:vAlign w:val="bottom"/>
          </w:tcPr>
          <w:p>
            <w:pPr>
              <w:spacing w:after="0"/>
              <w:rPr>
                <w:sz w:val="15"/>
                <w:szCs w:val="15"/>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1"/>
              </w:rPr>
              <w:t>Year Ended December 31,</w:t>
            </w:r>
          </w:p>
        </w:tc>
      </w:tr>
      <w:tr>
        <w:trPr>
          <w:trHeight w:val="190"/>
        </w:trPr>
        <w:tc>
          <w:tcPr>
            <w:tcW w:w="9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color w:val="auto"/>
                <w:w w:val="89"/>
              </w:rPr>
              <w:t>2020</w:t>
            </w:r>
          </w:p>
        </w:tc>
      </w:tr>
      <w:tr>
        <w:trPr>
          <w:trHeight w:val="229"/>
        </w:trPr>
        <w:tc>
          <w:tcPr>
            <w:tcW w:w="960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 xml:space="preserve">Amortization of actuarial loss - total before tax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837"/>
              <w:spacing w:after="0"/>
              <w:rPr>
                <w:sz w:val="20"/>
                <w:szCs w:val="20"/>
                <w:color w:val="auto"/>
              </w:rPr>
            </w:pPr>
            <w:r>
              <w:rPr>
                <w:rFonts w:ascii="Arial" w:cs="Arial" w:eastAsia="Arial" w:hAnsi="Arial"/>
                <w:sz w:val="18"/>
                <w:szCs w:val="18"/>
                <w:color w:val="auto"/>
                <w:w w:val="86"/>
              </w:rPr>
              <w:t>993</w:t>
            </w:r>
          </w:p>
        </w:tc>
      </w:tr>
      <w:tr>
        <w:trPr>
          <w:trHeight w:val="230"/>
        </w:trPr>
        <w:tc>
          <w:tcPr>
            <w:tcW w:w="9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benefit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95"/>
              </w:rPr>
              <w:t>(236)</w:t>
            </w:r>
          </w:p>
        </w:tc>
      </w:tr>
      <w:tr>
        <w:trPr>
          <w:trHeight w:val="248"/>
        </w:trPr>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center"/>
              <w:ind w:left="837"/>
              <w:spacing w:after="0"/>
              <w:rPr>
                <w:sz w:val="20"/>
                <w:szCs w:val="20"/>
                <w:color w:val="auto"/>
              </w:rPr>
            </w:pPr>
            <w:r>
              <w:rPr>
                <w:rFonts w:ascii="Arial" w:cs="Arial" w:eastAsia="Arial" w:hAnsi="Arial"/>
                <w:sz w:val="18"/>
                <w:szCs w:val="18"/>
                <w:color w:val="auto"/>
                <w:w w:val="86"/>
              </w:rPr>
              <w:t>757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580" w:right="580" w:hanging="329"/>
        <w:spacing w:after="0" w:line="277" w:lineRule="auto"/>
        <w:tabs>
          <w:tab w:leader="none" w:pos="57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amortization expense is included in the computation of periodic pension cost and is a decrease to net income upon reclassification from accumulated other comprehensive loss.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estimated net actuarial loss for both plans that will be amortized from accumulated other comprehensive loss into net periodic cost during 2021 is $1.0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fair value of plan assets, and funded status of both plans are as follows:</w:t>
      </w:r>
    </w:p>
    <w:p>
      <w:pPr>
        <w:spacing w:after="0" w:line="274"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(In thousands)</w:t>
      </w:r>
    </w:p>
    <w:p>
      <w:pPr>
        <w:ind w:left="890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40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Change in benefit obligation</w:t>
            </w:r>
            <w:r>
              <w:rPr>
                <w:rFonts w:ascii="Arial" w:cs="Arial" w:eastAsia="Arial" w:hAnsi="Arial"/>
                <w:sz w:val="20"/>
                <w:szCs w:val="20"/>
                <w:b w:val="1"/>
                <w:bCs w:val="1"/>
                <w:color w:val="auto"/>
                <w:vertAlign w:val="superscript"/>
              </w:rPr>
              <w:t>(1)</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rPr>
              <w:t>Beginning benefit obligation (January 1)</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39,085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33,951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rPr>
              <w:t>Interest cost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Benefits paid</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Ending benefit obligation (December 31)</w:t>
            </w: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Arial" w:cs="Arial" w:eastAsia="Arial" w:hAnsi="Arial"/>
                <w:sz w:val="18"/>
                <w:szCs w:val="18"/>
                <w:b w:val="1"/>
                <w:bCs w:val="1"/>
                <w:color w:val="auto"/>
              </w:rPr>
              <w:t>Change in plan assets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00" w:type="dxa"/>
            <w:vAlign w:val="bottom"/>
            <w:gridSpan w:val="5"/>
            <w:vMerge w:val="continue"/>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Beginning fair value of plan assets (January 1)</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rPr>
              <w:t>Return on assets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Benefits paid</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Ending fair value of plan assets (December 31)</w:t>
            </w: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b w:val="1"/>
                <w:bCs w:val="1"/>
                <w:color w:val="auto"/>
              </w:rPr>
              <w:t>Funded status (underfunded)</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gridSpan w:val="5"/>
            <w:vMerge w:val="continue"/>
          </w:tcPr>
          <w:p>
            <w:pPr>
              <w:spacing w:after="0"/>
              <w:rPr>
                <w:sz w:val="17"/>
                <w:szCs w:val="17"/>
                <w:color w:val="auto"/>
              </w:rPr>
            </w:pPr>
          </w:p>
        </w:tc>
        <w:tc>
          <w:tcPr>
            <w:tcW w:w="1120" w:type="dxa"/>
            <w:vAlign w:val="bottom"/>
            <w:tcBorders>
              <w:bottom w:val="single" w:sz="8" w:color="auto"/>
            </w:tcBorders>
          </w:tcPr>
          <w:p>
            <w:pPr>
              <w:jc w:val="right"/>
              <w:ind w:right="93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(12,172)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14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Amounts recognized in the consolidated balance sheet</w:t>
            </w:r>
          </w:p>
        </w:tc>
        <w:tc>
          <w:tcPr>
            <w:tcW w:w="326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gridSpan w:val="5"/>
          </w:tcPr>
          <w:p>
            <w:pPr>
              <w:ind w:left="340"/>
              <w:spacing w:after="0"/>
              <w:rPr>
                <w:sz w:val="20"/>
                <w:szCs w:val="20"/>
                <w:color w:val="auto"/>
              </w:rPr>
            </w:pPr>
            <w:r>
              <w:rPr>
                <w:rFonts w:ascii="Arial" w:cs="Arial" w:eastAsia="Arial" w:hAnsi="Arial"/>
                <w:sz w:val="18"/>
                <w:szCs w:val="18"/>
                <w:color w:val="auto"/>
              </w:rPr>
              <w:t>Current liabilities</w:t>
            </w:r>
          </w:p>
        </w:tc>
        <w:tc>
          <w:tcPr>
            <w:tcW w:w="112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Non-current liabilities</w:t>
            </w: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Arial" w:cs="Arial" w:eastAsia="Arial" w:hAnsi="Arial"/>
                <w:sz w:val="18"/>
                <w:szCs w:val="18"/>
                <w:b w:val="1"/>
                <w:bCs w:val="1"/>
                <w:color w:val="auto"/>
              </w:rPr>
              <w:t>Unrecognized loss included in accumulated other comprehensive loss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00" w:type="dxa"/>
            <w:vAlign w:val="bottom"/>
            <w:gridSpan w:val="5"/>
            <w:vMerge w:val="continue"/>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Beginning unrecognized loss, before tax (January 1)</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rPr>
              <w:t>Amortization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Liability (gain) loss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Asset loss (gain)</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Ending unrecognized loss, before tax (December 31)</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Tax impact</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Unrecognized loss included in accumulated other comprehensive loss, net of tax</w:t>
            </w: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Projected benefit obligation equals the accumulated benefit obligation for the plans.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December 31, 2020, our annual measurement date, the accumulated benefit obligation exceeded the fair value of the plans assets by $12.2 million. Such excess is referred to as an unfunded accumulated benefit obligation. We recorded unrecognized loss included in accumulated other comprehensive loss, net of tax at December 31, 2020 and 2019 of $9.6 million and $8.1 million, respectively, which decreased shareholders’ equity. This charge to shareholders’ equity represents a net loss not yet recognized as pension expense. This charge did not affect reported earnings, and would be decreased or be eliminated if either interest rates increase or market performance and plan returns improve which will cause the Pension Plan to return to fully funded status.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asset allocations at December 31, 2020 and 2019, by asset category,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20" w:type="dxa"/>
            <w:vAlign w:val="bottom"/>
            <w:gridSpan w:val="3"/>
          </w:tcPr>
          <w:p>
            <w:pPr>
              <w:ind w:left="160"/>
              <w:spacing w:after="0"/>
              <w:rPr>
                <w:sz w:val="20"/>
                <w:szCs w:val="20"/>
                <w:color w:val="auto"/>
              </w:rPr>
            </w:pPr>
            <w:r>
              <w:rPr>
                <w:rFonts w:ascii="Arial" w:cs="Arial" w:eastAsia="Arial" w:hAnsi="Arial"/>
                <w:sz w:val="14"/>
                <w:szCs w:val="14"/>
                <w:color w:val="auto"/>
              </w:rPr>
              <w:t>December 31,</w:t>
            </w:r>
          </w:p>
        </w:tc>
      </w:tr>
      <w:tr>
        <w:trPr>
          <w:trHeight w:val="195"/>
        </w:trPr>
        <w:tc>
          <w:tcPr>
            <w:tcW w:w="7700" w:type="dxa"/>
            <w:vAlign w:val="bottom"/>
          </w:tcPr>
          <w:p>
            <w:pPr>
              <w:spacing w:after="0"/>
              <w:rPr>
                <w:sz w:val="16"/>
                <w:szCs w:val="16"/>
                <w:color w:val="auto"/>
              </w:rPr>
            </w:pPr>
          </w:p>
        </w:tc>
        <w:tc>
          <w:tcPr>
            <w:tcW w:w="1200" w:type="dxa"/>
            <w:vAlign w:val="bottom"/>
          </w:tcPr>
          <w:p>
            <w:pPr>
              <w:jc w:val="center"/>
              <w:ind w:left="414"/>
              <w:spacing w:after="0"/>
              <w:rPr>
                <w:sz w:val="20"/>
                <w:szCs w:val="20"/>
                <w:color w:val="auto"/>
              </w:rPr>
            </w:pPr>
            <w:r>
              <w:rPr>
                <w:rFonts w:ascii="Arial" w:cs="Arial" w:eastAsia="Arial" w:hAnsi="Arial"/>
                <w:sz w:val="14"/>
                <w:szCs w:val="14"/>
                <w:color w:val="auto"/>
                <w:w w:val="96"/>
              </w:rPr>
              <w:t>2020</w:t>
            </w:r>
          </w:p>
        </w:tc>
        <w:tc>
          <w:tcPr>
            <w:tcW w:w="2320" w:type="dxa"/>
            <w:vAlign w:val="bottom"/>
            <w:gridSpan w:val="3"/>
          </w:tcPr>
          <w:p>
            <w:pPr>
              <w:jc w:val="center"/>
              <w:ind w:left="519"/>
              <w:spacing w:after="0"/>
              <w:rPr>
                <w:sz w:val="20"/>
                <w:szCs w:val="20"/>
                <w:color w:val="auto"/>
              </w:rPr>
            </w:pPr>
            <w:r>
              <w:rPr>
                <w:rFonts w:ascii="Arial" w:cs="Arial" w:eastAsia="Arial" w:hAnsi="Arial"/>
                <w:sz w:val="14"/>
                <w:szCs w:val="14"/>
                <w:color w:val="auto"/>
                <w:w w:val="89"/>
              </w:rPr>
              <w:t>2019</w:t>
            </w:r>
          </w:p>
        </w:tc>
      </w:tr>
      <w:tr>
        <w:trPr>
          <w:trHeight w:val="229"/>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200" w:type="dxa"/>
            <w:vAlign w:val="bottom"/>
            <w:tcBorders>
              <w:top w:val="single" w:sz="8" w:color="auto"/>
            </w:tcBorders>
            <w:shd w:val="clear" w:color="auto" w:fill="CCEEFF"/>
          </w:tcPr>
          <w:p>
            <w:pPr>
              <w:jc w:val="center"/>
              <w:ind w:left="414"/>
              <w:spacing w:after="0"/>
              <w:rPr>
                <w:sz w:val="20"/>
                <w:szCs w:val="20"/>
                <w:color w:val="auto"/>
              </w:rPr>
            </w:pPr>
            <w:r>
              <w:rPr>
                <w:rFonts w:ascii="Arial" w:cs="Arial" w:eastAsia="Arial" w:hAnsi="Arial"/>
                <w:sz w:val="18"/>
                <w:szCs w:val="18"/>
                <w:color w:val="auto"/>
                <w:w w:val="94"/>
              </w:rPr>
              <w:t>67%</w:t>
            </w: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69%</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0" w:type="dxa"/>
            <w:vAlign w:val="bottom"/>
          </w:tcPr>
          <w:p>
            <w:pPr>
              <w:jc w:val="center"/>
              <w:ind w:left="414"/>
              <w:spacing w:after="0"/>
              <w:rPr>
                <w:sz w:val="20"/>
                <w:szCs w:val="20"/>
                <w:color w:val="auto"/>
              </w:rPr>
            </w:pPr>
            <w:r>
              <w:rPr>
                <w:rFonts w:ascii="Arial" w:cs="Arial" w:eastAsia="Arial" w:hAnsi="Arial"/>
                <w:sz w:val="18"/>
                <w:szCs w:val="18"/>
                <w:color w:val="auto"/>
                <w:w w:val="99"/>
              </w:rPr>
              <w:t>—%</w:t>
            </w:r>
          </w:p>
        </w:tc>
        <w:tc>
          <w:tcPr>
            <w:tcW w:w="2320" w:type="dxa"/>
            <w:vAlign w:val="bottom"/>
            <w:gridSpan w:val="3"/>
          </w:tcPr>
          <w:p>
            <w:pPr>
              <w:jc w:val="center"/>
              <w:ind w:left="519"/>
              <w:spacing w:after="0"/>
              <w:rPr>
                <w:sz w:val="20"/>
                <w:szCs w:val="20"/>
                <w:color w:val="auto"/>
              </w:rPr>
            </w:pPr>
            <w:r>
              <w:rPr>
                <w:rFonts w:ascii="Arial" w:cs="Arial" w:eastAsia="Arial" w:hAnsi="Arial"/>
                <w:sz w:val="18"/>
                <w:szCs w:val="18"/>
                <w:color w:val="auto"/>
                <w:w w:val="92"/>
              </w:rPr>
              <w:t>1%</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20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4"/>
              </w:rPr>
              <w:t>33%</w:t>
            </w:r>
          </w:p>
        </w:tc>
        <w:tc>
          <w:tcPr>
            <w:tcW w:w="2320" w:type="dxa"/>
            <w:vAlign w:val="bottom"/>
            <w:gridSpan w:val="3"/>
            <w:shd w:val="clear" w:color="auto" w:fill="CCEEFF"/>
          </w:tcPr>
          <w:p>
            <w:pPr>
              <w:jc w:val="center"/>
              <w:ind w:left="519"/>
              <w:spacing w:after="0"/>
              <w:rPr>
                <w:sz w:val="20"/>
                <w:szCs w:val="20"/>
                <w:color w:val="auto"/>
              </w:rPr>
            </w:pPr>
            <w:r>
              <w:rPr>
                <w:rFonts w:ascii="Arial" w:cs="Arial" w:eastAsia="Arial" w:hAnsi="Arial"/>
                <w:sz w:val="18"/>
                <w:szCs w:val="18"/>
                <w:color w:val="auto"/>
                <w:w w:val="88"/>
              </w:rPr>
              <w:t>30%</w:t>
            </w:r>
          </w:p>
        </w:tc>
      </w:tr>
      <w:tr>
        <w:trPr>
          <w:trHeight w:val="223"/>
        </w:trPr>
        <w:tc>
          <w:tcPr>
            <w:tcW w:w="7700" w:type="dxa"/>
            <w:vAlign w:val="bottom"/>
          </w:tcPr>
          <w:p>
            <w:pPr>
              <w:ind w:left="40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(1)</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Arial" w:cs="Arial" w:eastAsia="Arial" w:hAnsi="Arial"/>
                <w:sz w:val="18"/>
                <w:szCs w:val="18"/>
                <w:color w:val="auto"/>
                <w:w w:val="91"/>
              </w:rPr>
              <w:t>100%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1"/>
        </w:trPr>
        <w:tc>
          <w:tcPr>
            <w:tcW w:w="7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Our overall investment strategy is to achieve an asset allocation within the following ranges to achieve an appropriate rate of return relative to risk.</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340" w:type="dxa"/>
            <w:vAlign w:val="bottom"/>
            <w:shd w:val="clear" w:color="auto" w:fill="CCEEFF"/>
          </w:tcPr>
          <w:p>
            <w:pPr>
              <w:jc w:val="center"/>
              <w:ind w:left="3370"/>
              <w:spacing w:after="0"/>
              <w:rPr>
                <w:sz w:val="20"/>
                <w:szCs w:val="20"/>
                <w:color w:val="auto"/>
              </w:rPr>
            </w:pPr>
            <w:r>
              <w:rPr>
                <w:rFonts w:ascii="Arial" w:cs="Arial" w:eastAsia="Arial" w:hAnsi="Arial"/>
                <w:sz w:val="18"/>
                <w:szCs w:val="18"/>
                <w:color w:val="auto"/>
                <w:w w:val="92"/>
              </w:rPr>
              <w:t>0-10%</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5340" w:type="dxa"/>
            <w:vAlign w:val="bottom"/>
          </w:tcPr>
          <w:p>
            <w:pPr>
              <w:jc w:val="center"/>
              <w:ind w:left="3390"/>
              <w:spacing w:after="0"/>
              <w:rPr>
                <w:sz w:val="20"/>
                <w:szCs w:val="20"/>
                <w:color w:val="auto"/>
              </w:rPr>
            </w:pPr>
            <w:r>
              <w:rPr>
                <w:rFonts w:ascii="Arial" w:cs="Arial" w:eastAsia="Arial" w:hAnsi="Arial"/>
                <w:sz w:val="18"/>
                <w:szCs w:val="18"/>
                <w:color w:val="auto"/>
                <w:w w:val="93"/>
              </w:rPr>
              <w:t>15-75%</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5340" w:type="dxa"/>
            <w:vAlign w:val="bottom"/>
            <w:shd w:val="clear" w:color="auto" w:fill="CCEEFF"/>
          </w:tcPr>
          <w:p>
            <w:pPr>
              <w:jc w:val="center"/>
              <w:ind w:left="3390"/>
              <w:spacing w:after="0"/>
              <w:rPr>
                <w:sz w:val="20"/>
                <w:szCs w:val="20"/>
                <w:color w:val="auto"/>
              </w:rPr>
            </w:pPr>
            <w:r>
              <w:rPr>
                <w:rFonts w:ascii="Arial" w:cs="Arial" w:eastAsia="Arial" w:hAnsi="Arial"/>
                <w:sz w:val="18"/>
                <w:szCs w:val="18"/>
                <w:color w:val="auto"/>
                <w:w w:val="93"/>
              </w:rPr>
              <w:t>30-80%</w:t>
            </w:r>
          </w:p>
        </w:tc>
      </w:tr>
    </w:tbl>
    <w:p>
      <w:pPr>
        <w:spacing w:after="0" w:line="14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Pension Plan assets consist primarily of listed stocks and bonds and do not include any of the Company’s securities. The return on assets assumption reflects the average rate of return expected on funds invested or to be invested to provide for the benefits included in the projected benefit obligation. We select the return on asset assumption by considering our current and target asset allocation. We consider information from various external investment managers, forward-looking information regarding expected returns by asset class and our own judgment when determining the expected returns.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5"/>
          </w:tcPr>
          <w:p>
            <w:pPr>
              <w:ind w:left="760"/>
              <w:spacing w:after="0"/>
              <w:rPr>
                <w:sz w:val="20"/>
                <w:szCs w:val="20"/>
                <w:color w:val="auto"/>
              </w:rPr>
            </w:pPr>
            <w:r>
              <w:rPr>
                <w:rFonts w:ascii="Arial" w:cs="Arial" w:eastAsia="Arial" w:hAnsi="Arial"/>
                <w:sz w:val="14"/>
                <w:szCs w:val="14"/>
                <w:color w:val="auto"/>
                <w:w w:val="93"/>
              </w:rPr>
              <w:t>(In thousands)</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7"/>
          </w:tcPr>
          <w:p>
            <w:pPr>
              <w:jc w:val="right"/>
              <w:ind w:right="520"/>
              <w:spacing w:after="0"/>
              <w:rPr>
                <w:sz w:val="20"/>
                <w:szCs w:val="20"/>
                <w:color w:val="auto"/>
              </w:rPr>
            </w:pPr>
            <w:r>
              <w:rPr>
                <w:rFonts w:ascii="Arial" w:cs="Arial" w:eastAsia="Arial" w:hAnsi="Arial"/>
                <w:sz w:val="14"/>
                <w:szCs w:val="14"/>
                <w:color w:val="auto"/>
              </w:rPr>
              <w:t>Year Ended December 31, 2020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Level 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Level 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Level 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Equities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plan assets at fair value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Pooled funds</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23,085</w:t>
            </w: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51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fair value of plan assets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5"/>
            <w:vMerge w:val="restart"/>
          </w:tcPr>
          <w:p>
            <w:pPr>
              <w:ind w:left="720"/>
              <w:spacing w:after="0"/>
              <w:rPr>
                <w:sz w:val="20"/>
                <w:szCs w:val="20"/>
                <w:color w:val="auto"/>
              </w:rPr>
            </w:pPr>
            <w:r>
              <w:rPr>
                <w:rFonts w:ascii="Arial" w:cs="Arial" w:eastAsia="Arial" w:hAnsi="Arial"/>
                <w:sz w:val="14"/>
                <w:szCs w:val="14"/>
                <w:color w:val="auto"/>
                <w:w w:val="98"/>
              </w:rPr>
              <w:t>(In thousands)</w:t>
            </w: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5"/>
            <w:vMerge w:val="continue"/>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7"/>
          </w:tcPr>
          <w:p>
            <w:pPr>
              <w:ind w:left="220"/>
              <w:spacing w:after="0"/>
              <w:rPr>
                <w:sz w:val="20"/>
                <w:szCs w:val="20"/>
                <w:color w:val="auto"/>
              </w:rPr>
            </w:pPr>
            <w:r>
              <w:rPr>
                <w:rFonts w:ascii="Arial" w:cs="Arial" w:eastAsia="Arial" w:hAnsi="Arial"/>
                <w:sz w:val="14"/>
                <w:szCs w:val="14"/>
                <w:color w:val="auto"/>
              </w:rPr>
              <w:t>Year Ended December 31, 2019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w w:val="97"/>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Fixed income securities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Equities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8"/>
        </w:trPr>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plan assets at fair value</w:t>
            </w: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color w:val="auto"/>
              </w:rPr>
              <w:t>Pooled funds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20,767</w:t>
            </w:r>
          </w:p>
        </w:tc>
        <w:tc>
          <w:tcPr>
            <w:tcW w:w="0" w:type="dxa"/>
            <w:vAlign w:val="bottom"/>
          </w:tcPr>
          <w:p>
            <w:pPr>
              <w:spacing w:after="0" w:line="20" w:lineRule="exact"/>
              <w:rPr>
                <w:sz w:val="1"/>
                <w:szCs w:val="1"/>
                <w:color w:val="auto"/>
              </w:rPr>
            </w:pPr>
          </w:p>
        </w:tc>
      </w:tr>
      <w:tr>
        <w:trPr>
          <w:trHeight w:val="177"/>
        </w:trPr>
        <w:tc>
          <w:tcPr>
            <w:tcW w:w="60" w:type="dxa"/>
            <w:vAlign w:val="bottom"/>
            <w:tcBorders>
              <w:bottom w:val="single" w:sz="8" w:color="CCEEFF"/>
            </w:tcBorders>
          </w:tcPr>
          <w:p>
            <w:pPr>
              <w:spacing w:after="0"/>
              <w:rPr>
                <w:sz w:val="15"/>
                <w:szCs w:val="15"/>
                <w:color w:val="auto"/>
              </w:rPr>
            </w:pPr>
          </w:p>
        </w:tc>
        <w:tc>
          <w:tcPr>
            <w:tcW w:w="51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fair value of plan assets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28,443</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80" w:right="260" w:hanging="329"/>
        <w:spacing w:after="0" w:line="308" w:lineRule="auto"/>
        <w:tabs>
          <w:tab w:leader="none" w:pos="574"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mutual funds and commingled accounts which invest primarily in equities, but may also hold fixed income securities, cash and other investments. Commingled funds with publicly quoted prices and actively traded are classified as Level 1 investments.</w:t>
      </w:r>
    </w:p>
    <w:p>
      <w:pPr>
        <w:spacing w:after="0" w:line="9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Pooled funds are measured using the net asset value (“NAV”) as a practical expedient for fair value as permissible under the accounting standard for fair value measurements and have not been categorized in the fair value hierarchy in accordance with ASU 2015-07, “Fair Value Measurement (Topic 820): Disclosures for Investments in Certain Entities That Calculate Net Asset Value per Share (or Its Equivalent).” Pooled fund NAVs are provided by the trustee and are determined by reference to the fair value of the underlying securities of the trust, less its liabilities, which are valued primarily through the use of directly or indirectly observable inputs. Depending on the pooled fund, underlying securities may include marketable equity securities or fixed income securities.</w:t>
      </w:r>
    </w:p>
    <w:p>
      <w:pPr>
        <w:spacing w:after="0" w:line="1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assumptions used to determine the benefit obligations and expense for our two plans are presented in the tables below. The expected long-term return on assets, noted below, represents an estimate of long-term returns on investment portfolios consisting of a mixture of fixed income and equity securities. The estimated cash flows from the plans for all future years are determined based on the plans’ population at the measurement date. We used the expected benefit payouts from the plans for each year into the future and discounted them back to the present using the Wells Fargo yield curve rate for that duration.</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the net periodic benefit costs under the two plans were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color w:val="auto"/>
                <w:w w:val="93"/>
              </w:rPr>
              <w:t>Years Ended December 31,</w:t>
            </w:r>
          </w:p>
        </w:tc>
        <w:tc>
          <w:tcPr>
            <w:tcW w:w="1520" w:type="dxa"/>
            <w:vAlign w:val="bottom"/>
          </w:tcPr>
          <w:p>
            <w:pPr>
              <w:spacing w:after="0"/>
              <w:rPr>
                <w:sz w:val="15"/>
                <w:szCs w:val="15"/>
                <w:color w:val="auto"/>
              </w:rPr>
            </w:pPr>
          </w:p>
        </w:tc>
      </w:tr>
      <w:tr>
        <w:trPr>
          <w:trHeight w:val="195"/>
        </w:trPr>
        <w:tc>
          <w:tcPr>
            <w:tcW w:w="64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620" w:type="dxa"/>
            <w:vAlign w:val="bottom"/>
            <w:gridSpan w:val="2"/>
          </w:tcPr>
          <w:p>
            <w:pPr>
              <w:jc w:val="center"/>
              <w:ind w:left="19"/>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2018</w:t>
            </w:r>
          </w:p>
        </w:tc>
      </w:tr>
      <w:tr>
        <w:trPr>
          <w:trHeight w:val="216"/>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used to determine pension expense</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Pension Plan</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3.22%</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0"/>
              </w:rPr>
              <w:t>4.23%</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3.64%</w:t>
            </w: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LaBarge Retirement Plan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2.85%</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3.40%</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the benefit obligations under the two plans were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ind w:left="360"/>
              <w:spacing w:after="0"/>
              <w:rPr>
                <w:sz w:val="20"/>
                <w:szCs w:val="20"/>
                <w:color w:val="auto"/>
              </w:rPr>
            </w:pPr>
            <w:r>
              <w:rPr>
                <w:rFonts w:ascii="Arial" w:cs="Arial" w:eastAsia="Arial" w:hAnsi="Arial"/>
                <w:sz w:val="14"/>
                <w:szCs w:val="14"/>
                <w:color w:val="auto"/>
              </w:rPr>
              <w:t>December 31,</w:t>
            </w:r>
          </w:p>
        </w:tc>
        <w:tc>
          <w:tcPr>
            <w:tcW w:w="1520" w:type="dxa"/>
            <w:vAlign w:val="bottom"/>
          </w:tcPr>
          <w:p>
            <w:pPr>
              <w:spacing w:after="0"/>
              <w:rPr>
                <w:sz w:val="15"/>
                <w:szCs w:val="15"/>
                <w:color w:val="auto"/>
              </w:rPr>
            </w:pPr>
          </w:p>
        </w:tc>
      </w:tr>
      <w:tr>
        <w:trPr>
          <w:trHeight w:val="195"/>
        </w:trPr>
        <w:tc>
          <w:tcPr>
            <w:tcW w:w="64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2018</w:t>
            </w:r>
          </w:p>
        </w:tc>
      </w:tr>
      <w:tr>
        <w:trPr>
          <w:trHeight w:val="215"/>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used to determine value of obligations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Pension Plan</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3.22%</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4.23%</w:t>
            </w: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LaBarge Retirement Plan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Long-term rate of return - Pension Plan only</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7.00%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under both plans, which reflect expected future service, as appropriate, are expected to be paid: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gridSpan w:val="3"/>
          </w:tcPr>
          <w:p>
            <w:pPr>
              <w:jc w:val="right"/>
              <w:ind w:right="30"/>
              <w:spacing w:after="0"/>
              <w:rPr>
                <w:sz w:val="20"/>
                <w:szCs w:val="20"/>
                <w:color w:val="auto"/>
              </w:rPr>
            </w:pPr>
            <w:r>
              <w:rPr>
                <w:rFonts w:ascii="Arial" w:cs="Arial" w:eastAsia="Arial" w:hAnsi="Arial"/>
                <w:sz w:val="14"/>
                <w:szCs w:val="14"/>
                <w:color w:val="auto"/>
              </w:rPr>
              <w:t>(In thousands)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tcPr>
          <w:p>
            <w:pPr>
              <w:jc w:val="center"/>
              <w:ind w:right="396"/>
              <w:spacing w:after="0" w:line="147" w:lineRule="exact"/>
              <w:rPr>
                <w:sz w:val="20"/>
                <w:szCs w:val="20"/>
                <w:color w:val="auto"/>
              </w:rPr>
            </w:pPr>
            <w:r>
              <w:rPr>
                <w:rFonts w:ascii="Arial" w:cs="Arial" w:eastAsia="Arial" w:hAnsi="Arial"/>
                <w:sz w:val="14"/>
                <w:szCs w:val="14"/>
                <w:color w:val="auto"/>
                <w:w w:val="94"/>
              </w:rPr>
              <w:t>LaBarge</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gridSpan w:val="2"/>
            <w:vMerge w:val="restart"/>
          </w:tcPr>
          <w:p>
            <w:pPr>
              <w:ind w:left="240"/>
              <w:spacing w:after="0"/>
              <w:rPr>
                <w:sz w:val="20"/>
                <w:szCs w:val="20"/>
                <w:color w:val="auto"/>
              </w:rPr>
            </w:pPr>
            <w:r>
              <w:rPr>
                <w:rFonts w:ascii="Arial" w:cs="Arial" w:eastAsia="Arial" w:hAnsi="Arial"/>
                <w:sz w:val="14"/>
                <w:szCs w:val="14"/>
                <w:color w:val="auto"/>
              </w:rPr>
              <w:t>Pension Plan</w:t>
            </w:r>
          </w:p>
        </w:tc>
        <w:tc>
          <w:tcPr>
            <w:tcW w:w="480" w:type="dxa"/>
            <w:vAlign w:val="bottom"/>
          </w:tcPr>
          <w:p>
            <w:pPr>
              <w:spacing w:after="0"/>
              <w:rPr>
                <w:sz w:val="11"/>
                <w:szCs w:val="11"/>
                <w:color w:val="auto"/>
              </w:rPr>
            </w:pPr>
          </w:p>
        </w:tc>
        <w:tc>
          <w:tcPr>
            <w:tcW w:w="1380" w:type="dxa"/>
            <w:vAlign w:val="bottom"/>
          </w:tcPr>
          <w:p>
            <w:pPr>
              <w:jc w:val="center"/>
              <w:ind w:right="416"/>
              <w:spacing w:after="0" w:line="135" w:lineRule="exact"/>
              <w:rPr>
                <w:sz w:val="20"/>
                <w:szCs w:val="20"/>
                <w:color w:val="auto"/>
              </w:rPr>
            </w:pPr>
            <w:r>
              <w:rPr>
                <w:rFonts w:ascii="Arial" w:cs="Arial" w:eastAsia="Arial" w:hAnsi="Arial"/>
                <w:sz w:val="14"/>
                <w:szCs w:val="14"/>
                <w:color w:val="auto"/>
                <w:w w:val="93"/>
              </w:rPr>
              <w:t>Retirement</w:t>
            </w:r>
          </w:p>
        </w:tc>
        <w:tc>
          <w:tcPr>
            <w:tcW w:w="0" w:type="dxa"/>
            <w:vAlign w:val="bottom"/>
          </w:tcPr>
          <w:p>
            <w:pPr>
              <w:spacing w:after="0"/>
              <w:rPr>
                <w:sz w:val="1"/>
                <w:szCs w:val="1"/>
                <w:color w:val="auto"/>
              </w:rPr>
            </w:pPr>
          </w:p>
        </w:tc>
      </w:tr>
      <w:tr>
        <w:trPr>
          <w:trHeight w:val="186"/>
        </w:trPr>
        <w:tc>
          <w:tcPr>
            <w:tcW w:w="7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jc w:val="center"/>
              <w:ind w:right="396"/>
              <w:spacing w:after="0"/>
              <w:rPr>
                <w:sz w:val="20"/>
                <w:szCs w:val="20"/>
                <w:color w:val="auto"/>
              </w:rPr>
            </w:pPr>
            <w:r>
              <w:rPr>
                <w:rFonts w:ascii="Arial" w:cs="Arial" w:eastAsia="Arial" w:hAnsi="Arial"/>
                <w:sz w:val="14"/>
                <w:szCs w:val="14"/>
                <w:color w:val="auto"/>
                <w:w w:val="92"/>
              </w:rPr>
              <w:t>Plan</w:t>
            </w:r>
          </w:p>
        </w:tc>
        <w:tc>
          <w:tcPr>
            <w:tcW w:w="0" w:type="dxa"/>
            <w:vAlign w:val="bottom"/>
          </w:tcPr>
          <w:p>
            <w:pPr>
              <w:spacing w:after="0"/>
              <w:rPr>
                <w:sz w:val="1"/>
                <w:szCs w:val="1"/>
                <w:color w:val="auto"/>
              </w:rPr>
            </w:pP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2026 - 2030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9,235</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funding policy is to contribute cash to our plans so that the minimum contribution requirements established by government funding and taxing authorities are met. We expect to make contributions of $0.9 million to the plans in 2021.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Indemnifications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made guarantees and indemnities under which we may be required to make payments to a guaranteed or indemnified party, in relation to certain transactions, including revenue transactions in the ordinary course of business. In connection with certain performance center leases, we have indemnified our lessors for certain claims arising from the performance center or the lease. We indemnify our directors and officers to the maximum extent permitted under the laws of the State of Delaware.</w:t>
      </w: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However, we have a directors and officers insurance policy that may reduce our exposure in certain circumstances and may enable us to recover a portion of future amounts that may be payable, if any. The duration of the guarantees and indemnities varies and, in many cases is indefinite but subject to statute of limitations. The majority of guarantees and indemnities do not provide any limitations of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Our pre-tax income attributable to foreign operations was not material. The provision for income tax (benefit) expense consisted of the following:</w:t>
      </w:r>
    </w:p>
    <w:p>
      <w:pPr>
        <w:spacing w:after="0" w:line="286" w:lineRule="exact"/>
        <w:rPr>
          <w:sz w:val="20"/>
          <w:szCs w:val="20"/>
          <w:color w:val="auto"/>
        </w:rPr>
      </w:pPr>
    </w:p>
    <w:p>
      <w:pPr>
        <w:jc w:val="center"/>
        <w:ind w:left="6140"/>
        <w:spacing w:after="0"/>
        <w:rPr>
          <w:sz w:val="20"/>
          <w:szCs w:val="20"/>
          <w:color w:val="auto"/>
        </w:rPr>
      </w:pPr>
      <w:r>
        <w:rPr>
          <w:rFonts w:ascii="Arial" w:cs="Arial" w:eastAsia="Arial" w:hAnsi="Arial"/>
          <w:sz w:val="14"/>
          <w:szCs w:val="14"/>
          <w:color w:val="auto"/>
        </w:rPr>
        <w:t>(In thousands)</w:t>
      </w:r>
    </w:p>
    <w:p>
      <w:pPr>
        <w:jc w:val="center"/>
        <w:ind w:left="614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23"/>
        </w:trPr>
        <w:tc>
          <w:tcPr>
            <w:tcW w:w="6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(benefit)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220" w:type="dxa"/>
            <w:vAlign w:val="bottom"/>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30"/>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3"/>
        </w:trPr>
        <w:tc>
          <w:tcPr>
            <w:tcW w:w="6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We recognized net income tax benefits from deductions of share-based payments in excess of compensation cost recognized for financial reporting purposes of $0.4 million, $0.8 million, and $0.2 million for the years ended December 31, 2020, 2019, and 2018, respectively.</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 assets were comprised of the following:</w:t>
      </w:r>
    </w:p>
    <w:p>
      <w:pPr>
        <w:spacing w:after="0" w:line="139"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(In thousands)</w:t>
      </w:r>
    </w:p>
    <w:p>
      <w:pPr>
        <w:ind w:left="890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rPr>
              <w:t>2019</w:t>
            </w: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120" w:type="dxa"/>
            <w:vAlign w:val="bottom"/>
          </w:tcPr>
          <w:p>
            <w:pPr>
              <w:jc w:val="right"/>
              <w:ind w:right="93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Contract overrun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Employment-related accruals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5,049</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Environmental reserves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Federal tax credit carryforwards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reserves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4,830</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obligation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Federal and state net operating loss carryforwards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6,251</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tax credit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1,672</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Total gross deferred tax assets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35,580</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r>
      <w:tr>
        <w:trPr>
          <w:trHeight w:val="223"/>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gross deferred tax assets, net of valuation allowance</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26,205</w:t>
            </w:r>
          </w:p>
        </w:tc>
      </w:tr>
      <w:tr>
        <w:trPr>
          <w:trHeight w:val="20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w:t>
            </w: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(4,109)</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(24,749)</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(4,509)</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insurance</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deferred tax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(43,659)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(42,916)</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(16,959)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(16,711)</w:t>
            </w:r>
          </w:p>
        </w:tc>
      </w:tr>
      <w:tr>
        <w:trPr>
          <w:trHeight w:val="20"/>
        </w:trPr>
        <w:tc>
          <w:tcPr>
            <w:tcW w:w="7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federal and state tax net operating losses of $18.9 million and $20.7 million, respectively, as of December 31, 2020. The federal net operating losses acquired from the acquisition of Nobles are subject to an annual limitation under Internal Revenue Code Section 382; however, we expect to fully realize them under ASC Subtopic 740-10 before they begin to expire in 2033. The state net operating loss carryforwards include $12.2 million that is not expected to be realized due to various limitations and has been reduced by a valuation allowance. If not realized, the state net operating loss carryforwards, depending on the tax jurisdiction, will begin to expire between 2027 and 2033.</w:t>
      </w:r>
    </w:p>
    <w:p>
      <w:pPr>
        <w:spacing w:after="0" w:line="12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federal and state tax credit carryforwards of $0.1 million and $13.5 million, respectively, as of December 31, 2020. A valuation allowance of $11.0 million has been provided on state tax credit carryforwards that are not expected to be realized under ASC Subtopic 740-10. If not realized, the federal tax carryforwards will begin to expire in 2032 and state tax credit carryforwards, depending on the tax jurisdiction, will begin to expire between 2021 and 2031.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believe it is more likely than not that we will generate sufficient taxable income to realize the benefit of the remaining deferred tax assets.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reasons for the variation between the statutory and effective tax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color w:val="auto"/>
                <w:w w:val="93"/>
              </w:rPr>
              <w:t>Years Ended December 31,</w:t>
            </w:r>
          </w:p>
        </w:tc>
        <w:tc>
          <w:tcPr>
            <w:tcW w:w="1520" w:type="dxa"/>
            <w:vAlign w:val="bottom"/>
          </w:tcPr>
          <w:p>
            <w:pPr>
              <w:spacing w:after="0"/>
              <w:rPr>
                <w:sz w:val="15"/>
                <w:szCs w:val="15"/>
                <w:color w:val="auto"/>
              </w:rPr>
            </w:pPr>
          </w:p>
        </w:tc>
      </w:tr>
      <w:tr>
        <w:trPr>
          <w:trHeight w:val="195"/>
        </w:trPr>
        <w:tc>
          <w:tcPr>
            <w:tcW w:w="64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620" w:type="dxa"/>
            <w:vAlign w:val="bottom"/>
            <w:gridSpan w:val="2"/>
          </w:tcPr>
          <w:p>
            <w:pPr>
              <w:jc w:val="center"/>
              <w:ind w:left="13"/>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2018</w:t>
            </w:r>
          </w:p>
        </w:tc>
      </w:tr>
      <w:tr>
        <w:trPr>
          <w:trHeight w:val="22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5.3</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derived intangible income deduction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(1.4)</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1"/>
              </w:rPr>
              <w:t>(2.1)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(1.9)</w:t>
            </w:r>
          </w:p>
        </w:tc>
      </w:tr>
      <w:tr>
        <w:trPr>
          <w:trHeight w:val="229"/>
        </w:trPr>
        <w:tc>
          <w:tcPr>
            <w:tcW w:w="6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Research and development tax credits </w:t>
            </w:r>
            <w:r>
              <w:rPr>
                <w:rFonts w:ascii="Arial" w:cs="Arial" w:eastAsia="Arial" w:hAnsi="Arial"/>
                <w:sz w:val="23"/>
                <w:szCs w:val="23"/>
                <w:color w:val="auto"/>
                <w:vertAlign w:val="superscript"/>
              </w:rPr>
              <w:t>(1)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(13.8)</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(7.8)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(32.0)</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Other tax credits</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(1.2)</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valuation allowance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Non-deductible book expenses</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8.2</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deferred tax assets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12.1</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Changes in tax reserves</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(4.6)</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1.2</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8.8%</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14.0%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12.0%</w:t>
            </w:r>
          </w:p>
        </w:tc>
      </w:tr>
      <w:tr>
        <w:trPr>
          <w:trHeight w:val="21"/>
        </w:trPr>
        <w:tc>
          <w:tcPr>
            <w:tcW w:w="64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For 2020, (3.4)% is additional research and development tax credits related to 2019.</w:t>
      </w:r>
    </w:p>
    <w:p>
      <w:pPr>
        <w:spacing w:after="0" w:line="158"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Our total amount of unrecognized tax benefits was $4.1 million, $5.7 million, and $5.3 million at December 31, 2020, 2019, and 2018, respectively. We record interest and penalty charges, if any, related to uncertain tax positions as a component of tax expense and unrecognized tax benefits. The amounts accrued for interest and penalty charges as of December 31, 2020, 2019, and 2018 were not significant. If recognized, $2.4 million would affect the effective income tax rate. Due to federal and state statute of limitations for tax year 2016 that expired on October 15, 2020, we released uncertain tax positions of $2.2 million and recognized income tax benefits of $2.1 million in 2020. We do not expect the total amount of unrecognized tax benefits to increase or decrease by a material amount in the next twelve months.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was as follows:</w:t>
      </w:r>
    </w:p>
    <w:p>
      <w:pPr>
        <w:spacing w:after="0" w:line="85" w:lineRule="exact"/>
        <w:rPr>
          <w:sz w:val="20"/>
          <w:szCs w:val="20"/>
          <w:color w:val="auto"/>
        </w:rPr>
      </w:pPr>
    </w:p>
    <w:p>
      <w:pPr>
        <w:jc w:val="center"/>
        <w:ind w:left="6400"/>
        <w:spacing w:after="0"/>
        <w:rPr>
          <w:sz w:val="20"/>
          <w:szCs w:val="20"/>
          <w:color w:val="auto"/>
        </w:rPr>
      </w:pPr>
      <w:r>
        <w:rPr>
          <w:rFonts w:ascii="Arial" w:cs="Arial" w:eastAsia="Arial" w:hAnsi="Arial"/>
          <w:sz w:val="14"/>
          <w:szCs w:val="14"/>
          <w:color w:val="auto"/>
        </w:rPr>
        <w:t>(In thousands)</w:t>
      </w:r>
    </w:p>
    <w:p>
      <w:pPr>
        <w:jc w:val="center"/>
        <w:ind w:left="640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2018</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Additions for tax positions related to the current year</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related to prior years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Reductions for tax positions related to prior years</w:t>
            </w:r>
          </w:p>
        </w:tc>
        <w:tc>
          <w:tcPr>
            <w:tcW w:w="9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lapse of statute of limitations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5,663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w:t>
            </w:r>
          </w:p>
        </w:tc>
      </w:tr>
      <w:tr>
        <w:trPr>
          <w:trHeight w:val="20"/>
        </w:trPr>
        <w:tc>
          <w:tcPr>
            <w:tcW w:w="6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2016 and by state taxing authorities for tax years after 2015.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10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March 27, 2020, the U.S. enacted the Coronavirus Aid, Relief, and Economic Security Act (“CARES Act”) that provides tax relief to individuals and businesses affected by the coronavirus pandemic. We considered the provisions of the CARES Act and determined they do not have a material impact to our overall income taxes. We have utilized the option to defer payment of the employer portion of payroll taxes (Social Security) that would otherwise be required to be made during the period beginning March 27, 2020 to December 31, 2020. See COVID-19 Pandemic Impact on Our Business included in Part II, Item 7 of this Annual Report on Form 10-K (“Form 10-K”). As of December 31, 2020, we deferred income tax deductions related to payroll taxes of $6.1 million and a deferred tax asset of $1.4 million is included as part of the net deferred income taxes on the consolidated balance sheet.</w:t>
      </w:r>
    </w:p>
    <w:p>
      <w:pPr>
        <w:spacing w:after="0" w:line="1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December 27, 2020, the U.S. enacted the Consolidated Appropriations Act, 2021 (the “Act”) that provides additional tax relief to individuals and businesses affected by the coronavirus pandemic. We considered the provisions of the Act and determined they do not have a material impact to our overall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16, 2020, a representative action under California’s Private Attorneys General Act was filed against us in the Superior Court for the State of California, County of San Bernardino. We received service of process of this complaint on January 28, 2021. The complaint alleges violations of California’s wage and hour laws relating to our current and former employees and seeks attorney’s fees and penalties. We believe these claims are baseless, without merit and intend to vigorously defend against them. We do not currently have enough information to make a reasonable estimate as to the likelihood or amount of loss, or a range of reasonably possible losses as a result of this claim, so there have been no related accrual for estimated liability recorded as of December 31, 2020.</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December 31, 2020, which is reflected in other long-term liabilities on the consolidated balance sheet.</w:t>
      </w:r>
    </w:p>
    <w:p>
      <w:pPr>
        <w:spacing w:after="0" w:line="13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at December 31, 2020, which is reflected in other long-term liabilities on the consolidated balance sheet.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29, 2020, a fire severely damaged our performance center in Guaymas, Mexico, which is part of our Structural Systems segment. There were no injuries, however, property and equipment, inventories, and tooling in this leased facility were damaged. Our Guaymas performance center is comprised of two buildings with an aggregate total of 62,000 square feet. The loss of production from the Guaymas performance center is being absorbed by our other existing performance centers.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insurance covers damage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that were recognized earlier in the year using the over time method were subsequently reversed in the third quarter of 2020 as the revenue recognition process for these items were deemed to be interrupted as a result of these inventory items being damaged. Also during the year ended December 31, 2020, we wrote off property and equipment and tooling with an aggregate total net book value of $7.1 million and inventory on hand of $3.4 million that were damaged by the fire. The related anticipated insurance recoveries were also presented within the same financial statement line item in the consolidated statements of income resulting in no net impact, with the anticipated insurance recoveries receivable included as part of other current assets on the consolidated balance sheets. As of December 31, 2020, $13.5 million of general insurance recoveries have been received to date. The timing of and the remaining amounts of insurance recoveries, including for business interruption, are not known at this time.</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While it is not feasible to predict the outcome of these matters, Ducommun does not presently expect that any sum it may be required to pay in connection with these matters would have a material adverse effect on its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Major Customers and Concentrations of Credit Risk</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provide proprietary products and services to the Department of Defense and various United States Government agencies, and most of the aerospace and aircraft manufacturers who receive contracts directly from the U.S. Government as an original equipment manufacturer (“Primes”). In addition, we also service technology-driven markets in the industrial, medical and other end-use markets. As a result, we have significant net revenues from certain customers. Accounts receivable were diversified over a number of different commercial, military and space programs and were made by both operating segments. Net revenues from our top ten customers, including The Boeing Company (“Boeing”), Lockheed Martin Corporation (“Lockheed Martin”), Northrop Grumman Corporation (“Northrop”), Raytheon Technologies Corporation (“Raytheon”), and Spirit AeroSystems Holdings, Inc. (“Spirit”), represented the following percentages of total net revenues: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color w:val="auto"/>
                <w:w w:val="99"/>
              </w:rPr>
              <w:t>Years Ended December 31,</w:t>
            </w:r>
          </w:p>
        </w:tc>
        <w:tc>
          <w:tcPr>
            <w:tcW w:w="1740" w:type="dxa"/>
            <w:vAlign w:val="bottom"/>
          </w:tcPr>
          <w:p>
            <w:pPr>
              <w:spacing w:after="0"/>
              <w:rPr>
                <w:sz w:val="15"/>
                <w:szCs w:val="15"/>
                <w:color w:val="auto"/>
              </w:rPr>
            </w:pPr>
          </w:p>
        </w:tc>
      </w:tr>
      <w:tr>
        <w:trPr>
          <w:trHeight w:val="195"/>
        </w:trPr>
        <w:tc>
          <w:tcPr>
            <w:tcW w:w="6880" w:type="dxa"/>
            <w:vAlign w:val="bottom"/>
            <w:gridSpan w:val="2"/>
          </w:tcPr>
          <w:p>
            <w:pPr>
              <w:ind w:left="6500"/>
              <w:spacing w:after="0"/>
              <w:rPr>
                <w:sz w:val="20"/>
                <w:szCs w:val="20"/>
                <w:color w:val="auto"/>
              </w:rPr>
            </w:pPr>
            <w:r>
              <w:rPr>
                <w:rFonts w:ascii="Arial" w:cs="Arial" w:eastAsia="Arial" w:hAnsi="Arial"/>
                <w:sz w:val="14"/>
                <w:szCs w:val="14"/>
                <w:color w:val="auto"/>
              </w:rPr>
              <w:t>2020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635"/>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740" w:type="dxa"/>
            <w:vAlign w:val="bottom"/>
          </w:tcPr>
          <w:p>
            <w:pPr>
              <w:jc w:val="right"/>
              <w:ind w:right="633"/>
              <w:spacing w:after="0"/>
              <w:rPr>
                <w:sz w:val="20"/>
                <w:szCs w:val="20"/>
                <w:color w:val="auto"/>
              </w:rPr>
            </w:pPr>
            <w:r>
              <w:rPr>
                <w:rFonts w:ascii="Arial" w:cs="Arial" w:eastAsia="Arial" w:hAnsi="Arial"/>
                <w:sz w:val="14"/>
                <w:szCs w:val="14"/>
                <w:color w:val="auto"/>
              </w:rPr>
              <w:t>2018</w:t>
            </w:r>
          </w:p>
        </w:tc>
      </w:tr>
      <w:tr>
        <w:trPr>
          <w:trHeight w:val="22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Boeing</w:t>
            </w:r>
          </w:p>
        </w:tc>
        <w:tc>
          <w:tcPr>
            <w:tcW w:w="1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Lockheed Martin</w:t>
            </w:r>
          </w:p>
        </w:tc>
        <w:tc>
          <w:tcPr>
            <w:tcW w:w="6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Northrop</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Raytheon</w:t>
            </w:r>
          </w:p>
        </w:tc>
        <w:tc>
          <w:tcPr>
            <w:tcW w:w="620" w:type="dxa"/>
            <w:vAlign w:val="bottom"/>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16.3 %</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Spirit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304"/>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 xml:space="preserve">Top ten customers </w:t>
            </w:r>
            <w:r>
              <w:rPr>
                <w:rFonts w:ascii="Arial" w:cs="Arial" w:eastAsia="Arial" w:hAnsi="Arial"/>
                <w:sz w:val="23"/>
                <w:szCs w:val="23"/>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8"/>
                <w:szCs w:val="18"/>
                <w:color w:val="auto"/>
              </w:rPr>
              <w:t>61.1 %</w:t>
            </w: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65.3 %</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 Includes Boeing, Lockheed Martin, Northrop, Raytheon, and Spirit.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Boeing, Lockheed Martin, Northrop, Raytheon, and Spirit represented the following percentages of total accounts receivable: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color w:val="auto"/>
              </w:rPr>
              <w:t>December 31,</w:t>
            </w:r>
          </w:p>
        </w:tc>
        <w:tc>
          <w:tcPr>
            <w:tcW w:w="1320" w:type="dxa"/>
            <w:vAlign w:val="bottom"/>
          </w:tcPr>
          <w:p>
            <w:pPr>
              <w:spacing w:after="0"/>
              <w:rPr>
                <w:sz w:val="15"/>
                <w:szCs w:val="15"/>
                <w:color w:val="auto"/>
              </w:rPr>
            </w:pPr>
          </w:p>
        </w:tc>
      </w:tr>
      <w:tr>
        <w:trPr>
          <w:trHeight w:val="195"/>
        </w:trPr>
        <w:tc>
          <w:tcPr>
            <w:tcW w:w="8500" w:type="dxa"/>
            <w:vAlign w:val="bottom"/>
            <w:gridSpan w:val="2"/>
          </w:tcPr>
          <w:p>
            <w:pPr>
              <w:ind w:left="8080"/>
              <w:spacing w:after="0"/>
              <w:rPr>
                <w:sz w:val="20"/>
                <w:szCs w:val="20"/>
                <w:color w:val="auto"/>
              </w:rPr>
            </w:pPr>
            <w:r>
              <w:rPr>
                <w:rFonts w:ascii="Arial" w:cs="Arial" w:eastAsia="Arial" w:hAnsi="Arial"/>
                <w:sz w:val="14"/>
                <w:szCs w:val="14"/>
                <w:color w:val="auto"/>
              </w:rPr>
              <w:t>2020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jc w:val="right"/>
              <w:ind w:right="713"/>
              <w:spacing w:after="0"/>
              <w:rPr>
                <w:sz w:val="20"/>
                <w:szCs w:val="20"/>
                <w:color w:val="auto"/>
              </w:rPr>
            </w:pPr>
            <w:r>
              <w:rPr>
                <w:rFonts w:ascii="Arial" w:cs="Arial" w:eastAsia="Arial" w:hAnsi="Arial"/>
                <w:sz w:val="14"/>
                <w:szCs w:val="14"/>
                <w:color w:val="auto"/>
              </w:rPr>
              <w:t>2019</w:t>
            </w:r>
          </w:p>
        </w:tc>
      </w:tr>
      <w:tr>
        <w:trPr>
          <w:trHeight w:val="229"/>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Boeing</w:t>
            </w:r>
          </w:p>
        </w:tc>
        <w:tc>
          <w:tcPr>
            <w:tcW w:w="1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30"/>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Lockheed Martin</w:t>
            </w:r>
          </w:p>
        </w:tc>
        <w:tc>
          <w:tcPr>
            <w:tcW w:w="68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Northrop</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Raytheon</w:t>
            </w:r>
          </w:p>
        </w:tc>
        <w:tc>
          <w:tcPr>
            <w:tcW w:w="680" w:type="dxa"/>
            <w:vAlign w:val="bottom"/>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Spirit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14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2020, 2019 and 2018, net revenues from foreign customers based on the location of the customer were $58.5 million, $81.6 million and $71.9 million, respectively. No net revenues from a foreign country were greater than 2.0% of total net revenues in 2020, 2019, and 2018. We have manufacturing facilities in Thailand and Mexico. Our net revenues, profitability and identifiable long-lived assets attributable to foreign revenues activity were not material compared to our net revenues, profitability and identifiable long-lived assets attributable to our domestic operations during 2020, 2019, and 2018. We are not subject to any significant foreign currency risks as all our sales are made in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Business Segment Information</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supply products and services primarily to the aerospace and defense industries. Our subsidiaries are organized into two strategic businesses, Electronic Systems and Structural Systems, each of which is an operating segment as well as a reportable segment.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segment was as follows:</w:t>
      </w:r>
    </w:p>
    <w:p>
      <w:pPr>
        <w:spacing w:after="0" w:line="126" w:lineRule="exact"/>
        <w:rPr>
          <w:sz w:val="20"/>
          <w:szCs w:val="20"/>
          <w:color w:val="auto"/>
        </w:rPr>
      </w:pPr>
    </w:p>
    <w:p>
      <w:pPr>
        <w:jc w:val="center"/>
        <w:ind w:left="5960"/>
        <w:spacing w:after="0"/>
        <w:rPr>
          <w:sz w:val="20"/>
          <w:szCs w:val="20"/>
          <w:color w:val="auto"/>
        </w:rPr>
      </w:pPr>
      <w:r>
        <w:rPr>
          <w:rFonts w:ascii="Arial" w:cs="Arial" w:eastAsia="Arial" w:hAnsi="Arial"/>
          <w:sz w:val="14"/>
          <w:szCs w:val="14"/>
          <w:color w:val="auto"/>
        </w:rPr>
        <w:t>(In thousands)</w:t>
      </w:r>
    </w:p>
    <w:p>
      <w:pPr>
        <w:jc w:val="center"/>
        <w:ind w:left="596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392,633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360,373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337,868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291,439</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628,941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629,307</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color w:val="auto"/>
              </w:rPr>
              <w:t xml:space="preserve">Segment Operating Income (Loss) </w:t>
            </w:r>
            <w:r>
              <w:rPr>
                <w:rFonts w:ascii="Arial" w:cs="Arial" w:eastAsia="Arial" w:hAnsi="Arial"/>
                <w:sz w:val="22"/>
                <w:szCs w:val="22"/>
                <w:color w:val="auto"/>
                <w:vertAlign w:val="superscript"/>
              </w:rPr>
              <w:t>(1)(2)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51,894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38,613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30,916</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71,478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85,449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49,979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General and Administrative Expenses </w:t>
            </w:r>
            <w:r>
              <w:rPr>
                <w:rFonts w:ascii="Arial" w:cs="Arial" w:eastAsia="Arial" w:hAnsi="Arial"/>
                <w:sz w:val="23"/>
                <w:szCs w:val="23"/>
                <w:color w:val="auto"/>
                <w:vertAlign w:val="superscript"/>
              </w:rPr>
              <w:t>(3)</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(26,061)</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23,918</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 Expenses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14,038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14,223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Corporate Administration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Depreciation and Amortization Expenses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18"/>
                <w:szCs w:val="18"/>
                <w:color w:val="auto"/>
              </w:rPr>
              <w:t>Structural Systems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Administration</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Arial" w:cs="Arial" w:eastAsia="Arial" w:hAnsi="Arial"/>
                <w:sz w:val="18"/>
                <w:szCs w:val="18"/>
                <w:color w:val="auto"/>
              </w:rPr>
              <w:t>Total Capital Expenditures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80" w:right="260" w:hanging="329"/>
        <w:spacing w:after="0" w:line="258" w:lineRule="auto"/>
        <w:tabs>
          <w:tab w:leader="none" w:pos="5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for 2019 includes Nobles’ results of operations which have been included in our consolidated statements of income since the date of acquisition as part of the Structural Systems segment. See Note 2.</w:t>
      </w:r>
    </w:p>
    <w:p>
      <w:pPr>
        <w:spacing w:after="0" w:line="1" w:lineRule="exact"/>
        <w:rPr>
          <w:rFonts w:ascii="Arial" w:cs="Arial" w:eastAsia="Arial" w:hAnsi="Arial"/>
          <w:sz w:val="18"/>
          <w:szCs w:val="18"/>
          <w:color w:val="auto"/>
        </w:rPr>
      </w:pPr>
    </w:p>
    <w:p>
      <w:pPr>
        <w:ind w:left="580" w:right="380" w:hanging="329"/>
        <w:spacing w:after="0" w:line="250" w:lineRule="auto"/>
        <w:tabs>
          <w:tab w:leader="none" w:pos="5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for 2018 includes CTP’s results of operations which have been included in our consolidated statements of income since the date of acquisition as part of the Structural Systems segment.</w:t>
      </w:r>
    </w:p>
    <w:p>
      <w:pPr>
        <w:ind w:left="560" w:hanging="309"/>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cost not allocated to either the Electronic Systems or Structural Systems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Segment assets include assets directly identifiable with each segment. Corporate assets include assets not specifically identified with a business segment, including cash. The following table summarizes our segment assets for 2020 and 2019:</w:t>
      </w:r>
    </w:p>
    <w:p>
      <w:pPr>
        <w:spacing w:after="0" w:line="71"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(In thousands)</w:t>
      </w:r>
    </w:p>
    <w:p>
      <w:pPr>
        <w:ind w:left="890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448,606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411,981</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325,604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328,718</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Corporate Administration</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49,730</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837,347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790,429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Goodwill and Intangibles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201,077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210,453</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Structural Systems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98,826</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Goodwill and Intangibles</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295,574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309,279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October 2019, we acquired 100.0% of the outstanding equity interests of Nobles for an original purchase price of $77.0 million, net of cash acquired. We allocated the final gross purchase price of $77.1 million to the assets acquired and liabilities assumed at estimated fair values. The excess of the purchase price over the aggregate fair values of the net assets was recorded as goodwill. See Note 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VALUATION AND QUALIFYING ACCOUNTS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SCHEDULE II</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0"/>
              </w:rPr>
              <w:t>Balance at</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Charged to</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5"/>
              </w:rPr>
              <w:t>(Reduction of)</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Balance at End of</w:t>
            </w:r>
          </w:p>
        </w:tc>
        <w:tc>
          <w:tcPr>
            <w:tcW w:w="0" w:type="dxa"/>
            <w:vAlign w:val="bottom"/>
          </w:tcPr>
          <w:p>
            <w:pPr>
              <w:spacing w:after="0"/>
              <w:rPr>
                <w:sz w:val="1"/>
                <w:szCs w:val="1"/>
                <w:color w:val="auto"/>
              </w:rPr>
            </w:pPr>
          </w:p>
        </w:tc>
      </w:tr>
      <w:tr>
        <w:trPr>
          <w:trHeight w:val="135"/>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color w:val="auto"/>
              </w:rPr>
              <w:t>Description</w:t>
            </w:r>
          </w:p>
        </w:tc>
        <w:tc>
          <w:tcPr>
            <w:tcW w:w="20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6"/>
              </w:rPr>
              <w:t>Beginning</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88"/>
              </w:rPr>
              <w:t>Costs and</w:t>
            </w: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color w:val="auto"/>
              </w:rPr>
              <w:t>Deductions/(Recoveries)</w:t>
            </w:r>
          </w:p>
        </w:tc>
        <w:tc>
          <w:tcPr>
            <w:tcW w:w="24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of Period</w:t>
            </w: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Expenses</w:t>
            </w:r>
          </w:p>
        </w:tc>
        <w:tc>
          <w:tcPr>
            <w:tcW w:w="1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223"/>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BFE4FF"/>
          </w:tcPr>
          <w:p>
            <w:pPr>
              <w:ind w:left="360"/>
              <w:spacing w:after="0"/>
              <w:rPr>
                <w:sz w:val="20"/>
                <w:szCs w:val="20"/>
                <w:color w:val="auto"/>
              </w:rPr>
            </w:pPr>
            <w:r>
              <w:rPr>
                <w:rFonts w:ascii="Arial" w:cs="Arial" w:eastAsia="Arial" w:hAnsi="Arial"/>
                <w:sz w:val="18"/>
                <w:szCs w:val="18"/>
                <w:color w:val="auto"/>
              </w:rPr>
              <w:t>Allowance for Credit Losses</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29"/>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30"/>
        </w:trPr>
        <w:tc>
          <w:tcPr>
            <w:tcW w:w="464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BFE4FF"/>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9,083</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BFE4FF"/>
          </w:tcPr>
          <w:p>
            <w:pPr>
              <w:ind w:left="360"/>
              <w:spacing w:after="0"/>
              <w:rPr>
                <w:sz w:val="20"/>
                <w:szCs w:val="20"/>
                <w:color w:val="auto"/>
              </w:rPr>
            </w:pPr>
            <w:r>
              <w:rPr>
                <w:rFonts w:ascii="Arial" w:cs="Arial" w:eastAsia="Arial" w:hAnsi="Arial"/>
                <w:sz w:val="18"/>
                <w:szCs w:val="18"/>
                <w:color w:val="auto"/>
              </w:rPr>
              <w:t>Allowance for Credit Losses</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0"/>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opening balances of Nobles Worldwide, Inc. acquired in October 2019.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83" w:lineRule="exact"/>
        <w:rPr>
          <w:sz w:val="20"/>
          <w:szCs w:val="20"/>
          <w:color w:val="auto"/>
        </w:rPr>
      </w:pPr>
    </w:p>
    <w:p>
      <w:pPr>
        <w:ind w:left="340" w:hanging="323"/>
        <w:spacing w:after="0" w:line="277" w:lineRule="auto"/>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2.1 Agreement and Plan of Merger, dated as of September 11, 2017, among Ducommun LaBarge Technologies, Inc., LS Holdings Company LLC, and DLS</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Company LLC. Incorporated by reference to Exhibit 2.1 to Form 8-K filed on September 11, 2017.</w:t>
        </w:r>
      </w:hyperlink>
    </w:p>
    <w:p>
      <w:pPr>
        <w:spacing w:after="0" w:line="62" w:lineRule="exact"/>
        <w:rPr>
          <w:sz w:val="20"/>
          <w:szCs w:val="20"/>
          <w:color w:val="auto"/>
        </w:rPr>
      </w:pPr>
    </w:p>
    <w:p>
      <w:pPr>
        <w:ind w:left="340" w:hanging="323"/>
        <w:spacing w:after="0" w:line="277" w:lineRule="auto"/>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2.2 Agreement and Plan of Merger, dated as of October 8, 2019, among Ducommun LaBarge Technologies, Inc., DLT Acquisition, Inc., Nobles Parent Inc.,</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and the Stockholder Representative. Incorporated by reference to Exhibit 2.1 to Form 8-K filed on October 9, 2019.</w:t>
        </w:r>
      </w:hyperlink>
    </w:p>
    <w:p>
      <w:pPr>
        <w:spacing w:after="0" w:line="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with the Delaware Secretary of State on May 29, 1990. Incorporated by reference to Exhibit 3.1 to Form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10-K for the year ended December 31, 1990.</w:t>
      </w:r>
    </w:p>
    <w:p>
      <w:pPr>
        <w:spacing w:after="0" w:line="76" w:lineRule="exact"/>
        <w:rPr>
          <w:sz w:val="20"/>
          <w:szCs w:val="20"/>
          <w:color w:val="auto"/>
        </w:rPr>
      </w:pPr>
    </w:p>
    <w:p>
      <w:pPr>
        <w:ind w:left="340" w:right="360" w:hanging="323"/>
        <w:spacing w:after="0" w:line="277" w:lineRule="auto"/>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3.2 Certificate of Amendment of Certificate of Incorporation filed with the Delaware Secretary of State on May 27, 1998. Incorporated by reference to</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Exhibit 3.2 to Form 10-K for the year ended December 31, 1998.</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3.3 Bylaws as amended and restated on March 19, 2013. Incorporated by reference to Exhibit 99.1 to Form 8-K dated March 22, 2013.</w:t>
        </w:r>
      </w:hyperlink>
    </w:p>
    <w:p>
      <w:pPr>
        <w:spacing w:after="0" w:line="104" w:lineRule="exact"/>
        <w:rPr>
          <w:sz w:val="20"/>
          <w:szCs w:val="20"/>
          <w:color w:val="auto"/>
        </w:rPr>
      </w:pPr>
    </w:p>
    <w:p>
      <w:pPr>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3.4 Amendment to Bylaws dated January 5, 2017. Incorporated by reference to Exhibit 99.2 to Form 8-K dated January 9, 2017.</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3.5 Amendment to Bylaws dated February 21, 2018. Incorporated by reference to Exhibit 3.1 to Form 8-K dated February 26, 2018.</w:t>
        </w:r>
      </w:hyperlink>
    </w:p>
    <w:p>
      <w:pPr>
        <w:spacing w:after="0" w:line="104" w:lineRule="exact"/>
        <w:rPr>
          <w:sz w:val="20"/>
          <w:szCs w:val="20"/>
          <w:color w:val="auto"/>
        </w:rPr>
      </w:pPr>
    </w:p>
    <w:p>
      <w:pPr>
        <w:spacing w:after="0"/>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4.1 Description of Ducommun Incorporated Securities Registered under Section 12 of the Exchange Act. Incorporated by reference to Exhibit 4.1 to Form</w:t>
        </w:r>
      </w:hyperlink>
    </w:p>
    <w:p>
      <w:pPr>
        <w:spacing w:after="0" w:line="46" w:lineRule="exact"/>
        <w:rPr>
          <w:sz w:val="20"/>
          <w:szCs w:val="20"/>
          <w:color w:val="auto"/>
        </w:rPr>
      </w:pPr>
    </w:p>
    <w:p>
      <w:pPr>
        <w:ind w:left="340"/>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10-K for the year ended December 31, 2019.</w:t>
        </w:r>
      </w:hyperlink>
    </w:p>
    <w:p>
      <w:pPr>
        <w:spacing w:after="0" w:line="89" w:lineRule="exact"/>
        <w:rPr>
          <w:sz w:val="20"/>
          <w:szCs w:val="20"/>
          <w:color w:val="auto"/>
        </w:rPr>
      </w:pPr>
    </w:p>
    <w:p>
      <w:pPr>
        <w:ind w:left="420" w:right="180" w:hanging="404"/>
        <w:spacing w:after="0" w:line="259" w:lineRule="auto"/>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10.1 Incremental Term Loan Lender Joinder Agreement and Additional Credit Extension Amendment, dated as of December 20, 2019, by and among</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Ducommun Incorporated, as Borrower, the subsidiaries of the Borrower party thereto, as Guarantors, Bank of America, N.A., as Administrative</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Agent, Swingline Lender and an L.C. Issuer, and the lender party thereto. Incorporated by reference to Exhibit 10.1 to Form 8-K filed on December</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20, 2019.</w:t>
        </w:r>
      </w:hyperlink>
    </w:p>
    <w:p>
      <w:pPr>
        <w:spacing w:after="0" w:line="52" w:lineRule="exact"/>
        <w:rPr>
          <w:rFonts w:ascii="Arial" w:cs="Arial" w:eastAsia="Arial" w:hAnsi="Arial"/>
          <w:sz w:val="18"/>
          <w:szCs w:val="18"/>
          <w:u w:val="single" w:color="auto"/>
          <w:color w:val="0000FF"/>
        </w:rPr>
      </w:pPr>
    </w:p>
    <w:p>
      <w:pPr>
        <w:ind w:left="500" w:right="40" w:hanging="485"/>
        <w:spacing w:after="0" w:line="263" w:lineRule="auto"/>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10.2 Credit Agreement, dated as of November 21, 2018, among Ducommun Incorporated, certain of its subsidiaries, Bank of America, N.A., as</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administrative agent, swingline lender and issuing bank, and other lenders party thereto. Incorporated by reference to Exhibit 10.1 to Form 8-K filed</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on November 26, 2018.</w:t>
        </w:r>
      </w:hyperlink>
    </w:p>
    <w:p>
      <w:pPr>
        <w:spacing w:after="0" w:line="62" w:lineRule="exact"/>
        <w:rPr>
          <w:rFonts w:ascii="Arial" w:cs="Arial" w:eastAsia="Arial" w:hAnsi="Arial"/>
          <w:sz w:val="18"/>
          <w:szCs w:val="18"/>
          <w:u w:val="single" w:color="auto"/>
          <w:color w:val="0000FF"/>
        </w:rPr>
      </w:pPr>
    </w:p>
    <w:p>
      <w:pPr>
        <w:ind w:left="500" w:right="580" w:hanging="485"/>
        <w:spacing w:after="0" w:line="277"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*10.3 2013 Stock Incentive Plan (Amended and Restated May 2, 2018). Incorporated by reference to Appendix A of Definitive Proxy Statement on</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Schedule 14a, filed on March 23, 2018.</w:t>
        </w:r>
      </w:hyperlink>
    </w:p>
    <w:p>
      <w:pPr>
        <w:spacing w:after="0" w:line="49" w:lineRule="exact"/>
        <w:rPr>
          <w:sz w:val="20"/>
          <w:szCs w:val="20"/>
          <w:color w:val="auto"/>
        </w:rPr>
      </w:pPr>
    </w:p>
    <w:p>
      <w:pPr>
        <w:spacing w:after="0"/>
        <w:rPr>
          <w:rFonts w:ascii="Arial" w:cs="Arial" w:eastAsia="Arial" w:hAnsi="Arial"/>
          <w:sz w:val="17"/>
          <w:szCs w:val="17"/>
          <w:u w:val="single" w:color="auto"/>
          <w:color w:val="0000FF"/>
        </w:rPr>
      </w:pPr>
      <w:hyperlink r:id="rId108">
        <w:r>
          <w:rPr>
            <w:rFonts w:ascii="Arial" w:cs="Arial" w:eastAsia="Arial" w:hAnsi="Arial"/>
            <w:sz w:val="17"/>
            <w:szCs w:val="17"/>
            <w:u w:val="single" w:color="auto"/>
            <w:color w:val="0000FF"/>
          </w:rPr>
          <w:t>*10.4 2020 Stock Incentive Plan. Incorporated by reference to Appendix A of Definitive Proxy Statement on Schedule 14a, filed on March 20, 2020.</w:t>
        </w:r>
      </w:hyperlink>
    </w:p>
    <w:p>
      <w:pPr>
        <w:spacing w:after="0" w:line="102" w:lineRule="exact"/>
        <w:rPr>
          <w:sz w:val="20"/>
          <w:szCs w:val="20"/>
          <w:color w:val="auto"/>
        </w:rPr>
      </w:pPr>
    </w:p>
    <w:p>
      <w:pPr>
        <w:spacing w:after="0"/>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*10.5 2018 Employee Stock Purchase Plan. Incorporated by reference to Appendix B of Definitive Proxy Statement on Schedule 14a, filed on March 23,</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2018.</w:t>
        </w:r>
      </w:hyperlink>
    </w:p>
    <w:p>
      <w:pPr>
        <w:spacing w:after="0" w:line="89" w:lineRule="exact"/>
        <w:rPr>
          <w:sz w:val="20"/>
          <w:szCs w:val="20"/>
          <w:color w:val="auto"/>
        </w:rPr>
      </w:pPr>
    </w:p>
    <w:p>
      <w:pPr>
        <w:spacing w:after="0"/>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*10.6 2020 Employee Stock Purchase Plan. Incorporated by reference to Appendix A of Definitive Proxy Statement on Schedule 14a, filed on March 20,</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7"/>
          <w:szCs w:val="17"/>
          <w:u w:val="single" w:color="auto"/>
          <w:color w:val="0000FF"/>
        </w:rPr>
      </w:pPr>
      <w:hyperlink r:id="rId109">
        <w:r>
          <w:rPr>
            <w:rFonts w:ascii="Arial" w:cs="Arial" w:eastAsia="Arial" w:hAnsi="Arial"/>
            <w:sz w:val="17"/>
            <w:szCs w:val="17"/>
            <w:u w:val="single" w:color="auto"/>
            <w:color w:val="0000FF"/>
          </w:rPr>
          <w:t>*10.7 Form of Stock Option Agreement for 2016 and earlier. Incorporated by reference to Exhibit 10.8 to Form 10-K for the year ended December 31,</w:t>
        </w:r>
      </w:hyperlink>
    </w:p>
    <w:p>
      <w:pPr>
        <w:spacing w:after="0" w:line="35" w:lineRule="exact"/>
        <w:rPr>
          <w:sz w:val="20"/>
          <w:szCs w:val="20"/>
          <w:color w:val="auto"/>
        </w:rPr>
      </w:pPr>
    </w:p>
    <w:p>
      <w:pPr>
        <w:ind w:left="500"/>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2003.</w:t>
        </w:r>
      </w:hyperlink>
    </w:p>
    <w:p>
      <w:pPr>
        <w:spacing w:after="0" w:line="76" w:lineRule="exact"/>
        <w:rPr>
          <w:sz w:val="20"/>
          <w:szCs w:val="20"/>
          <w:color w:val="auto"/>
        </w:rPr>
      </w:pPr>
    </w:p>
    <w:p>
      <w:pPr>
        <w:spacing w:after="0"/>
        <w:rPr>
          <w:rFonts w:ascii="Arial" w:cs="Arial" w:eastAsia="Arial" w:hAnsi="Arial"/>
          <w:sz w:val="17"/>
          <w:szCs w:val="17"/>
          <w:u w:val="single" w:color="auto"/>
          <w:color w:val="0000FF"/>
        </w:rPr>
      </w:pPr>
      <w:hyperlink r:id="rId110">
        <w:r>
          <w:rPr>
            <w:rFonts w:ascii="Arial" w:cs="Arial" w:eastAsia="Arial" w:hAnsi="Arial"/>
            <w:sz w:val="17"/>
            <w:szCs w:val="17"/>
            <w:u w:val="single" w:color="auto"/>
            <w:color w:val="0000FF"/>
          </w:rPr>
          <w:t>*10.8 Form of Stock Option Agreement for 2017. Incorporated by reference to Exhibit 10.5 to Form 10-K for the year ended December 31, 2016.</w:t>
        </w:r>
      </w:hyperlink>
    </w:p>
    <w:p>
      <w:pPr>
        <w:spacing w:after="0" w:line="115" w:lineRule="exact"/>
        <w:rPr>
          <w:sz w:val="20"/>
          <w:szCs w:val="20"/>
          <w:color w:val="auto"/>
        </w:rPr>
      </w:pPr>
    </w:p>
    <w:p>
      <w:pPr>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*10.9 Form of Stock Option Agreement for 2018 and after. Incorporated by reference to Exhibit 4.7 to Form S-8, filed on May 10, 2018.</w:t>
        </w:r>
      </w:hyperlink>
    </w:p>
    <w:p>
      <w:pPr>
        <w:spacing w:after="0" w:line="104" w:lineRule="exact"/>
        <w:rPr>
          <w:sz w:val="20"/>
          <w:szCs w:val="20"/>
          <w:color w:val="auto"/>
        </w:rPr>
      </w:pPr>
    </w:p>
    <w:p>
      <w:pPr>
        <w:ind w:left="580" w:right="520" w:hanging="566"/>
        <w:spacing w:after="0" w:line="277" w:lineRule="auto"/>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*10.10 Form of Restricted Stock Unit Agreement for 2017 through 2019. Incorporated by reference to Exhibit 10.9 to Form 10-K for the year ended</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December 31, 2016.</w:t>
        </w:r>
      </w:hyperlink>
    </w:p>
    <w:p>
      <w:pPr>
        <w:spacing w:after="0" w:line="62" w:lineRule="exact"/>
        <w:rPr>
          <w:sz w:val="20"/>
          <w:szCs w:val="20"/>
          <w:color w:val="auto"/>
        </w:rPr>
      </w:pPr>
    </w:p>
    <w:p>
      <w:pPr>
        <w:ind w:left="580" w:right="120" w:hanging="566"/>
        <w:spacing w:after="0" w:line="277" w:lineRule="auto"/>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*10.11 Performance Restricted Stock Unit Agreement dated January 23, 2017 between Ducommun Incorporated and Stephen G. Oswald. Incorporated by</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reference to Exhibit 10.11 to Form 10-K for the year ended December 31, 2016.</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*10.12 Form of Performance Stock Unit Agreement for 2020 and after. Incorporated by reference to Exhibit 10.18 to Form 10-Q for the period ended June</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27, 2020.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69" w:lineRule="exact"/>
        <w:rPr>
          <w:sz w:val="20"/>
          <w:szCs w:val="20"/>
          <w:color w:val="auto"/>
        </w:rPr>
      </w:pPr>
    </w:p>
    <w:p>
      <w:pPr>
        <w:ind w:left="580" w:right="20" w:hanging="566"/>
        <w:spacing w:after="0" w:line="277"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*10.13 Form of Restricted Stock Unit Agreement for Non-Qualified Deferred Compensation Plan Participants for 2020 and after. Incorporated by reference</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to Exhibit 10.19 to Form 10-Q for the period ended June 27, 2020.</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*10.14 Form of Restricted Stock Unit Agreement for 2020 and after. Incorporated by reference to Exhibit 10.20 to Form 10-Q for the period ended June 27,</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*10.15 Form of Stock Option Agreement for 2020 and after. Incorporated by reference to Exhibit 10.21 to Form 10-Q for the period ended June 27, 2020.</w:t>
        </w:r>
      </w:hyperlink>
    </w:p>
    <w:p>
      <w:pPr>
        <w:spacing w:after="0" w:line="127" w:lineRule="exact"/>
        <w:rPr>
          <w:sz w:val="20"/>
          <w:szCs w:val="20"/>
          <w:color w:val="auto"/>
        </w:rPr>
      </w:pPr>
    </w:p>
    <w:p>
      <w:pPr>
        <w:ind w:left="580" w:right="360" w:hanging="566"/>
        <w:spacing w:after="0" w:line="277"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*10.16 Form of Performance Restricted Stock Unit Agreement for 2020. Incorporated by reference to Exhibit 10.22 to Form 10-Q for the period ended</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June 27, 2020.</w:t>
        </w:r>
      </w:hyperlink>
    </w:p>
    <w:p>
      <w:pPr>
        <w:spacing w:after="0" w:line="62"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auto"/>
        </w:rPr>
        <w:t>*10.17</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tbl>
      <w:tblPr>
        <w:tblLayout w:type="fixed"/>
        <w:tblInd w:w="2460" w:type="dxa"/>
        <w:tblCellMar>
          <w:top w:w="0" w:type="dxa"/>
          <w:left w:w="0" w:type="dxa"/>
          <w:bottom w:w="0" w:type="dxa"/>
          <w:right w:w="0" w:type="dxa"/>
        </w:tblCellMar>
      </w:tblPr>
      <w:tr>
        <w:trPr>
          <w:trHeight w:val="198"/>
        </w:trPr>
        <w:tc>
          <w:tcPr>
            <w:tcW w:w="3040" w:type="dxa"/>
            <w:vAlign w:val="bottom"/>
            <w:gridSpan w:val="2"/>
          </w:tcPr>
          <w:p>
            <w:pPr>
              <w:spacing w:after="0" w:line="198" w:lineRule="exact"/>
              <w:rPr>
                <w:sz w:val="20"/>
                <w:szCs w:val="20"/>
                <w:color w:val="auto"/>
              </w:rPr>
            </w:pPr>
            <w:r>
              <w:rPr>
                <w:rFonts w:ascii="Arial" w:cs="Arial" w:eastAsia="Arial" w:hAnsi="Arial"/>
                <w:sz w:val="18"/>
                <w:szCs w:val="18"/>
                <w:color w:val="auto"/>
              </w:rPr>
              <w:t>Director/Officer</w:t>
            </w:r>
          </w:p>
        </w:tc>
        <w:tc>
          <w:tcPr>
            <w:tcW w:w="2700" w:type="dxa"/>
            <w:vAlign w:val="bottom"/>
            <w:gridSpan w:val="3"/>
          </w:tcPr>
          <w:p>
            <w:pPr>
              <w:ind w:left="1280"/>
              <w:spacing w:after="0" w:line="198" w:lineRule="exact"/>
              <w:rPr>
                <w:sz w:val="20"/>
                <w:szCs w:val="20"/>
                <w:color w:val="auto"/>
              </w:rPr>
            </w:pPr>
            <w:r>
              <w:rPr>
                <w:rFonts w:ascii="Arial" w:cs="Arial" w:eastAsia="Arial" w:hAnsi="Arial"/>
                <w:sz w:val="18"/>
                <w:szCs w:val="18"/>
                <w:color w:val="auto"/>
                <w:w w:val="92"/>
              </w:rPr>
              <w:t>Date of Agreement</w:t>
            </w:r>
          </w:p>
        </w:tc>
      </w:tr>
      <w:tr>
        <w:trPr>
          <w:trHeight w:val="20"/>
        </w:trPr>
        <w:tc>
          <w:tcPr>
            <w:tcW w:w="11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9"/>
        </w:trPr>
        <w:tc>
          <w:tcPr>
            <w:tcW w:w="3040" w:type="dxa"/>
            <w:vAlign w:val="bottom"/>
            <w:gridSpan w:val="2"/>
          </w:tcPr>
          <w:p>
            <w:pPr>
              <w:spacing w:after="0"/>
              <w:rPr>
                <w:sz w:val="20"/>
                <w:szCs w:val="20"/>
                <w:color w:val="auto"/>
              </w:rPr>
            </w:pPr>
            <w:r>
              <w:rPr>
                <w:rFonts w:ascii="Arial" w:cs="Arial" w:eastAsia="Arial" w:hAnsi="Arial"/>
                <w:sz w:val="18"/>
                <w:szCs w:val="18"/>
                <w:color w:val="auto"/>
              </w:rPr>
              <w:t>Richard A. Baldridge</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March 19, 2013</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Gregory S. Churchill</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March 19, 2013</w:t>
            </w: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Shirley G. Drazba</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October 18, 2018</w:t>
            </w: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Robert C. Ducommun</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w w:val="88"/>
              </w:rPr>
              <w:t>December 31, 1985</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Dean M. Flatt</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w w:val="94"/>
              </w:rPr>
              <w:t>November 5, 2009</w:t>
            </w: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Jay L. Haberland</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February 2, 2009</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Stephen G. Oswald</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January 23, 2017</w:t>
            </w: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Jerry L. Redondo</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October 1, 2015</w:t>
            </w: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Rosalie F. Rogers</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July 24, 2008</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Rajiv A. Tata</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January 24, 2020</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Christopher D. Wampler</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January 1, 2016</w:t>
            </w:r>
          </w:p>
        </w:tc>
      </w:tr>
    </w:tbl>
    <w:p>
      <w:pPr>
        <w:spacing w:after="0" w:line="200" w:lineRule="exact"/>
        <w:rPr>
          <w:sz w:val="20"/>
          <w:szCs w:val="20"/>
          <w:color w:val="auto"/>
        </w:rPr>
      </w:pPr>
    </w:p>
    <w:p>
      <w:pPr>
        <w:spacing w:after="0" w:line="218" w:lineRule="exact"/>
        <w:rPr>
          <w:sz w:val="20"/>
          <w:szCs w:val="20"/>
          <w:color w:val="auto"/>
        </w:rPr>
      </w:pPr>
    </w:p>
    <w:p>
      <w:pPr>
        <w:ind w:left="580" w:right="220" w:hanging="566"/>
        <w:spacing w:after="0" w:line="277"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*10.18 Directors’ Deferred Compensation and Retirement Plan, as amended and restated February 2, 2010. Incorporated by reference to Exhibit 10.15 to</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Form 10-K for the year ended December 31, 2009.</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*10.19 Non Qualified Deferred Compensation. Incorporated by reference to Exhibit 4.6 to Form S-8 dated November 26, 2019.</w:t>
        </w:r>
      </w:hyperlink>
    </w:p>
    <w:p>
      <w:pPr>
        <w:spacing w:after="0" w:line="104" w:lineRule="exact"/>
        <w:rPr>
          <w:sz w:val="20"/>
          <w:szCs w:val="20"/>
          <w:color w:val="auto"/>
        </w:rPr>
      </w:pPr>
    </w:p>
    <w:p>
      <w:pPr>
        <w:ind w:left="580" w:right="100" w:hanging="566"/>
        <w:spacing w:after="0" w:line="277"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*10.20 Key Executive Severance Agreement between Ducommun Incorporated and Stephen G. Oswald dated January 23, 2017. Incorporated by reference</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to Exhibit 99.1 to Form 8-K dated January 27, 2017.</w:t>
        </w:r>
      </w:hyperlink>
    </w:p>
    <w:p>
      <w:pPr>
        <w:spacing w:after="0" w:line="35" w:lineRule="exact"/>
        <w:rPr>
          <w:sz w:val="20"/>
          <w:szCs w:val="20"/>
          <w:color w:val="auto"/>
        </w:rPr>
      </w:pPr>
    </w:p>
    <w:p>
      <w:pPr>
        <w:ind w:left="580" w:right="20" w:hanging="566"/>
        <w:spacing w:after="0" w:line="263" w:lineRule="auto"/>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*10.21 Form of Key Executive Severance Agreement between Ducommun Incorporated and each of the individuals listed below. Incorporated by reference</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to Exhibit 99.2 to Form 8-K dated January 27, 2017. All of the Key Executive Severance Agreements are identical except for the name of the</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person, the address for notice, and the date of the Agreement:</w:t>
        </w:r>
      </w:hyperlink>
    </w:p>
    <w:p>
      <w:pPr>
        <w:spacing w:after="0" w:line="85" w:lineRule="exact"/>
        <w:rPr>
          <w:rFonts w:ascii="Arial" w:cs="Arial" w:eastAsia="Arial" w:hAnsi="Arial"/>
          <w:sz w:val="18"/>
          <w:szCs w:val="18"/>
          <w:u w:val="single" w:color="auto"/>
          <w:color w:val="0000FF"/>
        </w:rPr>
      </w:pPr>
    </w:p>
    <w:tbl>
      <w:tblPr>
        <w:tblLayout w:type="fixed"/>
        <w:tblInd w:w="1720" w:type="dxa"/>
        <w:tblCellMar>
          <w:top w:w="0" w:type="dxa"/>
          <w:left w:w="0" w:type="dxa"/>
          <w:bottom w:w="0" w:type="dxa"/>
          <w:right w:w="0" w:type="dxa"/>
        </w:tblCellMar>
      </w:tblPr>
      <w:tr>
        <w:trPr>
          <w:trHeight w:val="207"/>
        </w:trPr>
        <w:tc>
          <w:tcPr>
            <w:tcW w:w="3060" w:type="dxa"/>
            <w:vAlign w:val="bottom"/>
            <w:gridSpan w:val="2"/>
          </w:tcPr>
          <w:p>
            <w:pPr>
              <w:spacing w:after="0"/>
              <w:rPr>
                <w:sz w:val="20"/>
                <w:szCs w:val="20"/>
                <w:color w:val="auto"/>
              </w:rPr>
            </w:pPr>
            <w:r>
              <w:rPr>
                <w:rFonts w:ascii="Arial" w:cs="Arial" w:eastAsia="Arial" w:hAnsi="Arial"/>
                <w:sz w:val="18"/>
                <w:szCs w:val="18"/>
                <w:color w:val="auto"/>
              </w:rPr>
              <w:t>Person</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w w:val="89"/>
              </w:rPr>
              <w:t>Date of Agreement</w:t>
            </w:r>
          </w:p>
        </w:tc>
      </w:tr>
      <w:tr>
        <w:trPr>
          <w:trHeight w:val="20"/>
        </w:trPr>
        <w:tc>
          <w:tcPr>
            <w:tcW w:w="4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49"/>
        </w:trPr>
        <w:tc>
          <w:tcPr>
            <w:tcW w:w="3060" w:type="dxa"/>
            <w:vAlign w:val="bottom"/>
            <w:gridSpan w:val="2"/>
          </w:tcPr>
          <w:p>
            <w:pPr>
              <w:spacing w:after="0"/>
              <w:rPr>
                <w:sz w:val="20"/>
                <w:szCs w:val="20"/>
                <w:color w:val="auto"/>
              </w:rPr>
            </w:pPr>
            <w:r>
              <w:rPr>
                <w:rFonts w:ascii="Arial" w:cs="Arial" w:eastAsia="Arial" w:hAnsi="Arial"/>
                <w:sz w:val="18"/>
                <w:szCs w:val="18"/>
                <w:color w:val="auto"/>
              </w:rPr>
              <w:t>Jerry L. Redondo</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w w:val="97"/>
              </w:rPr>
              <w:t>January 23, 2017</w:t>
            </w:r>
          </w:p>
        </w:tc>
      </w:tr>
      <w:tr>
        <w:trPr>
          <w:trHeight w:val="229"/>
        </w:trPr>
        <w:tc>
          <w:tcPr>
            <w:tcW w:w="3060" w:type="dxa"/>
            <w:vAlign w:val="bottom"/>
            <w:gridSpan w:val="2"/>
          </w:tcPr>
          <w:p>
            <w:pPr>
              <w:spacing w:after="0"/>
              <w:rPr>
                <w:sz w:val="20"/>
                <w:szCs w:val="20"/>
                <w:color w:val="auto"/>
              </w:rPr>
            </w:pPr>
            <w:r>
              <w:rPr>
                <w:rFonts w:ascii="Arial" w:cs="Arial" w:eastAsia="Arial" w:hAnsi="Arial"/>
                <w:sz w:val="18"/>
                <w:szCs w:val="18"/>
                <w:color w:val="auto"/>
              </w:rPr>
              <w:t>Rosalie F. Rogers</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w w:val="97"/>
              </w:rPr>
              <w:t>January 23, 2017</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Rajiv A. Tata</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w w:val="97"/>
              </w:rPr>
              <w:t>January 24, 2020</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Christopher D. Wampler</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w w:val="97"/>
              </w:rPr>
              <w:t>January 23, 2017</w:t>
            </w:r>
          </w:p>
        </w:tc>
      </w:tr>
    </w:tbl>
    <w:p>
      <w:pPr>
        <w:spacing w:after="0" w:line="94" w:lineRule="exact"/>
        <w:rPr>
          <w:rFonts w:ascii="Arial" w:cs="Arial" w:eastAsia="Arial" w:hAnsi="Arial"/>
          <w:sz w:val="18"/>
          <w:szCs w:val="18"/>
          <w:u w:val="single" w:color="auto"/>
          <w:color w:val="0000FF"/>
        </w:rPr>
      </w:pPr>
    </w:p>
    <w:p>
      <w:pPr>
        <w:ind w:left="580" w:right="440" w:hanging="566"/>
        <w:spacing w:after="0" w:line="277" w:lineRule="auto"/>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*10.22 Employment Letter Agreement dated January 3, 2017 between Ducommun Incorporated and Stephen G. Oswald. Incorporated by reference to</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Exhibit 99.1 to Form 8-K dated January 9, 2017.</w:t>
        </w:r>
      </w:hyperlink>
    </w:p>
    <w:p>
      <w:pPr>
        <w:spacing w:after="0" w:line="49" w:lineRule="exact"/>
        <w:rPr>
          <w:sz w:val="20"/>
          <w:szCs w:val="20"/>
          <w:color w:val="auto"/>
        </w:rPr>
      </w:pPr>
    </w:p>
    <w:p>
      <w:pPr>
        <w:spacing w:after="0"/>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*10.23 Employment Letter Agreement dated December 19, 2016 between Ducommun Incorporated and Amy M. Paul. Incorporated by reference to Exhibit</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10.19 to Form 10-K for the year ended December 31, 2016.</w:t>
        </w:r>
      </w:hyperlink>
    </w:p>
    <w:p>
      <w:pPr>
        <w:spacing w:after="0" w:line="76" w:lineRule="exact"/>
        <w:rPr>
          <w:sz w:val="20"/>
          <w:szCs w:val="20"/>
          <w:color w:val="auto"/>
        </w:rPr>
      </w:pPr>
    </w:p>
    <w:p>
      <w:pPr>
        <w:ind w:left="580" w:right="160" w:hanging="566"/>
        <w:spacing w:after="0" w:line="277" w:lineRule="auto"/>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*10.24 Transition Services Letter Agreement dated January 10, 2017 between Ducommun Incorporated and James S. Heiser. Incorporated by reference to</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Exhibit 99.1 to Form 8-K filed on January 17, 2017.</w:t>
        </w:r>
      </w:hyperlink>
    </w:p>
    <w:p>
      <w:pPr>
        <w:spacing w:after="0" w:line="49" w:lineRule="exact"/>
        <w:rPr>
          <w:sz w:val="20"/>
          <w:szCs w:val="20"/>
          <w:color w:val="auto"/>
        </w:rPr>
      </w:pPr>
    </w:p>
    <w:p>
      <w:pPr>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*10.25 Separation and Release Agreement dated May 14, 2018 between Ducommun Incorporated and Amy M. Paul. Incorporated by reference to Exhibit</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10.1 to Form 8-K filed on May 23, 2018.</w:t>
        </w:r>
      </w:hyperlink>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56" w:lineRule="exact"/>
        <w:rPr>
          <w:sz w:val="20"/>
          <w:szCs w:val="20"/>
          <w:color w:val="auto"/>
        </w:rPr>
      </w:pPr>
    </w:p>
    <w:p>
      <w:pPr>
        <w:ind w:left="580" w:right="100" w:hanging="566"/>
        <w:spacing w:after="0" w:line="277" w:lineRule="auto"/>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*10.26 Separation and Release Agreement dated June 26, 2019 between Ducommun Incorporated and Douglas L. Groves. Incorporated by reference to</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Exhibit 10.1 to Form 8-K filed on June 28, 2019.</w:t>
        </w:r>
      </w:hyperlink>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rFonts w:ascii="Arial" w:cs="Arial" w:eastAsia="Arial" w:hAnsi="Arial"/>
                <w:sz w:val="18"/>
                <w:szCs w:val="18"/>
                <w:u w:val="single" w:color="auto"/>
                <w:color w:val="0000FF"/>
                <w:w w:val="99"/>
              </w:rPr>
            </w:pPr>
            <w:hyperlink w:anchor="page83">
              <w:r>
                <w:rPr>
                  <w:rFonts w:ascii="Arial" w:cs="Arial" w:eastAsia="Arial" w:hAnsi="Arial"/>
                  <w:sz w:val="18"/>
                  <w:szCs w:val="18"/>
                  <w:u w:val="single" w:color="auto"/>
                  <w:color w:val="0000FF"/>
                  <w:w w:val="99"/>
                </w:rPr>
                <w:t>21</w:t>
              </w:r>
            </w:hyperlink>
          </w:p>
        </w:tc>
        <w:tc>
          <w:tcPr>
            <w:tcW w:w="10780" w:type="dxa"/>
            <w:vAlign w:val="bottom"/>
            <w:gridSpan w:val="2"/>
          </w:tcPr>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Subsidiaries of the registrant.</w:t>
              </w:r>
            </w:hyperlink>
          </w:p>
        </w:tc>
      </w:tr>
      <w:tr>
        <w:trPr>
          <w:trHeight w:val="310"/>
        </w:trPr>
        <w:tc>
          <w:tcPr>
            <w:tcW w:w="220" w:type="dxa"/>
            <w:vAlign w:val="bottom"/>
          </w:tcPr>
          <w:p>
            <w:pPr>
              <w:spacing w:after="0"/>
              <w:rPr>
                <w:rFonts w:ascii="Arial" w:cs="Arial" w:eastAsia="Arial" w:hAnsi="Arial"/>
                <w:sz w:val="18"/>
                <w:szCs w:val="18"/>
                <w:u w:val="single" w:color="auto"/>
                <w:color w:val="0000FF"/>
                <w:w w:val="99"/>
              </w:rPr>
            </w:pPr>
            <w:hyperlink w:anchor="page84">
              <w:r>
                <w:rPr>
                  <w:rFonts w:ascii="Arial" w:cs="Arial" w:eastAsia="Arial" w:hAnsi="Arial"/>
                  <w:sz w:val="18"/>
                  <w:szCs w:val="18"/>
                  <w:u w:val="single" w:color="auto"/>
                  <w:color w:val="0000FF"/>
                  <w:w w:val="99"/>
                </w:rPr>
                <w:t>23</w:t>
              </w:r>
            </w:hyperlink>
          </w:p>
        </w:tc>
        <w:tc>
          <w:tcPr>
            <w:tcW w:w="10780" w:type="dxa"/>
            <w:vAlign w:val="bottom"/>
            <w:gridSpan w:val="2"/>
          </w:tcPr>
          <w:p>
            <w:pPr>
              <w:ind w:left="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Consent of Independent Registered Public Accounting Firm.</w:t>
              </w:r>
            </w:hyperlink>
          </w:p>
        </w:tc>
      </w:tr>
      <w:tr>
        <w:trPr>
          <w:trHeight w:val="297"/>
        </w:trPr>
        <w:tc>
          <w:tcPr>
            <w:tcW w:w="11000" w:type="dxa"/>
            <w:vAlign w:val="bottom"/>
            <w:gridSpan w:val="3"/>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31.1 Certification of Principal Executive Officer.</w:t>
              </w:r>
            </w:hyperlink>
          </w:p>
        </w:tc>
      </w:tr>
      <w:tr>
        <w:trPr>
          <w:trHeight w:val="311"/>
        </w:trPr>
        <w:tc>
          <w:tcPr>
            <w:tcW w:w="11000" w:type="dxa"/>
            <w:vAlign w:val="bottom"/>
            <w:gridSpan w:val="3"/>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31.2 Certification of Principal Financial Officer.</w:t>
              </w:r>
            </w:hyperlink>
          </w:p>
        </w:tc>
      </w:tr>
      <w:tr>
        <w:trPr>
          <w:trHeight w:val="311"/>
        </w:trPr>
        <w:tc>
          <w:tcPr>
            <w:tcW w:w="220" w:type="dxa"/>
            <w:vAlign w:val="bottom"/>
          </w:tcPr>
          <w:p>
            <w:pPr>
              <w:spacing w:after="0"/>
              <w:rPr>
                <w:rFonts w:ascii="Arial" w:cs="Arial" w:eastAsia="Arial" w:hAnsi="Arial"/>
                <w:sz w:val="18"/>
                <w:szCs w:val="18"/>
                <w:u w:val="single" w:color="auto"/>
                <w:color w:val="0000FF"/>
                <w:w w:val="99"/>
              </w:rPr>
            </w:pPr>
            <w:hyperlink w:anchor="page87">
              <w:r>
                <w:rPr>
                  <w:rFonts w:ascii="Arial" w:cs="Arial" w:eastAsia="Arial" w:hAnsi="Arial"/>
                  <w:sz w:val="18"/>
                  <w:szCs w:val="18"/>
                  <w:u w:val="single" w:color="auto"/>
                  <w:color w:val="0000FF"/>
                  <w:w w:val="99"/>
                </w:rPr>
                <w:t>32</w:t>
              </w:r>
            </w:hyperlink>
          </w:p>
        </w:tc>
        <w:tc>
          <w:tcPr>
            <w:tcW w:w="10780" w:type="dxa"/>
            <w:vAlign w:val="bottom"/>
            <w:gridSpan w:val="2"/>
          </w:tcPr>
          <w:p>
            <w:pPr>
              <w:ind w:lef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Certification Pursuant to 18 U.S.C. Section 1350, as Adopted Pursuant to Section 906 of the Sarbanes-Oxley Act of 2002.</w:t>
              </w:r>
            </w:hyperlink>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2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220" w:type="dxa"/>
            <w:vAlign w:val="bottom"/>
          </w:tcPr>
          <w:p>
            <w:pPr>
              <w:spacing w:after="0"/>
              <w:rPr>
                <w:sz w:val="20"/>
                <w:szCs w:val="20"/>
                <w:color w:val="auto"/>
              </w:rPr>
            </w:pPr>
          </w:p>
        </w:tc>
        <w:tc>
          <w:tcPr>
            <w:tcW w:w="10780" w:type="dxa"/>
            <w:vAlign w:val="bottom"/>
            <w:gridSpan w:val="2"/>
          </w:tcPr>
          <w:p>
            <w:pPr>
              <w:ind w:left="440"/>
              <w:spacing w:after="0"/>
              <w:rPr>
                <w:sz w:val="20"/>
                <w:szCs w:val="20"/>
                <w:color w:val="auto"/>
              </w:rPr>
            </w:pPr>
            <w:r>
              <w:rPr>
                <w:rFonts w:ascii="Arial" w:cs="Arial" w:eastAsia="Arial" w:hAnsi="Arial"/>
                <w:sz w:val="18"/>
                <w:szCs w:val="18"/>
                <w:color w:val="auto"/>
              </w:rPr>
              <w:t>within the Inline XBRL</w:t>
            </w:r>
          </w:p>
        </w:tc>
      </w:tr>
      <w:tr>
        <w:trPr>
          <w:trHeight w:val="311"/>
        </w:trPr>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w:t>
            </w:r>
          </w:p>
        </w:tc>
      </w:tr>
      <w:tr>
        <w:trPr>
          <w:trHeight w:val="311"/>
        </w:trPr>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DUCOMMUN INCORPORATED</w:t>
            </w:r>
          </w:p>
        </w:tc>
      </w:tr>
      <w:tr>
        <w:trPr>
          <w:trHeight w:val="283"/>
        </w:trPr>
        <w:tc>
          <w:tcPr>
            <w:tcW w:w="3700" w:type="dxa"/>
            <w:vAlign w:val="bottom"/>
          </w:tcPr>
          <w:p>
            <w:pPr>
              <w:spacing w:after="0"/>
              <w:rPr>
                <w:sz w:val="20"/>
                <w:szCs w:val="20"/>
                <w:color w:val="auto"/>
              </w:rPr>
            </w:pPr>
            <w:r>
              <w:rPr>
                <w:rFonts w:ascii="Arial" w:cs="Arial" w:eastAsia="Arial" w:hAnsi="Arial"/>
                <w:sz w:val="18"/>
                <w:szCs w:val="18"/>
                <w:color w:val="auto"/>
              </w:rPr>
              <w:t>Date: February 11, 2021</w:t>
            </w:r>
          </w:p>
        </w:tc>
        <w:tc>
          <w:tcPr>
            <w:tcW w:w="2760" w:type="dxa"/>
            <w:vAlign w:val="bottom"/>
          </w:tcPr>
          <w:p>
            <w:pPr>
              <w:ind w:left="19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Oswald</w:t>
            </w:r>
          </w:p>
        </w:tc>
      </w:tr>
      <w:tr>
        <w:trPr>
          <w:trHeight w:val="222"/>
        </w:trPr>
        <w:tc>
          <w:tcPr>
            <w:tcW w:w="37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Stephen G. Oswald</w:t>
            </w:r>
          </w:p>
        </w:tc>
      </w:tr>
      <w:tr>
        <w:trPr>
          <w:trHeight w:val="230"/>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148"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duly signed below by the following persons on behalf of the registrant and in the capacities indicated on February 11,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Signature</w:t>
            </w:r>
          </w:p>
        </w:tc>
        <w:tc>
          <w:tcPr>
            <w:tcW w:w="740" w:type="dxa"/>
            <w:vAlign w:val="bottom"/>
          </w:tcPr>
          <w:p>
            <w:pPr>
              <w:spacing w:after="0"/>
              <w:rPr>
                <w:sz w:val="20"/>
                <w:szCs w:val="20"/>
                <w:color w:val="auto"/>
              </w:rPr>
            </w:pPr>
          </w:p>
        </w:tc>
        <w:tc>
          <w:tcPr>
            <w:tcW w:w="530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Title</w:t>
            </w:r>
          </w:p>
        </w:tc>
      </w:tr>
      <w:tr>
        <w:trPr>
          <w:trHeight w:val="47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Oswald</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Stephen G. Oswald</w:t>
            </w:r>
          </w:p>
        </w:tc>
        <w:tc>
          <w:tcPr>
            <w:tcW w:w="7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D. Wampler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Vice President, Chief Financial Officer, Controller and Treasurer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Christopher D. Wampler</w:t>
            </w:r>
          </w:p>
        </w:tc>
        <w:tc>
          <w:tcPr>
            <w:tcW w:w="7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and Principal Accounting Officer)</w:t>
            </w: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A. Baldridge</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Richard A. Baldridge</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S. Churchill</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Gregory S. Churchill</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Shirley G. Drazba</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Shirley G. Drazba</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C. Ducommun</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Robert C. Ducommun</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Dean M. Flatt</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Dean M. Flatt</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L. Haberland</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Jay L. Haberland</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21" w:right="3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ind w:left="1940"/>
              <w:spacing w:after="0"/>
              <w:rPr>
                <w:sz w:val="20"/>
                <w:szCs w:val="20"/>
                <w:color w:val="auto"/>
              </w:rPr>
            </w:pPr>
            <w:r>
              <w:rPr>
                <w:rFonts w:ascii="Arial" w:cs="Arial" w:eastAsia="Arial" w:hAnsi="Arial"/>
                <w:sz w:val="18"/>
                <w:szCs w:val="18"/>
                <w:color w:val="auto"/>
                <w:w w:val="96"/>
              </w:rPr>
              <w:t>EXHIBIT 21</w:t>
            </w:r>
          </w:p>
        </w:tc>
      </w:tr>
      <w:tr>
        <w:trPr>
          <w:trHeight w:val="3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160" w:type="dxa"/>
            <w:vAlign w:val="bottom"/>
            <w:gridSpan w:val="4"/>
          </w:tcPr>
          <w:p>
            <w:pPr>
              <w:ind w:left="20"/>
              <w:spacing w:after="0"/>
              <w:rPr>
                <w:sz w:val="20"/>
                <w:szCs w:val="20"/>
                <w:color w:val="auto"/>
              </w:rPr>
            </w:pPr>
            <w:r>
              <w:rPr>
                <w:rFonts w:ascii="Arial" w:cs="Arial" w:eastAsia="Arial" w:hAnsi="Arial"/>
                <w:sz w:val="18"/>
                <w:szCs w:val="18"/>
                <w:color w:val="auto"/>
              </w:rPr>
              <w:t>SUBSIDIARIES OF THE REGISTRANT</w:t>
            </w:r>
          </w:p>
        </w:tc>
      </w:tr>
      <w:tr>
        <w:trPr>
          <w:trHeight w:val="447"/>
        </w:trPr>
        <w:tc>
          <w:tcPr>
            <w:tcW w:w="4080" w:type="dxa"/>
            <w:vAlign w:val="bottom"/>
            <w:gridSpan w:val="2"/>
          </w:tcPr>
          <w:p>
            <w:pPr>
              <w:spacing w:after="0"/>
              <w:rPr>
                <w:sz w:val="20"/>
                <w:szCs w:val="20"/>
                <w:color w:val="auto"/>
              </w:rPr>
            </w:pPr>
            <w:r>
              <w:rPr>
                <w:rFonts w:ascii="Arial" w:cs="Arial" w:eastAsia="Arial" w:hAnsi="Arial"/>
                <w:sz w:val="18"/>
                <w:szCs w:val="18"/>
                <w:color w:val="auto"/>
                <w:w w:val="91"/>
              </w:rPr>
              <w:t>Following is a list of the subsidiaries of the Company</w:t>
            </w:r>
            <w:r>
              <w:rPr>
                <w:rFonts w:ascii="Arial" w:cs="Arial" w:eastAsia="Arial" w:hAnsi="Arial"/>
                <w:sz w:val="23"/>
                <w:szCs w:val="23"/>
                <w:color w:val="auto"/>
                <w:w w:val="91"/>
                <w:vertAlign w:val="superscript"/>
              </w:rPr>
              <w:t>(1)</w:t>
            </w:r>
            <w:r>
              <w:rPr>
                <w:rFonts w:ascii="Arial" w:cs="Arial" w:eastAsia="Arial" w:hAnsi="Arial"/>
                <w:sz w:val="18"/>
                <w:szCs w:val="18"/>
                <w:color w:val="auto"/>
                <w:w w:val="91"/>
              </w:rPr>
              <w:t>:</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406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Name of Subsidiary</w:t>
            </w:r>
          </w:p>
        </w:tc>
        <w:tc>
          <w:tcPr>
            <w:tcW w:w="1160" w:type="dxa"/>
            <w:vAlign w:val="bottom"/>
            <w:tcBorders>
              <w:bottom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Jurisdiction of Incorporation</w:t>
            </w: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Certified Thermoplastics Company, LLC</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91"/>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CMP Display Systems, Inc.</w:t>
            </w:r>
            <w:r>
              <w:rPr>
                <w:rFonts w:ascii="Arial" w:cs="Arial" w:eastAsia="Arial" w:hAnsi="Arial"/>
                <w:sz w:val="23"/>
                <w:szCs w:val="23"/>
                <w:color w:val="auto"/>
                <w:vertAlign w:val="superscript"/>
              </w:rPr>
              <w:t>(2)</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Composite Structures,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AeroStructures,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AeroStructures Mexico,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AeroStructures New York,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(England) LTD</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LaBarge Technologies,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LaBarge Technologies,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Technologies (Thailand) Ltd.</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24"/>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LaBarge Acquisition Company,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Missouri</w:t>
            </w:r>
          </w:p>
        </w:tc>
      </w:tr>
      <w:tr>
        <w:trPr>
          <w:trHeight w:val="235"/>
        </w:trPr>
        <w:tc>
          <w:tcPr>
            <w:tcW w:w="20" w:type="dxa"/>
            <w:vAlign w:val="bottom"/>
          </w:tcPr>
          <w:p>
            <w:pPr>
              <w:spacing w:after="0"/>
              <w:rPr>
                <w:sz w:val="20"/>
                <w:szCs w:val="20"/>
                <w:color w:val="auto"/>
              </w:rPr>
            </w:pPr>
          </w:p>
        </w:tc>
        <w:tc>
          <w:tcPr>
            <w:tcW w:w="4060" w:type="dxa"/>
            <w:vAlign w:val="bottom"/>
          </w:tcPr>
          <w:p>
            <w:pPr>
              <w:ind w:left="20"/>
              <w:spacing w:after="0" w:line="235" w:lineRule="exact"/>
              <w:rPr>
                <w:sz w:val="20"/>
                <w:szCs w:val="20"/>
                <w:color w:val="auto"/>
              </w:rPr>
            </w:pPr>
            <w:r>
              <w:rPr>
                <w:rFonts w:ascii="Arial" w:cs="Arial" w:eastAsia="Arial" w:hAnsi="Arial"/>
                <w:sz w:val="18"/>
                <w:szCs w:val="18"/>
                <w:color w:val="auto"/>
              </w:rPr>
              <w:t>LaBarge/STC, Inc.</w:t>
            </w:r>
            <w:r>
              <w:rPr>
                <w:rFonts w:ascii="Arial" w:cs="Arial" w:eastAsia="Arial" w:hAnsi="Arial"/>
                <w:sz w:val="23"/>
                <w:szCs w:val="23"/>
                <w:color w:val="auto"/>
                <w:vertAlign w:val="superscript"/>
              </w:rPr>
              <w:t>(2)</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Lightning Diversion Systems,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LS Holdings Company,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Nobles Holdings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Nobles Parent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Nobles Worldwide, Inc.</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Minnesota</w:t>
            </w:r>
          </w:p>
        </w:tc>
      </w:tr>
      <w:tr>
        <w:trPr>
          <w:trHeight w:val="364"/>
        </w:trPr>
        <w:tc>
          <w:tcPr>
            <w:tcW w:w="4080" w:type="dxa"/>
            <w:vAlign w:val="bottom"/>
            <w:gridSpan w:val="2"/>
          </w:tcPr>
          <w:p>
            <w:pPr>
              <w:spacing w:after="0"/>
              <w:rPr>
                <w:sz w:val="20"/>
                <w:szCs w:val="20"/>
                <w:color w:val="auto"/>
              </w:rPr>
            </w:pPr>
            <w:r>
              <w:rPr>
                <w:rFonts w:ascii="Arial" w:cs="Arial" w:eastAsia="Arial" w:hAnsi="Arial"/>
                <w:sz w:val="18"/>
                <w:szCs w:val="18"/>
                <w:color w:val="auto"/>
              </w:rPr>
              <w:t>(1) As of December 31, 2020.</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(2) Inactive.</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240"/>
          </w:cols>
          <w:pgMar w:left="320" w:top="89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333-234808) and Form S-8 (Nos. 333-238040, 333-235278, 333-224838, 333-214408, and 333-188460) of Ducommun Incorporated of our report dated February 11, 2021 relating to the financial statements and financial statement schedule and the effectiveness of internal control over financial reporting, which appears in this Form 10-K.</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11, 2021</w:t>
      </w:r>
    </w:p>
    <w:p>
      <w:pPr>
        <w:sectPr>
          <w:pgSz w:w="11900" w:h="16838" w:orient="portrait"/>
          <w:cols w:equalWidth="0" w:num="1">
            <w:col w:w="11240"/>
          </w:cols>
          <w:pgMar w:left="320" w:top="89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Annual Report of Ducommun Incorporated (the “registrant”) on Form 10-K for the period ended December 31, 2020;</w:t>
      </w:r>
    </w:p>
    <w:p>
      <w:pPr>
        <w:spacing w:after="0" w:line="115"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Arial" w:cs="Arial" w:eastAsia="Arial" w:hAnsi="Arial"/>
          <w:sz w:val="16"/>
          <w:szCs w:val="16"/>
          <w:color w:val="auto"/>
        </w:rPr>
      </w:pPr>
    </w:p>
    <w:p>
      <w:pPr>
        <w:ind w:left="660" w:right="80" w:hanging="328"/>
        <w:spacing w:after="0" w:line="334"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656"/>
        <w:spacing w:after="0" w:line="263" w:lineRule="auto"/>
        <w:tabs>
          <w:tab w:leader="none" w:pos="19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G. Oswald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89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D. Wampler, certify that:</w:t>
      </w:r>
    </w:p>
    <w:p>
      <w:pPr>
        <w:spacing w:after="0" w:line="10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of Ducommun Incorporated (the “registrant”) on Form 10-K for the period ended December 31, 2020;</w:t>
      </w:r>
    </w:p>
    <w:p>
      <w:pPr>
        <w:spacing w:after="0" w:line="101"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960" w:right="80" w:hanging="656"/>
        <w:spacing w:after="0" w:line="263" w:lineRule="auto"/>
        <w:tabs>
          <w:tab w:leader="none" w:pos="19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2021</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97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D. Wampler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Controller and Treasurer</w:t>
      </w:r>
    </w:p>
    <w:p>
      <w:pPr>
        <w:sectPr>
          <w:pgSz w:w="11900" w:h="16838" w:orient="portrait"/>
          <w:cols w:equalWidth="0" w:num="1">
            <w:col w:w="11240"/>
          </w:cols>
          <w:pgMar w:left="320" w:top="89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In connection with the Annual Report of Ducommun Incorporated (the “Company”) on Form 10-K for the period ending December 31, 2020, as filed with the Securities and Exchange Commission on the date hereof (the “Report”), I, Stephen G. Oswald, Chairman, President and Chief Executive Officer of the Company, certify pursuant to 18 U.S.C. § 1350, as adopted pursuant to § 906 of the Sarbanes-Oxley Act of 2002, that to the best of our knowledge:</w:t>
      </w:r>
    </w:p>
    <w:p>
      <w:pPr>
        <w:spacing w:after="0" w:line="95" w:lineRule="exact"/>
        <w:rPr>
          <w:sz w:val="20"/>
          <w:szCs w:val="20"/>
          <w:color w:val="auto"/>
        </w:rPr>
      </w:pPr>
    </w:p>
    <w:p>
      <w:pPr>
        <w:ind w:left="1160" w:hanging="26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5" w:lineRule="exact"/>
        <w:rPr>
          <w:sz w:val="20"/>
          <w:szCs w:val="20"/>
          <w:color w:val="auto"/>
        </w:rPr>
      </w:pPr>
    </w:p>
    <w:tbl>
      <w:tblPr>
        <w:tblLayout w:type="fixed"/>
        <w:tblInd w:w="408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Oswald</w:t>
            </w:r>
          </w:p>
        </w:tc>
      </w:tr>
      <w:tr>
        <w:trPr>
          <w:trHeight w:val="222"/>
        </w:trPr>
        <w:tc>
          <w:tcPr>
            <w:tcW w:w="90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Stephen G. Oswald</w:t>
            </w:r>
          </w:p>
        </w:tc>
      </w:tr>
      <w:tr>
        <w:trPr>
          <w:trHeight w:val="229"/>
        </w:trPr>
        <w:tc>
          <w:tcPr>
            <w:tcW w:w="90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90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February 11, 2021</w:t>
            </w:r>
          </w:p>
        </w:tc>
      </w:tr>
    </w:tbl>
    <w:p>
      <w:pPr>
        <w:spacing w:after="0" w:line="200" w:lineRule="exact"/>
        <w:rPr>
          <w:sz w:val="20"/>
          <w:szCs w:val="20"/>
          <w:color w:val="auto"/>
        </w:rPr>
      </w:pPr>
    </w:p>
    <w:p>
      <w:pPr>
        <w:spacing w:after="0" w:line="353"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the Annual Report of Ducommun Incorporated (the “Company”) on Form 10-K for the period ending December 31, 2020, as filed with the Securities and Exchange Commission on the date hereof (the “Report”), I, Christopher D. Wampler, Vice President, Chief Financial Officer, Controller and Treasurer of the Company, certify pursuant to 18 U.S.C. § 1350, as adopted pursuant to § 906 of the Sarbanes-Oxley Act of 2002, that to the best of our knowledge:</w:t>
      </w:r>
    </w:p>
    <w:p>
      <w:pPr>
        <w:spacing w:after="0" w:line="133" w:lineRule="exact"/>
        <w:rPr>
          <w:sz w:val="20"/>
          <w:szCs w:val="20"/>
          <w:color w:val="auto"/>
        </w:rPr>
      </w:pPr>
    </w:p>
    <w:p>
      <w:pPr>
        <w:ind w:left="1160" w:hanging="26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67" w:lineRule="exact"/>
        <w:rPr>
          <w:sz w:val="20"/>
          <w:szCs w:val="20"/>
          <w:color w:val="auto"/>
        </w:rPr>
      </w:pPr>
    </w:p>
    <w:tbl>
      <w:tblPr>
        <w:tblLayout w:type="fixed"/>
        <w:tblInd w:w="406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D. Wampler</w:t>
            </w:r>
          </w:p>
        </w:tc>
      </w:tr>
      <w:tr>
        <w:trPr>
          <w:trHeight w:val="222"/>
        </w:trPr>
        <w:tc>
          <w:tcPr>
            <w:tcW w:w="92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Christopher D. Wampler</w:t>
            </w:r>
          </w:p>
        </w:tc>
      </w:tr>
      <w:tr>
        <w:trPr>
          <w:trHeight w:val="230"/>
        </w:trPr>
        <w:tc>
          <w:tcPr>
            <w:tcW w:w="92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Controller and Treasurer</w:t>
            </w:r>
          </w:p>
        </w:tc>
      </w:tr>
      <w:tr>
        <w:trPr>
          <w:trHeight w:val="230"/>
        </w:trPr>
        <w:tc>
          <w:tcPr>
            <w:tcW w:w="92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February 11, 2021</w:t>
            </w:r>
          </w:p>
        </w:tc>
      </w:tr>
    </w:tbl>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accompanying the Form 10-K solely pursuant to Section 906 of the Sarbanes-Oxley Act of 2002, and is not being filed as part of the Form 10-K or as a separate disclosure document.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decimal"/>
      <w:start w:val="842"/>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98" Type="http://schemas.openxmlformats.org/officeDocument/2006/relationships/hyperlink" Target="http://www.sec.gov/Archives/edgar/data/30305/000119312517281838/d414212dex21.htm" TargetMode="External"/><Relationship Id="rId99" Type="http://schemas.openxmlformats.org/officeDocument/2006/relationships/hyperlink" Target="http://www.sec.gov/Archives/edgar/data/30305/000119312519264787/d817718dex21.htm" TargetMode="External"/><Relationship Id="rId100" Type="http://schemas.openxmlformats.org/officeDocument/2006/relationships/hyperlink" Target="http://www.sec.gov/Archives/edgar/data/30305/0000892569-99-000620-index.html" TargetMode="External"/><Relationship Id="rId101" Type="http://schemas.openxmlformats.org/officeDocument/2006/relationships/hyperlink" Target="http://www.sec.gov/Archives/edgar/data/30305/000119312513121993/d505045dex991.htm" TargetMode="External"/><Relationship Id="rId102" Type="http://schemas.openxmlformats.org/officeDocument/2006/relationships/hyperlink" Target="http://www.sec.gov/Archives/edgar/data/30305/000119312517005088/d321215dex992.htm" TargetMode="External"/><Relationship Id="rId103" Type="http://schemas.openxmlformats.org/officeDocument/2006/relationships/hyperlink" Target="http://www.sec.gov/Archives/edgar/data/30305/000119312518058275/0001193125-18-058275-index.htm" TargetMode="External"/><Relationship Id="rId104" Type="http://schemas.openxmlformats.org/officeDocument/2006/relationships/hyperlink" Target="http://www.sec.gov/Archives/edgar/data/30305/000162828020001898/dco10-k2019exhibit4_1.htm" TargetMode="External"/><Relationship Id="rId105" Type="http://schemas.openxmlformats.org/officeDocument/2006/relationships/hyperlink" Target="http://www.sec.gov/Archives/edgar/data/30305/000119312519321137/d834392dex101.htm" TargetMode="External"/><Relationship Id="rId106" Type="http://schemas.openxmlformats.org/officeDocument/2006/relationships/hyperlink" Target="http://www.sec.gov/Archives/edgar/data/30305/000119312518333904/0001193125-18-333904-index.htm" TargetMode="External"/><Relationship Id="rId107" Type="http://schemas.openxmlformats.org/officeDocument/2006/relationships/hyperlink" Target="http://www.sec.gov/Archives/edgar/data/30305/000119312518093774/d536991ddef14a.htm" TargetMode="External"/><Relationship Id="rId108" Type="http://schemas.openxmlformats.org/officeDocument/2006/relationships/hyperlink" Target="http://www.sec.gov/Archives/edgar/data/30305/000119312520080692/d859194ddef14a.htm" TargetMode="External"/><Relationship Id="rId109" Type="http://schemas.openxmlformats.org/officeDocument/2006/relationships/hyperlink" Target="http://www.sec.gov/Archives/edgar/data/30305/000119312504034525/dex108.htm" TargetMode="External"/><Relationship Id="rId110" Type="http://schemas.openxmlformats.org/officeDocument/2006/relationships/hyperlink" Target="http://www.sec.gov/Archives/edgar/data/30305/000162828017002221/dco10-k2016_ex105.htm" TargetMode="External"/><Relationship Id="rId111" Type="http://schemas.openxmlformats.org/officeDocument/2006/relationships/hyperlink" Target="http://www.sec.gov/Archives/edgar/data/30305/000119312518159343/d596690dex47.htm" TargetMode="External"/><Relationship Id="rId112" Type="http://schemas.openxmlformats.org/officeDocument/2006/relationships/hyperlink" Target="http://www.sec.gov/Archives/edgar/data/30305/000162828017002221/dco10-k2016_ex109.htm" TargetMode="External"/><Relationship Id="rId113" Type="http://schemas.openxmlformats.org/officeDocument/2006/relationships/hyperlink" Target="http://www.sec.gov/Archives/edgar/data/30305/000162828017002221/dco10-k2016_ex1011.htm" TargetMode="External"/><Relationship Id="rId114" Type="http://schemas.openxmlformats.org/officeDocument/2006/relationships/hyperlink" Target="http://www.sec.gov/Archives/edgar/data/30305/000162828020011005/dco-q2202010xqex1018.htm" TargetMode="External"/><Relationship Id="rId117" Type="http://schemas.openxmlformats.org/officeDocument/2006/relationships/hyperlink" Target="http://www.sec.gov/Archives/edgar/data/30305/000162828020011005/dco-q2202010xqex1019.htm" TargetMode="External"/><Relationship Id="rId118" Type="http://schemas.openxmlformats.org/officeDocument/2006/relationships/hyperlink" Target="http://www.sec.gov/Archives/edgar/data/30305/000162828020011005/dco-q2202010xqex1020.htm" TargetMode="External"/><Relationship Id="rId119" Type="http://schemas.openxmlformats.org/officeDocument/2006/relationships/hyperlink" Target="http://www.sec.gov/Archives/edgar/data/30305/000162828020011005/dco-q2202010xqex1021.htm" TargetMode="External"/><Relationship Id="rId120" Type="http://schemas.openxmlformats.org/officeDocument/2006/relationships/hyperlink" Target="http://www.sec.gov/Archives/edgar/data/30305/000162828020011005/dco-q2202010xqex1022.htm" TargetMode="External"/><Relationship Id="rId121" Type="http://schemas.openxmlformats.org/officeDocument/2006/relationships/hyperlink" Target="http://www.sec.gov/Archives/edgar/data/30305/000119312510036507/dex1015.htm" TargetMode="External"/><Relationship Id="rId122" Type="http://schemas.openxmlformats.org/officeDocument/2006/relationships/hyperlink" Target="http://www.sec.gov/Archives/edgar/data/30305/000119312519301183/0001193125-19-301183-index.htm" TargetMode="External"/><Relationship Id="rId123" Type="http://schemas.openxmlformats.org/officeDocument/2006/relationships/hyperlink" Target="http://www.sec.gov/Archives/edgar/data/30305/000119312517020975/d284517dex991.htm" TargetMode="External"/><Relationship Id="rId124" Type="http://schemas.openxmlformats.org/officeDocument/2006/relationships/hyperlink" Target="http://www.sec.gov/Archives/edgar/data/30305/000119312517020975/d284517dex992.htm" TargetMode="External"/><Relationship Id="rId125" Type="http://schemas.openxmlformats.org/officeDocument/2006/relationships/hyperlink" Target="http://www.sec.gov/Archives/edgar/data/30305/000119312517005088/d321215dex991.htm" TargetMode="External"/><Relationship Id="rId126" Type="http://schemas.openxmlformats.org/officeDocument/2006/relationships/hyperlink" Target="http://www.sec.gov/Archives/edgar/data/30305/000162828017002221/dco10-k2016_ex1019.htm" TargetMode="External"/><Relationship Id="rId127" Type="http://schemas.openxmlformats.org/officeDocument/2006/relationships/hyperlink" Target="http://www.sec.gov/Archives/edgar/data/30305/000119312517010708/d287508dex991.htm" TargetMode="External"/><Relationship Id="rId128" Type="http://schemas.openxmlformats.org/officeDocument/2006/relationships/hyperlink" Target="http://www.sec.gov/Archives/edgar/data/30305/000119312518171920/d578788dex101.htm" TargetMode="External"/><Relationship Id="rId131" Type="http://schemas.openxmlformats.org/officeDocument/2006/relationships/hyperlink" Target="http://www.sec.gov/Archives/edgar/data/30305/000119312519184565/d6370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2021-02-11T15:32:35Z</dcterms:created>
  <dcterms:modified xsi:type="dcterms:W3CDTF">2021-02-11T15:32:35Z</dcterms:modified>
</cp:coreProperties>
</file>