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4"/>
          <w:szCs w:val="24"/>
          <w:color w:val="auto"/>
        </w:rPr>
      </w:pPr>
    </w:p>
    <w:p>
      <w:pPr>
        <w:spacing w:after="0" w:line="281"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0" w:lineRule="exact"/>
        <w:rPr>
          <w:sz w:val="24"/>
          <w:szCs w:val="24"/>
          <w:color w:val="auto"/>
        </w:rPr>
      </w:pPr>
    </w:p>
    <w:p>
      <w:pPr>
        <w:ind w:left="640" w:right="80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April 3, 2021</w:t>
      </w:r>
    </w:p>
    <w:p>
      <w:pPr>
        <w:spacing w:after="0" w:line="6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40" w:right="78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9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40"/>
          <w:szCs w:val="40"/>
          <w:b w:val="1"/>
          <w:bCs w:val="1"/>
          <w:color w:val="auto"/>
        </w:rPr>
        <w:t>DUCOMMUN INCORPORATED</w:t>
      </w:r>
    </w:p>
    <w:p>
      <w:pPr>
        <w:spacing w:after="0" w:line="4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06"/>
        </w:trPr>
        <w:tc>
          <w:tcPr>
            <w:tcW w:w="7360" w:type="dxa"/>
            <w:vAlign w:val="bottom"/>
          </w:tcPr>
          <w:p>
            <w:pPr>
              <w:jc w:val="right"/>
              <w:spacing w:after="0"/>
              <w:rPr>
                <w:sz w:val="20"/>
                <w:szCs w:val="20"/>
                <w:color w:val="auto"/>
              </w:rPr>
            </w:pPr>
            <w:r>
              <w:rPr>
                <w:rFonts w:ascii="Arial" w:cs="Arial" w:eastAsia="Arial" w:hAnsi="Arial"/>
                <w:sz w:val="16"/>
                <w:szCs w:val="16"/>
                <w:color w:val="auto"/>
              </w:rPr>
              <w:t>_________________________________________________________</w:t>
            </w:r>
          </w:p>
        </w:tc>
        <w:tc>
          <w:tcPr>
            <w:tcW w:w="1160" w:type="dxa"/>
            <w:vAlign w:val="bottom"/>
          </w:tcPr>
          <w:p>
            <w:pPr>
              <w:spacing w:after="0"/>
              <w:rPr>
                <w:sz w:val="17"/>
                <w:szCs w:val="17"/>
                <w:color w:val="auto"/>
              </w:rPr>
            </w:pPr>
          </w:p>
        </w:tc>
      </w:tr>
      <w:tr>
        <w:trPr>
          <w:trHeight w:val="253"/>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1"/>
              </w:rPr>
              <w:t>Delaware</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95-0693330</w:t>
            </w:r>
          </w:p>
        </w:tc>
      </w:tr>
      <w:tr>
        <w:trPr>
          <w:trHeight w:val="144"/>
        </w:trPr>
        <w:tc>
          <w:tcPr>
            <w:tcW w:w="7360" w:type="dxa"/>
            <w:vAlign w:val="bottom"/>
          </w:tcPr>
          <w:p>
            <w:pPr>
              <w:jc w:val="center"/>
              <w:ind w:right="2921"/>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360" w:type="dxa"/>
            <w:vAlign w:val="bottom"/>
          </w:tcPr>
          <w:p>
            <w:pPr>
              <w:jc w:val="center"/>
              <w:ind w:right="2921"/>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7360" w:type="dxa"/>
            <w:vAlign w:val="bottom"/>
          </w:tcPr>
          <w:p>
            <w:pPr>
              <w:jc w:val="center"/>
              <w:ind w:right="2921"/>
              <w:spacing w:after="0"/>
              <w:rPr>
                <w:sz w:val="20"/>
                <w:szCs w:val="20"/>
                <w:color w:val="auto"/>
              </w:rPr>
            </w:pPr>
            <w:r>
              <w:rPr>
                <w:rFonts w:ascii="Arial" w:cs="Arial" w:eastAsia="Arial" w:hAnsi="Arial"/>
                <w:sz w:val="18"/>
                <w:szCs w:val="18"/>
                <w:b w:val="1"/>
                <w:bCs w:val="1"/>
                <w:color w:val="auto"/>
                <w:w w:val="90"/>
              </w:rPr>
              <w:t>200 Sandpointe Avenue, Suite 700, Santa Ana, California</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92707-5759</w:t>
            </w:r>
          </w:p>
        </w:tc>
      </w:tr>
      <w:tr>
        <w:trPr>
          <w:trHeight w:val="186"/>
        </w:trPr>
        <w:tc>
          <w:tcPr>
            <w:tcW w:w="7360" w:type="dxa"/>
            <w:vAlign w:val="bottom"/>
          </w:tcPr>
          <w:p>
            <w:pPr>
              <w:jc w:val="center"/>
              <w:ind w:right="29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bl>
    <w:p>
      <w:pPr>
        <w:spacing w:after="0" w:line="10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(657) 335-3665</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80"/>
          </w:cols>
          <w:pgMar w:left="320" w:top="229" w:right="499" w:bottom="1440" w:gutter="0" w:footer="0" w:header="0"/>
        </w:sectPr>
      </w:pPr>
    </w:p>
    <w:p>
      <w:pPr>
        <w:spacing w:after="0" w:line="45"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55" w:lineRule="exact"/>
        <w:rPr>
          <w:sz w:val="24"/>
          <w:szCs w:val="24"/>
          <w:color w:val="auto"/>
        </w:rPr>
      </w:pPr>
    </w:p>
    <w:p>
      <w:pPr>
        <w:sectPr>
          <w:pgSz w:w="11900" w:h="16838" w:orient="portrait"/>
          <w:cols w:equalWidth="0" w:num="3">
            <w:col w:w="4580" w:space="720"/>
            <w:col w:w="1740" w:space="720"/>
            <w:col w:w="3320"/>
          </w:cols>
          <w:pgMar w:left="320" w:top="229" w:right="499" w:bottom="1440" w:gutter="0" w:footer="0" w:header="0"/>
          <w:type w:val="continuous"/>
        </w:sectPr>
      </w:pPr>
    </w:p>
    <w:p>
      <w:pPr>
        <w:ind w:left="860"/>
        <w:spacing w:after="0"/>
        <w:rPr>
          <w:sz w:val="20"/>
          <w:szCs w:val="20"/>
          <w:color w:val="auto"/>
        </w:rPr>
      </w:pPr>
      <w:r>
        <w:rPr>
          <w:rFonts w:ascii="Arial" w:cs="Arial" w:eastAsia="Arial" w:hAnsi="Arial"/>
          <w:sz w:val="16"/>
          <w:szCs w:val="16"/>
          <w:b w:val="1"/>
          <w:bCs w:val="1"/>
          <w:color w:val="auto"/>
        </w:rPr>
        <w:t>Common Stock, $.01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DCO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61" w:lineRule="exact"/>
        <w:rPr>
          <w:sz w:val="24"/>
          <w:szCs w:val="24"/>
          <w:color w:val="auto"/>
        </w:rPr>
      </w:pPr>
    </w:p>
    <w:p>
      <w:pPr>
        <w:sectPr>
          <w:pgSz w:w="11900" w:h="16838" w:orient="portrait"/>
          <w:cols w:equalWidth="0" w:num="3">
            <w:col w:w="4960" w:space="720"/>
            <w:col w:w="1680" w:space="720"/>
            <w:col w:w="3000"/>
          </w:cols>
          <w:pgMar w:left="320" w:top="229" w:right="499" w:bottom="1440" w:gutter="0" w:footer="0" w:header="0"/>
          <w:type w:val="continuous"/>
        </w:sectPr>
      </w:pPr>
    </w:p>
    <w:p>
      <w:pPr>
        <w:ind w:left="3340"/>
        <w:spacing w:after="0"/>
        <w:rPr>
          <w:sz w:val="20"/>
          <w:szCs w:val="20"/>
          <w:color w:val="auto"/>
        </w:rPr>
      </w:pPr>
      <w:r>
        <w:rPr>
          <w:rFonts w:ascii="Arial" w:cs="Arial" w:eastAsia="Arial" w:hAnsi="Arial"/>
          <w:sz w:val="16"/>
          <w:szCs w:val="16"/>
          <w:color w:val="auto"/>
        </w:rPr>
        <w:t>_________________________________________________________</w:t>
      </w:r>
    </w:p>
    <w:p>
      <w:pPr>
        <w:spacing w:after="0" w:line="68" w:lineRule="exact"/>
        <w:rPr>
          <w:sz w:val="24"/>
          <w:szCs w:val="24"/>
          <w:color w:val="auto"/>
        </w:rPr>
      </w:pPr>
    </w:p>
    <w:p>
      <w:pPr>
        <w:ind w:right="140"/>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ind w:right="200"/>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8"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rPr>
                <w:sz w:val="20"/>
                <w:szCs w:val="20"/>
                <w:color w:val="auto"/>
              </w:rPr>
            </w:pPr>
            <w:r>
              <w:rPr>
                <w:rFonts w:ascii="Arial" w:cs="Arial" w:eastAsia="Arial" w:hAnsi="Arial"/>
                <w:sz w:val="18"/>
                <w:szCs w:val="18"/>
                <w:color w:val="auto"/>
              </w:rPr>
              <w:t>x</w:t>
            </w:r>
          </w:p>
        </w:tc>
      </w:tr>
      <w:tr>
        <w:trPr>
          <w:trHeight w:val="283"/>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58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April 27, 2021, the registrant had 11,849,597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5"/>
        </w:trPr>
        <w:tc>
          <w:tcPr>
            <w:tcW w:w="9700" w:type="dxa"/>
            <w:vAlign w:val="bottom"/>
            <w:gridSpan w:val="20"/>
          </w:tcPr>
          <w:p>
            <w:pPr>
              <w:spacing w:after="0" w:line="17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FINANCIAL INFORMATION</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86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as of April 3, 2021 and December 31, </w:t>
              </w:r>
            </w:hyperlink>
            <w:r>
              <w:rPr>
                <w:rFonts w:ascii="Arial" w:cs="Arial" w:eastAsia="Arial" w:hAnsi="Arial"/>
                <w:sz w:val="18"/>
                <w:szCs w:val="18"/>
                <w:color w:val="0000FF"/>
              </w:rPr>
              <w:t>2020</w:t>
            </w:r>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Condensed Consolidated Statements of Income for the Three Months Ended April 3, 2021 and March 28, 2020</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rFonts w:ascii="Arial" w:cs="Arial" w:eastAsia="Arial" w:hAnsi="Arial"/>
                <w:sz w:val="18"/>
                <w:szCs w:val="18"/>
                <w:color w:val="0000FF"/>
                <w:w w:val="91"/>
              </w:rPr>
            </w:pPr>
            <w:hyperlink w:anchor="page4">
              <w:r>
                <w:rPr>
                  <w:rFonts w:ascii="Arial" w:cs="Arial" w:eastAsia="Arial" w:hAnsi="Arial"/>
                  <w:sz w:val="18"/>
                  <w:szCs w:val="18"/>
                  <w:color w:val="0000FF"/>
                  <w:w w:val="91"/>
                </w:rPr>
                <w:t>Condensed Consolidated Statements of Comprehensive Income for the Three Months Ended April 3, 2021 and March</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28, 2020</w:t>
              </w:r>
            </w:hyperlink>
          </w:p>
        </w:tc>
        <w:tc>
          <w:tcPr>
            <w:tcW w:w="2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rFonts w:ascii="Arial" w:cs="Arial" w:eastAsia="Arial" w:hAnsi="Arial"/>
                <w:sz w:val="18"/>
                <w:szCs w:val="18"/>
                <w:color w:val="0000FF"/>
                <w:w w:val="93"/>
              </w:rPr>
            </w:pPr>
            <w:hyperlink w:anchor="page5">
              <w:r>
                <w:rPr>
                  <w:rFonts w:ascii="Arial" w:cs="Arial" w:eastAsia="Arial" w:hAnsi="Arial"/>
                  <w:sz w:val="18"/>
                  <w:szCs w:val="18"/>
                  <w:color w:val="0000FF"/>
                  <w:w w:val="93"/>
                </w:rPr>
                <w:t>Condensed Consolidated Statements of Changes in Shareholders’ Equity for the Three Months Ended April 3, 2021</w:t>
              </w:r>
            </w:hyperlink>
          </w:p>
        </w:tc>
        <w:tc>
          <w:tcPr>
            <w:tcW w:w="152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Borders>
              <w:top w:val="single" w:sz="8" w:color="0000FF"/>
            </w:tcBorders>
            <w:gridSpan w:val="5"/>
          </w:tcPr>
          <w:p>
            <w:pPr>
              <w:spacing w:after="0" w:line="15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and March 28, 2020</w:t>
              </w:r>
            </w:hyperlink>
          </w:p>
        </w:tc>
        <w:tc>
          <w:tcPr>
            <w:tcW w:w="6880" w:type="dxa"/>
            <w:vAlign w:val="bottom"/>
            <w:tcBorders>
              <w:top w:val="single" w:sz="8" w:color="0000FF"/>
            </w:tcBorders>
            <w:gridSpan w:val="9"/>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6"/>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Cash Flows for the Three Months Ended April 3, 2021 and March 28, 2020</w:t>
              </w:r>
            </w:hyperlink>
          </w:p>
        </w:tc>
        <w:tc>
          <w:tcPr>
            <w:tcW w:w="15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gridSpan w:val="8"/>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Notes to Condensed Consolidated Financial Statements</w:t>
              </w:r>
            </w:hyperlink>
          </w:p>
        </w:tc>
        <w:tc>
          <w:tcPr>
            <w:tcW w:w="4300" w:type="dxa"/>
            <w:vAlign w:val="bottom"/>
            <w:gridSpan w:val="5"/>
          </w:tcPr>
          <w:p>
            <w:pPr>
              <w:spacing w:after="0"/>
              <w:rPr>
                <w:sz w:val="22"/>
                <w:szCs w:val="22"/>
                <w:color w:val="auto"/>
              </w:rPr>
            </w:pPr>
          </w:p>
        </w:tc>
        <w:tc>
          <w:tcPr>
            <w:tcW w:w="320" w:type="dxa"/>
            <w:vAlign w:val="bottom"/>
            <w:gridSpan w:val="3"/>
          </w:tcPr>
          <w:p>
            <w:pPr>
              <w:spacing w:after="0"/>
              <w:rPr>
                <w:sz w:val="22"/>
                <w:szCs w:val="22"/>
                <w:color w:val="auto"/>
              </w:rPr>
            </w:pPr>
          </w:p>
        </w:tc>
        <w:tc>
          <w:tcPr>
            <w:tcW w:w="15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2.</w:t>
            </w:r>
          </w:p>
        </w:tc>
        <w:tc>
          <w:tcPr>
            <w:tcW w:w="8620" w:type="dxa"/>
            <w:vAlign w:val="bottom"/>
            <w:gridSpan w:val="16"/>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50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Quantitative and Qualitative Disclosures About Market Risk</w:t>
              </w:r>
            </w:hyperlink>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0"/>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w:t>
              </w:r>
            </w:hyperlink>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9">
              <w:r>
                <w:rPr>
                  <w:rFonts w:ascii="Arial" w:cs="Arial" w:eastAsia="Arial" w:hAnsi="Arial"/>
                  <w:sz w:val="18"/>
                  <w:szCs w:val="18"/>
                  <w:color w:val="0000FF"/>
                  <w:w w:val="88"/>
                </w:rPr>
                <w:t>Legal Proceedings</w:t>
              </w:r>
            </w:hyperlink>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3"/>
          </w:tcPr>
          <w:p>
            <w:pPr>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Risk Factors</w:t>
              </w:r>
            </w:hyperlink>
          </w:p>
        </w:tc>
        <w:tc>
          <w:tcPr>
            <w:tcW w:w="7700" w:type="dxa"/>
            <w:vAlign w:val="bottom"/>
            <w:gridSpan w:val="1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Mine Safety Disclosures</w:t>
              </w:r>
            </w:hyperlink>
          </w:p>
        </w:tc>
        <w:tc>
          <w:tcPr>
            <w:tcW w:w="6840" w:type="dxa"/>
            <w:vAlign w:val="bottom"/>
            <w:gridSpan w:val="10"/>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Arial" w:cs="Arial" w:eastAsia="Arial" w:hAnsi="Arial"/>
                <w:sz w:val="18"/>
                <w:szCs w:val="18"/>
                <w:color w:val="auto"/>
              </w:rPr>
              <w:t>Item 6.</w:t>
            </w:r>
          </w:p>
        </w:tc>
        <w:tc>
          <w:tcPr>
            <w:tcW w:w="8620" w:type="dxa"/>
            <w:vAlign w:val="bottom"/>
            <w:gridSpan w:val="1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15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 except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color w:val="auto"/>
              </w:rPr>
              <w:t>April 3,</w:t>
            </w:r>
          </w:p>
        </w:tc>
        <w:tc>
          <w:tcPr>
            <w:tcW w:w="240" w:type="dxa"/>
            <w:vAlign w:val="bottom"/>
          </w:tcPr>
          <w:p>
            <w:pPr>
              <w:spacing w:after="0"/>
              <w:rPr>
                <w:sz w:val="14"/>
                <w:szCs w:val="14"/>
                <w:color w:val="auto"/>
              </w:rPr>
            </w:pPr>
          </w:p>
        </w:tc>
        <w:tc>
          <w:tcPr>
            <w:tcW w:w="128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56,466</w:t>
            </w:r>
          </w:p>
        </w:tc>
        <w:tc>
          <w:tcPr>
            <w:tcW w:w="0" w:type="dxa"/>
            <w:vAlign w:val="bottom"/>
          </w:tcPr>
          <w:p>
            <w:pPr>
              <w:spacing w:after="0"/>
              <w:rPr>
                <w:sz w:val="1"/>
                <w:szCs w:val="1"/>
                <w:color w:val="auto"/>
              </w:rPr>
            </w:pPr>
          </w:p>
        </w:tc>
      </w:tr>
      <w:tr>
        <w:trPr>
          <w:trHeight w:val="176"/>
        </w:trPr>
        <w:tc>
          <w:tcPr>
            <w:tcW w:w="8020" w:type="dxa"/>
            <w:vAlign w:val="bottom"/>
          </w:tcPr>
          <w:p>
            <w:pPr>
              <w:ind w:left="360"/>
              <w:spacing w:after="0" w:line="176" w:lineRule="exact"/>
              <w:rPr>
                <w:sz w:val="20"/>
                <w:szCs w:val="20"/>
                <w:color w:val="auto"/>
              </w:rPr>
            </w:pPr>
            <w:r>
              <w:rPr>
                <w:rFonts w:ascii="Arial" w:cs="Arial" w:eastAsia="Arial" w:hAnsi="Arial"/>
                <w:sz w:val="18"/>
                <w:szCs w:val="18"/>
                <w:color w:val="auto"/>
              </w:rPr>
              <w:t>Accounts receivable, net (allowance for credit losses of $1,570 and $1,552 at April 3, 2021 and</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61,124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58,025</w:t>
            </w:r>
          </w:p>
        </w:tc>
        <w:tc>
          <w:tcPr>
            <w:tcW w:w="0" w:type="dxa"/>
            <w:vAlign w:val="bottom"/>
          </w:tcPr>
          <w:p>
            <w:pPr>
              <w:spacing w:after="0"/>
              <w:rPr>
                <w:sz w:val="1"/>
                <w:szCs w:val="1"/>
                <w:color w:val="auto"/>
              </w:rPr>
            </w:pPr>
          </w:p>
        </w:tc>
      </w:tr>
      <w:tr>
        <w:trPr>
          <w:trHeight w:val="229"/>
        </w:trPr>
        <w:tc>
          <w:tcPr>
            <w:tcW w:w="8020" w:type="dxa"/>
            <w:vAlign w:val="bottom"/>
          </w:tcPr>
          <w:p>
            <w:pPr>
              <w:ind w:left="360"/>
              <w:spacing w:after="0"/>
              <w:rPr>
                <w:sz w:val="20"/>
                <w:szCs w:val="20"/>
                <w:color w:val="auto"/>
              </w:rPr>
            </w:pPr>
            <w:r>
              <w:rPr>
                <w:rFonts w:ascii="Arial" w:cs="Arial" w:eastAsia="Arial" w:hAnsi="Arial"/>
                <w:sz w:val="18"/>
                <w:szCs w:val="18"/>
                <w:color w:val="auto"/>
              </w:rPr>
              <w:t>December 31, 2020, respectively</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138,287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410,284</w:t>
            </w: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5"/>
              </w:rPr>
              <w:t>Property and equipment, net of accumulated depreciation of $172,536 and $169,742 at April 3, 2021 and</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109,180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109,990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December 31, 2020, respectively</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170,830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170,830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Net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825,864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63,980</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24,257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40,526</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80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133,043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142,902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14,555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490,294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508,013</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Commitments and Contingencies (Notes 6, 8)</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3"/>
              </w:rPr>
              <w:t>Common stock - $0.01 par value; 35,000,000 shares authorized; 11,849,597 and 11,728,212 shares issued</w:t>
            </w: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and outstanding at April 3, 2021 and December 31, 2020, respectively</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97,090</w:t>
            </w:r>
          </w:p>
        </w:tc>
        <w:tc>
          <w:tcPr>
            <w:tcW w:w="0" w:type="dxa"/>
            <w:vAlign w:val="bottom"/>
          </w:tcPr>
          <w:p>
            <w:pPr>
              <w:spacing w:after="0"/>
              <w:rPr>
                <w:sz w:val="1"/>
                <w:szCs w:val="1"/>
                <w:color w:val="auto"/>
              </w:rPr>
            </w:pPr>
          </w:p>
        </w:tc>
      </w:tr>
      <w:tr>
        <w:trPr>
          <w:trHeight w:val="230"/>
        </w:trPr>
        <w:tc>
          <w:tcPr>
            <w:tcW w:w="802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241,727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Shareholders’ Equity</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329,334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825,864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ind w:left="38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7"/>
        </w:trPr>
        <w:tc>
          <w:tcPr>
            <w:tcW w:w="8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April 3,</w:t>
            </w:r>
          </w:p>
        </w:tc>
        <w:tc>
          <w:tcPr>
            <w:tcW w:w="200" w:type="dxa"/>
            <w:vAlign w:val="bottom"/>
          </w:tcPr>
          <w:p>
            <w:pPr>
              <w:spacing w:after="0"/>
              <w:rPr>
                <w:sz w:val="12"/>
                <w:szCs w:val="12"/>
                <w:color w:val="auto"/>
              </w:rPr>
            </w:pPr>
          </w:p>
        </w:tc>
        <w:tc>
          <w:tcPr>
            <w:tcW w:w="980" w:type="dxa"/>
            <w:vAlign w:val="bottom"/>
          </w:tcPr>
          <w:p>
            <w:pPr>
              <w:jc w:val="right"/>
              <w:ind w:right="212"/>
              <w:spacing w:after="0" w:line="147" w:lineRule="exact"/>
              <w:rPr>
                <w:sz w:val="20"/>
                <w:szCs w:val="20"/>
                <w:color w:val="auto"/>
              </w:rPr>
            </w:pPr>
            <w:r>
              <w:rPr>
                <w:rFonts w:ascii="Arial" w:cs="Arial" w:eastAsia="Arial" w:hAnsi="Arial"/>
                <w:sz w:val="14"/>
                <w:szCs w:val="14"/>
                <w:color w:val="auto"/>
              </w:rPr>
              <w:t>March 28,</w:t>
            </w:r>
          </w:p>
        </w:tc>
        <w:tc>
          <w:tcPr>
            <w:tcW w:w="0" w:type="dxa"/>
            <w:vAlign w:val="bottom"/>
          </w:tcPr>
          <w:p>
            <w:pPr>
              <w:spacing w:after="0"/>
              <w:rPr>
                <w:sz w:val="1"/>
                <w:szCs w:val="1"/>
                <w:color w:val="auto"/>
              </w:rPr>
            </w:pPr>
          </w:p>
        </w:tc>
      </w:tr>
      <w:tr>
        <w:trPr>
          <w:trHeight w:val="186"/>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173,475</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136,671</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36,804</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23,178</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4"/>
              </w:rPr>
              <w:t>(2,806)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29"/>
        </w:trPr>
        <w:tc>
          <w:tcPr>
            <w:tcW w:w="87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jc w:val="right"/>
              <w:ind w:right="53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7"/>
        </w:trPr>
        <w:tc>
          <w:tcPr>
            <w:tcW w:w="8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April 3,</w:t>
            </w:r>
          </w:p>
        </w:tc>
        <w:tc>
          <w:tcPr>
            <w:tcW w:w="200" w:type="dxa"/>
            <w:vAlign w:val="bottom"/>
          </w:tcPr>
          <w:p>
            <w:pPr>
              <w:spacing w:after="0"/>
              <w:rPr>
                <w:sz w:val="12"/>
                <w:szCs w:val="12"/>
                <w:color w:val="auto"/>
              </w:rPr>
            </w:pPr>
          </w:p>
        </w:tc>
        <w:tc>
          <w:tcPr>
            <w:tcW w:w="980" w:type="dxa"/>
            <w:vAlign w:val="bottom"/>
          </w:tcPr>
          <w:p>
            <w:pPr>
              <w:jc w:val="right"/>
              <w:ind w:right="215"/>
              <w:spacing w:after="0" w:line="147" w:lineRule="exact"/>
              <w:rPr>
                <w:sz w:val="20"/>
                <w:szCs w:val="20"/>
                <w:color w:val="auto"/>
              </w:rPr>
            </w:pPr>
            <w:r>
              <w:rPr>
                <w:rFonts w:ascii="Arial" w:cs="Arial" w:eastAsia="Arial" w:hAnsi="Arial"/>
                <w:sz w:val="14"/>
                <w:szCs w:val="14"/>
                <w:color w:val="auto"/>
              </w:rPr>
              <w:t>March 28,</w:t>
            </w:r>
          </w:p>
        </w:tc>
        <w:tc>
          <w:tcPr>
            <w:tcW w:w="0" w:type="dxa"/>
            <w:vAlign w:val="bottom"/>
          </w:tcPr>
          <w:p>
            <w:pPr>
              <w:spacing w:after="0"/>
              <w:rPr>
                <w:sz w:val="1"/>
                <w:szCs w:val="1"/>
                <w:color w:val="auto"/>
              </w:rPr>
            </w:pPr>
          </w:p>
        </w:tc>
      </w:tr>
      <w:tr>
        <w:trPr>
          <w:trHeight w:val="186"/>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Amortization of actuarial loss and prior service costs, net of tax of $76 and $59 for the three months ended April 3,</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2021 and March 28, 2020, respectively</w:t>
            </w: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780" w:type="dxa"/>
            <w:vAlign w:val="bottom"/>
          </w:tcPr>
          <w:p>
            <w:pPr>
              <w:ind w:left="360"/>
              <w:spacing w:after="0" w:line="176" w:lineRule="exact"/>
              <w:rPr>
                <w:sz w:val="20"/>
                <w:szCs w:val="20"/>
                <w:color w:val="auto"/>
              </w:rPr>
            </w:pPr>
            <w:r>
              <w:rPr>
                <w:rFonts w:ascii="Arial" w:cs="Arial" w:eastAsia="Arial" w:hAnsi="Arial"/>
                <w:sz w:val="18"/>
                <w:szCs w:val="18"/>
                <w:color w:val="auto"/>
                <w:w w:val="91"/>
              </w:rPr>
              <w:t>Change in unrealized gains and losses on cash flow hedges, net of tax of zero and $26 for the three months ended</w:t>
            </w:r>
          </w:p>
        </w:tc>
        <w:tc>
          <w:tcPr>
            <w:tcW w:w="24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8780" w:type="dxa"/>
            <w:vAlign w:val="bottom"/>
          </w:tcPr>
          <w:p>
            <w:pPr>
              <w:ind w:left="360"/>
              <w:spacing w:after="0"/>
              <w:rPr>
                <w:sz w:val="20"/>
                <w:szCs w:val="20"/>
                <w:color w:val="auto"/>
              </w:rPr>
            </w:pPr>
            <w:r>
              <w:rPr>
                <w:rFonts w:ascii="Arial" w:cs="Arial" w:eastAsia="Arial" w:hAnsi="Arial"/>
                <w:sz w:val="18"/>
                <w:szCs w:val="18"/>
                <w:color w:val="auto"/>
              </w:rPr>
              <w:t>April 3, 2021 and March 28, 2020, respectively</w:t>
            </w: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87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w:t>
            </w:r>
          </w:p>
        </w:tc>
        <w:tc>
          <w:tcPr>
            <w:tcW w:w="0" w:type="dxa"/>
            <w:vAlign w:val="bottom"/>
          </w:tcPr>
          <w:p>
            <w:pPr>
              <w:spacing w:after="0"/>
              <w:rPr>
                <w:sz w:val="1"/>
                <w:szCs w:val="1"/>
                <w:color w:val="auto"/>
              </w:rPr>
            </w:pPr>
          </w:p>
        </w:tc>
      </w:tr>
      <w:tr>
        <w:trPr>
          <w:trHeight w:val="21"/>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4"/>
                <w:szCs w:val="14"/>
                <w:color w:val="auto"/>
              </w:rPr>
            </w:pPr>
          </w:p>
        </w:tc>
        <w:tc>
          <w:tcPr>
            <w:tcW w:w="940" w:type="dxa"/>
            <w:vAlign w:val="bottom"/>
            <w:vMerge w:val="restart"/>
          </w:tcPr>
          <w:p>
            <w:pPr>
              <w:jc w:val="center"/>
              <w:ind w:right="33"/>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60" w:type="dxa"/>
            <w:vAlign w:val="bottom"/>
            <w:gridSpan w:val="2"/>
            <w:vMerge w:val="restart"/>
          </w:tcPr>
          <w:p>
            <w:pPr>
              <w:jc w:val="center"/>
              <w:ind w:right="660"/>
              <w:spacing w:after="0"/>
              <w:rPr>
                <w:sz w:val="20"/>
                <w:szCs w:val="20"/>
                <w:color w:val="auto"/>
              </w:rPr>
            </w:pPr>
            <w:r>
              <w:rPr>
                <w:rFonts w:ascii="Arial" w:cs="Arial" w:eastAsia="Arial" w:hAnsi="Arial"/>
                <w:sz w:val="14"/>
                <w:szCs w:val="14"/>
                <w:color w:val="auto"/>
                <w:w w:val="90"/>
              </w:rPr>
              <w:t>Shares</w:t>
            </w:r>
          </w:p>
        </w:tc>
        <w:tc>
          <w:tcPr>
            <w:tcW w:w="120" w:type="dxa"/>
            <w:vAlign w:val="bottom"/>
          </w:tcPr>
          <w:p>
            <w:pPr>
              <w:spacing w:after="0"/>
              <w:rPr>
                <w:sz w:val="11"/>
                <w:szCs w:val="11"/>
                <w:color w:val="auto"/>
              </w:rPr>
            </w:pPr>
          </w:p>
        </w:tc>
        <w:tc>
          <w:tcPr>
            <w:tcW w:w="1300" w:type="dxa"/>
            <w:vAlign w:val="bottom"/>
            <w:gridSpan w:val="2"/>
            <w:vMerge w:val="restart"/>
          </w:tcPr>
          <w:p>
            <w:pPr>
              <w:jc w:val="center"/>
              <w:ind w:right="780"/>
              <w:spacing w:after="0"/>
              <w:rPr>
                <w:sz w:val="20"/>
                <w:szCs w:val="20"/>
                <w:color w:val="auto"/>
              </w:rPr>
            </w:pPr>
            <w:r>
              <w:rPr>
                <w:rFonts w:ascii="Arial" w:cs="Arial" w:eastAsia="Arial" w:hAnsi="Arial"/>
                <w:sz w:val="14"/>
                <w:szCs w:val="14"/>
                <w:color w:val="auto"/>
                <w:w w:val="91"/>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4"/>
              </w:rPr>
              <w:t>Paid-In</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1"/>
              </w:rPr>
              <w:t>Comprehensive</w:t>
            </w:r>
          </w:p>
        </w:tc>
        <w:tc>
          <w:tcPr>
            <w:tcW w:w="120" w:type="dxa"/>
            <w:vAlign w:val="bottom"/>
          </w:tcPr>
          <w:p>
            <w:pPr>
              <w:spacing w:after="0"/>
              <w:rPr>
                <w:sz w:val="11"/>
                <w:szCs w:val="11"/>
                <w:color w:val="auto"/>
              </w:rPr>
            </w:pPr>
          </w:p>
        </w:tc>
        <w:tc>
          <w:tcPr>
            <w:tcW w:w="940" w:type="dxa"/>
            <w:vAlign w:val="bottom"/>
          </w:tcPr>
          <w:p>
            <w:pPr>
              <w:jc w:val="center"/>
              <w:ind w:right="13"/>
              <w:spacing w:after="0" w:line="135" w:lineRule="exact"/>
              <w:rPr>
                <w:sz w:val="20"/>
                <w:szCs w:val="20"/>
                <w:color w:val="auto"/>
              </w:rPr>
            </w:pPr>
            <w:r>
              <w:rPr>
                <w:rFonts w:ascii="Arial" w:cs="Arial" w:eastAsia="Arial" w:hAnsi="Arial"/>
                <w:sz w:val="14"/>
                <w:szCs w:val="14"/>
                <w:color w:val="auto"/>
                <w:w w:val="92"/>
              </w:rPr>
              <w:t>Shareholders’</w:t>
            </w: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1860" w:type="dxa"/>
            <w:vAlign w:val="bottom"/>
            <w:gridSpan w:val="2"/>
          </w:tcPr>
          <w:p>
            <w:pPr>
              <w:jc w:val="center"/>
              <w:ind w:right="660"/>
              <w:spacing w:after="0"/>
              <w:rPr>
                <w:sz w:val="20"/>
                <w:szCs w:val="20"/>
                <w:color w:val="auto"/>
              </w:rPr>
            </w:pPr>
            <w:r>
              <w:rPr>
                <w:rFonts w:ascii="Arial" w:cs="Arial" w:eastAsia="Arial" w:hAnsi="Arial"/>
                <w:sz w:val="14"/>
                <w:szCs w:val="14"/>
                <w:color w:val="auto"/>
                <w:w w:val="95"/>
              </w:rPr>
              <w:t>Outstanding</w:t>
            </w:r>
          </w:p>
        </w:tc>
        <w:tc>
          <w:tcPr>
            <w:tcW w:w="120" w:type="dxa"/>
            <w:vAlign w:val="bottom"/>
          </w:tcPr>
          <w:p>
            <w:pPr>
              <w:spacing w:after="0"/>
              <w:rPr>
                <w:sz w:val="16"/>
                <w:szCs w:val="16"/>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color w:val="auto"/>
                <w:w w:val="91"/>
              </w:rPr>
              <w:t>Stock</w:t>
            </w: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Loss</w:t>
            </w:r>
          </w:p>
        </w:tc>
        <w:tc>
          <w:tcPr>
            <w:tcW w:w="120" w:type="dxa"/>
            <w:vAlign w:val="bottom"/>
          </w:tcPr>
          <w:p>
            <w:pPr>
              <w:spacing w:after="0"/>
              <w:rPr>
                <w:sz w:val="16"/>
                <w:szCs w:val="16"/>
                <w:color w:val="auto"/>
              </w:rPr>
            </w:pPr>
          </w:p>
        </w:tc>
        <w:tc>
          <w:tcPr>
            <w:tcW w:w="940" w:type="dxa"/>
            <w:vAlign w:val="bottom"/>
          </w:tcPr>
          <w:p>
            <w:pPr>
              <w:jc w:val="center"/>
              <w:ind w:right="33"/>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226"/>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11,572,668</w:t>
            </w: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6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212,553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292,800</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27,104</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00" w:type="dxa"/>
            <w:vAlign w:val="bottom"/>
          </w:tcPr>
          <w:p>
            <w:pPr>
              <w:jc w:val="right"/>
              <w:spacing w:after="0"/>
              <w:rPr>
                <w:sz w:val="20"/>
                <w:szCs w:val="20"/>
                <w:color w:val="auto"/>
              </w:rPr>
            </w:pPr>
            <w:r>
              <w:rPr>
                <w:rFonts w:ascii="Arial" w:cs="Arial" w:eastAsia="Arial" w:hAnsi="Arial"/>
                <w:sz w:val="18"/>
                <w:szCs w:val="18"/>
                <w:color w:val="auto"/>
              </w:rPr>
              <w:t>86,523</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Stock repurchased related to the exercise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(39,247)</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awards vested</w:t>
            </w: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28,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11,648,617</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302,427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11,728,212</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241,727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329,334</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31,580</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17,872</w:t>
            </w: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Arial" w:cs="Arial" w:eastAsia="Arial" w:hAnsi="Arial"/>
                <w:sz w:val="18"/>
                <w:szCs w:val="18"/>
                <w:color w:val="auto"/>
              </w:rPr>
              <w:t>Stock awards vested</w:t>
            </w:r>
          </w:p>
        </w:tc>
        <w:tc>
          <w:tcPr>
            <w:tcW w:w="1200" w:type="dxa"/>
            <w:vAlign w:val="bottom"/>
          </w:tcPr>
          <w:p>
            <w:pPr>
              <w:jc w:val="right"/>
              <w:spacing w:after="0"/>
              <w:rPr>
                <w:sz w:val="20"/>
                <w:szCs w:val="20"/>
                <w:color w:val="auto"/>
              </w:rPr>
            </w:pPr>
            <w:r>
              <w:rPr>
                <w:rFonts w:ascii="Arial" w:cs="Arial" w:eastAsia="Arial" w:hAnsi="Arial"/>
                <w:sz w:val="18"/>
                <w:szCs w:val="18"/>
                <w:color w:val="auto"/>
              </w:rPr>
              <w:t>178,827</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Stock repurchased related to the exercise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(106,894)</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stock awards vested</w:t>
            </w:r>
          </w:p>
        </w:tc>
        <w:tc>
          <w:tcPr>
            <w:tcW w:w="120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April 3,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11,849,597</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335,570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4"/>
          </w:tcPr>
          <w:p>
            <w:pPr>
              <w:jc w:val="right"/>
              <w:ind w:right="871"/>
              <w:spacing w:after="0"/>
              <w:rPr>
                <w:sz w:val="20"/>
                <w:szCs w:val="20"/>
                <w:color w:val="auto"/>
              </w:rPr>
            </w:pPr>
            <w:r>
              <w:rPr>
                <w:rFonts w:ascii="Arial" w:cs="Arial" w:eastAsia="Arial" w:hAnsi="Arial"/>
                <w:sz w:val="14"/>
                <w:szCs w:val="14"/>
                <w:color w:val="auto"/>
              </w:rPr>
              <w:t>Three Months Ended</w:t>
            </w:r>
          </w:p>
        </w:tc>
      </w:tr>
      <w:tr>
        <w:trPr>
          <w:trHeight w:val="147"/>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ind w:left="200"/>
              <w:spacing w:after="0" w:line="147" w:lineRule="exact"/>
              <w:rPr>
                <w:sz w:val="20"/>
                <w:szCs w:val="20"/>
                <w:color w:val="auto"/>
              </w:rPr>
            </w:pPr>
            <w:r>
              <w:rPr>
                <w:rFonts w:ascii="Arial" w:cs="Arial" w:eastAsia="Arial" w:hAnsi="Arial"/>
                <w:sz w:val="14"/>
                <w:szCs w:val="14"/>
                <w:color w:val="auto"/>
              </w:rPr>
              <w:t>April 3,</w:t>
            </w:r>
          </w:p>
        </w:tc>
        <w:tc>
          <w:tcPr>
            <w:tcW w:w="280" w:type="dxa"/>
            <w:vAlign w:val="bottom"/>
          </w:tcPr>
          <w:p>
            <w:pPr>
              <w:spacing w:after="0"/>
              <w:rPr>
                <w:sz w:val="12"/>
                <w:szCs w:val="12"/>
                <w:color w:val="auto"/>
              </w:rPr>
            </w:pPr>
          </w:p>
        </w:tc>
        <w:tc>
          <w:tcPr>
            <w:tcW w:w="1240" w:type="dxa"/>
            <w:vAlign w:val="bottom"/>
          </w:tcPr>
          <w:p>
            <w:pPr>
              <w:jc w:val="right"/>
              <w:ind w:right="371"/>
              <w:spacing w:after="0" w:line="147" w:lineRule="exact"/>
              <w:rPr>
                <w:sz w:val="20"/>
                <w:szCs w:val="20"/>
                <w:color w:val="auto"/>
              </w:rPr>
            </w:pPr>
            <w:r>
              <w:rPr>
                <w:rFonts w:ascii="Arial" w:cs="Arial" w:eastAsia="Arial" w:hAnsi="Arial"/>
                <w:sz w:val="14"/>
                <w:szCs w:val="14"/>
                <w:color w:val="auto"/>
              </w:rPr>
              <w:t>March 28,</w:t>
            </w:r>
          </w:p>
        </w:tc>
      </w:tr>
      <w:tr>
        <w:trPr>
          <w:trHeight w:val="186"/>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2020</w:t>
            </w:r>
          </w:p>
        </w:tc>
      </w:tr>
      <w:tr>
        <w:trPr>
          <w:trHeight w:val="21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7,930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Non-cash operating lease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8020" w:type="dxa"/>
            <w:vAlign w:val="bottom"/>
          </w:tcPr>
          <w:p>
            <w:pPr>
              <w:ind w:left="6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(14,591)</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r>
      <w:tr>
        <w:trPr>
          <w:trHeight w:val="230"/>
        </w:trPr>
        <w:tc>
          <w:tcPr>
            <w:tcW w:w="8020" w:type="dxa"/>
            <w:vAlign w:val="bottom"/>
          </w:tcPr>
          <w:p>
            <w:pPr>
              <w:ind w:left="9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(7,269)</w:t>
            </w:r>
          </w:p>
        </w:tc>
      </w:tr>
      <w:tr>
        <w:trPr>
          <w:trHeight w:val="229"/>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r>
      <w:tr>
        <w:trPr>
          <w:trHeight w:val="229"/>
        </w:trPr>
        <w:tc>
          <w:tcPr>
            <w:tcW w:w="8020" w:type="dxa"/>
            <w:vAlign w:val="bottom"/>
          </w:tcPr>
          <w:p>
            <w:pPr>
              <w:ind w:left="92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13,361</w:t>
            </w:r>
          </w:p>
        </w:tc>
      </w:tr>
      <w:tr>
        <w:trPr>
          <w:trHeight w:val="230"/>
        </w:trPr>
        <w:tc>
          <w:tcPr>
            <w:tcW w:w="80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r>
      <w:tr>
        <w:trPr>
          <w:trHeight w:val="223"/>
        </w:trPr>
        <w:tc>
          <w:tcPr>
            <w:tcW w:w="802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(12,034)</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Post closing cash received from the acquisition of Nobles Worldwide, Inc., net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3"/>
        </w:trPr>
        <w:tc>
          <w:tcPr>
            <w:tcW w:w="802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(4,542)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(3,677)</w:t>
            </w: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Borrowings from senior secured revolving credit facility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senior secured revolving credit facility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(15,900)</w:t>
            </w:r>
          </w:p>
        </w:tc>
      </w:tr>
      <w:tr>
        <w:trPr>
          <w:trHeight w:val="229"/>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Repayments of term loans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(7,362)</w:t>
            </w:r>
          </w:p>
        </w:tc>
      </w:tr>
      <w:tr>
        <w:trPr>
          <w:trHeight w:val="230"/>
        </w:trPr>
        <w:tc>
          <w:tcPr>
            <w:tcW w:w="8020" w:type="dxa"/>
            <w:vAlign w:val="bottom"/>
          </w:tcPr>
          <w:p>
            <w:pPr>
              <w:ind w:left="680"/>
              <w:spacing w:after="0"/>
              <w:rPr>
                <w:sz w:val="20"/>
                <w:szCs w:val="20"/>
                <w:color w:val="auto"/>
              </w:rPr>
            </w:pPr>
            <w:r>
              <w:rPr>
                <w:rFonts w:ascii="Arial" w:cs="Arial" w:eastAsia="Arial" w:hAnsi="Arial"/>
                <w:sz w:val="18"/>
                <w:szCs w:val="18"/>
                <w:color w:val="auto"/>
              </w:rPr>
              <w:t>Repayments of other debt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80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paid upon issuance of common stock under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41,726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26,015</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65,599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Ducommun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w:t>
      </w:r>
    </w:p>
    <w:p>
      <w:pPr>
        <w:spacing w:after="0" w:line="9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are a leading global provider of engineering and manufacturing services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All reportable operating segments follow the same accounting principles.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2020 condensed consolidated balance sheet data was derived from audited financial statements, but does not contain all disclosures required by accounting principles generally accepted in the United States of America (“GAAP”).</w:t>
      </w:r>
    </w:p>
    <w:p>
      <w:pPr>
        <w:spacing w:after="0" w:line="5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significant accounting policies were described in Part IV, Item 15(a)(1), “Note 1. Summary of Significant Accounting Policies” in our Annual Report on Form 10-K for the year ended December 31, 2020. The financial information included in this Quarterly Report on Form 10-Q should be read in conjunction with our Annual Report on Form 10-K for the year ended December 31, 2020.</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Quarterly Report on Form 10-Q. The results of operations for the three months ended April 3, 2021 are not necessarily indicative of the results to be expected for the full year ending December 31, 2021.</w:t>
      </w:r>
    </w:p>
    <w:p>
      <w:pPr>
        <w:spacing w:after="0" w:line="6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1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(Dollars in thousands)</w:t>
            </w:r>
          </w:p>
        </w:tc>
      </w:tr>
      <w:tr>
        <w:trPr>
          <w:trHeight w:val="189"/>
        </w:trPr>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Three Months Ended</w:t>
            </w:r>
          </w:p>
        </w:tc>
      </w:tr>
      <w:tr>
        <w:trPr>
          <w:trHeight w:val="147"/>
        </w:trPr>
        <w:tc>
          <w:tcPr>
            <w:tcW w:w="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April 3,</w:t>
            </w:r>
          </w:p>
        </w:tc>
        <w:tc>
          <w:tcPr>
            <w:tcW w:w="240" w:type="dxa"/>
            <w:vAlign w:val="bottom"/>
          </w:tcPr>
          <w:p>
            <w:pPr>
              <w:spacing w:after="0"/>
              <w:rPr>
                <w:sz w:val="12"/>
                <w:szCs w:val="12"/>
                <w:color w:val="auto"/>
              </w:rPr>
            </w:pPr>
          </w:p>
        </w:tc>
        <w:tc>
          <w:tcPr>
            <w:tcW w:w="1100" w:type="dxa"/>
            <w:vAlign w:val="bottom"/>
            <w:gridSpan w:val="2"/>
          </w:tcPr>
          <w:p>
            <w:pPr>
              <w:ind w:left="120"/>
              <w:spacing w:after="0" w:line="147" w:lineRule="exact"/>
              <w:rPr>
                <w:sz w:val="20"/>
                <w:szCs w:val="20"/>
                <w:color w:val="auto"/>
              </w:rPr>
            </w:pPr>
            <w:r>
              <w:rPr>
                <w:rFonts w:ascii="Arial" w:cs="Arial" w:eastAsia="Arial" w:hAnsi="Arial"/>
                <w:sz w:val="14"/>
                <w:szCs w:val="14"/>
                <w:color w:val="auto"/>
              </w:rPr>
              <w:t>March 28,</w:t>
            </w:r>
          </w:p>
        </w:tc>
      </w:tr>
      <w:tr>
        <w:trPr>
          <w:trHeight w:val="186"/>
        </w:trPr>
        <w:tc>
          <w:tcPr>
            <w:tcW w:w="40" w:type="dxa"/>
            <w:vAlign w:val="bottom"/>
          </w:tcPr>
          <w:p>
            <w:pPr>
              <w:spacing w:after="0"/>
              <w:rPr>
                <w:sz w:val="16"/>
                <w:szCs w:val="16"/>
                <w:color w:val="auto"/>
              </w:rPr>
            </w:pPr>
          </w:p>
        </w:tc>
        <w:tc>
          <w:tcPr>
            <w:tcW w:w="46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6"/>
                <w:szCs w:val="16"/>
                <w:color w:val="auto"/>
              </w:rPr>
            </w:pPr>
          </w:p>
        </w:tc>
      </w:tr>
      <w:tr>
        <w:trPr>
          <w:trHeight w:val="226"/>
        </w:trPr>
        <w:tc>
          <w:tcPr>
            <w:tcW w:w="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Taxes (refunded) paid, net</w:t>
            </w:r>
          </w:p>
        </w:tc>
        <w:tc>
          <w:tcPr>
            <w:tcW w:w="4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Non-cash activities:</w:t>
            </w:r>
          </w:p>
        </w:tc>
        <w:tc>
          <w:tcPr>
            <w:tcW w:w="3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Purchases of property and equipment not paid</w:t>
            </w:r>
          </w:p>
        </w:tc>
        <w:tc>
          <w:tcPr>
            <w:tcW w:w="41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0"/>
                <w:szCs w:val="20"/>
                <w:color w:val="auto"/>
              </w:rPr>
            </w:pPr>
          </w:p>
        </w:tc>
      </w:tr>
      <w:tr>
        <w:trPr>
          <w:trHeight w:val="877"/>
        </w:trPr>
        <w:tc>
          <w:tcPr>
            <w:tcW w:w="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840" w:type="dxa"/>
            <w:vAlign w:val="bottom"/>
          </w:tcPr>
          <w:p>
            <w:pPr>
              <w:jc w:val="right"/>
              <w:ind w:right="273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9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income and weighted-average common shares outstanding used to compute earnings per share were as follows:</w:t>
      </w:r>
    </w:p>
    <w:p>
      <w:pPr>
        <w:spacing w:after="0" w:line="126" w:lineRule="exact"/>
        <w:rPr>
          <w:sz w:val="20"/>
          <w:szCs w:val="20"/>
          <w:color w:val="auto"/>
        </w:rPr>
      </w:pPr>
    </w:p>
    <w:p>
      <w:pPr>
        <w:ind w:left="9220"/>
        <w:spacing w:after="0"/>
        <w:rPr>
          <w:sz w:val="20"/>
          <w:szCs w:val="20"/>
          <w:color w:val="auto"/>
        </w:rPr>
      </w:pPr>
      <w:r>
        <w:rPr>
          <w:rFonts w:ascii="Arial" w:cs="Arial" w:eastAsia="Arial" w:hAnsi="Arial"/>
          <w:sz w:val="14"/>
          <w:szCs w:val="14"/>
          <w:color w:val="auto"/>
        </w:rPr>
        <w:t>(Dollars in thousands,</w:t>
      </w:r>
    </w:p>
    <w:p>
      <w:pPr>
        <w:ind w:left="9240"/>
        <w:spacing w:after="0"/>
        <w:rPr>
          <w:sz w:val="20"/>
          <w:szCs w:val="20"/>
          <w:color w:val="auto"/>
        </w:rPr>
      </w:pPr>
      <w:r>
        <w:rPr>
          <w:rFonts w:ascii="Arial" w:cs="Arial" w:eastAsia="Arial" w:hAnsi="Arial"/>
          <w:sz w:val="14"/>
          <w:szCs w:val="14"/>
          <w:color w:val="auto"/>
        </w:rPr>
        <w:t>except per share data)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right"/>
              <w:ind w:right="67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7"/>
        </w:trPr>
        <w:tc>
          <w:tcPr>
            <w:tcW w:w="8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April 3,</w:t>
            </w:r>
          </w:p>
        </w:tc>
        <w:tc>
          <w:tcPr>
            <w:tcW w:w="240" w:type="dxa"/>
            <w:vAlign w:val="bottom"/>
          </w:tcPr>
          <w:p>
            <w:pPr>
              <w:spacing w:after="0"/>
              <w:rPr>
                <w:sz w:val="12"/>
                <w:szCs w:val="12"/>
                <w:color w:val="auto"/>
              </w:rPr>
            </w:pPr>
          </w:p>
        </w:tc>
        <w:tc>
          <w:tcPr>
            <w:tcW w:w="1080" w:type="dxa"/>
            <w:vAlign w:val="bottom"/>
          </w:tcPr>
          <w:p>
            <w:pPr>
              <w:jc w:val="right"/>
              <w:ind w:right="275"/>
              <w:spacing w:after="0" w:line="147" w:lineRule="exact"/>
              <w:rPr>
                <w:sz w:val="20"/>
                <w:szCs w:val="20"/>
                <w:color w:val="auto"/>
              </w:rPr>
            </w:pPr>
            <w:r>
              <w:rPr>
                <w:rFonts w:ascii="Arial" w:cs="Arial" w:eastAsia="Arial" w:hAnsi="Arial"/>
                <w:sz w:val="14"/>
                <w:szCs w:val="14"/>
                <w:color w:val="auto"/>
              </w:rPr>
              <w:t>March 28,</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51"/>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center"/>
              <w:ind w:right="508"/>
              <w:spacing w:after="0"/>
              <w:rPr>
                <w:sz w:val="20"/>
                <w:szCs w:val="20"/>
                <w:color w:val="auto"/>
              </w:rPr>
            </w:pPr>
            <w:r>
              <w:rPr>
                <w:rFonts w:ascii="Arial" w:cs="Arial" w:eastAsia="Arial" w:hAnsi="Arial"/>
                <w:sz w:val="14"/>
                <w:szCs w:val="14"/>
                <w:color w:val="auto"/>
                <w:w w:val="93"/>
              </w:rPr>
              <w:t>(In thousands)</w:t>
            </w:r>
          </w:p>
        </w:tc>
        <w:tc>
          <w:tcPr>
            <w:tcW w:w="360" w:type="dxa"/>
            <w:vAlign w:val="bottom"/>
          </w:tcPr>
          <w:p>
            <w:pPr>
              <w:spacing w:after="0"/>
              <w:rPr>
                <w:sz w:val="15"/>
                <w:szCs w:val="15"/>
                <w:color w:val="auto"/>
              </w:rPr>
            </w:pPr>
          </w:p>
        </w:tc>
      </w:tr>
      <w:tr>
        <w:trPr>
          <w:trHeight w:val="189"/>
        </w:trPr>
        <w:tc>
          <w:tcPr>
            <w:tcW w:w="8480" w:type="dxa"/>
            <w:vAlign w:val="bottom"/>
          </w:tcPr>
          <w:p>
            <w:pPr>
              <w:spacing w:after="0"/>
              <w:rPr>
                <w:sz w:val="16"/>
                <w:szCs w:val="16"/>
                <w:color w:val="auto"/>
              </w:rPr>
            </w:pPr>
          </w:p>
        </w:tc>
        <w:tc>
          <w:tcPr>
            <w:tcW w:w="2400" w:type="dxa"/>
            <w:vAlign w:val="bottom"/>
            <w:gridSpan w:val="4"/>
          </w:tcPr>
          <w:p>
            <w:pPr>
              <w:jc w:val="center"/>
              <w:ind w:left="308"/>
              <w:spacing w:after="0"/>
              <w:rPr>
                <w:sz w:val="20"/>
                <w:szCs w:val="20"/>
                <w:color w:val="auto"/>
              </w:rPr>
            </w:pPr>
            <w:r>
              <w:rPr>
                <w:rFonts w:ascii="Arial" w:cs="Arial" w:eastAsia="Arial" w:hAnsi="Arial"/>
                <w:sz w:val="14"/>
                <w:szCs w:val="14"/>
                <w:color w:val="auto"/>
                <w:w w:val="93"/>
              </w:rPr>
              <w:t>Three Months Ended</w:t>
            </w:r>
          </w:p>
        </w:tc>
        <w:tc>
          <w:tcPr>
            <w:tcW w:w="360" w:type="dxa"/>
            <w:vAlign w:val="bottom"/>
          </w:tcPr>
          <w:p>
            <w:pPr>
              <w:spacing w:after="0"/>
              <w:rPr>
                <w:sz w:val="16"/>
                <w:szCs w:val="16"/>
                <w:color w:val="auto"/>
              </w:rPr>
            </w:pPr>
          </w:p>
        </w:tc>
      </w:tr>
      <w:tr>
        <w:trPr>
          <w:trHeight w:val="147"/>
        </w:trPr>
        <w:tc>
          <w:tcPr>
            <w:tcW w:w="8480" w:type="dxa"/>
            <w:vAlign w:val="bottom"/>
          </w:tcPr>
          <w:p>
            <w:pPr>
              <w:spacing w:after="0"/>
              <w:rPr>
                <w:sz w:val="12"/>
                <w:szCs w:val="12"/>
                <w:color w:val="auto"/>
              </w:rPr>
            </w:pPr>
          </w:p>
        </w:tc>
        <w:tc>
          <w:tcPr>
            <w:tcW w:w="940" w:type="dxa"/>
            <w:vAlign w:val="bottom"/>
          </w:tcPr>
          <w:p>
            <w:pPr>
              <w:jc w:val="center"/>
              <w:ind w:left="328"/>
              <w:spacing w:after="0" w:line="147" w:lineRule="exact"/>
              <w:rPr>
                <w:sz w:val="20"/>
                <w:szCs w:val="20"/>
                <w:color w:val="auto"/>
              </w:rPr>
            </w:pPr>
            <w:r>
              <w:rPr>
                <w:rFonts w:ascii="Arial" w:cs="Arial" w:eastAsia="Arial" w:hAnsi="Arial"/>
                <w:sz w:val="14"/>
                <w:szCs w:val="14"/>
                <w:color w:val="auto"/>
              </w:rPr>
              <w:t>April 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left="288"/>
              <w:spacing w:after="0" w:line="147" w:lineRule="exact"/>
              <w:rPr>
                <w:sz w:val="20"/>
                <w:szCs w:val="20"/>
                <w:color w:val="auto"/>
              </w:rPr>
            </w:pPr>
            <w:r>
              <w:rPr>
                <w:rFonts w:ascii="Arial" w:cs="Arial" w:eastAsia="Arial" w:hAnsi="Arial"/>
                <w:sz w:val="14"/>
                <w:szCs w:val="14"/>
                <w:color w:val="auto"/>
                <w:w w:val="96"/>
              </w:rPr>
              <w:t>March 28,</w:t>
            </w:r>
          </w:p>
        </w:tc>
        <w:tc>
          <w:tcPr>
            <w:tcW w:w="360" w:type="dxa"/>
            <w:vAlign w:val="bottom"/>
          </w:tcPr>
          <w:p>
            <w:pPr>
              <w:spacing w:after="0"/>
              <w:rPr>
                <w:sz w:val="12"/>
                <w:szCs w:val="12"/>
                <w:color w:val="auto"/>
              </w:rPr>
            </w:pPr>
          </w:p>
        </w:tc>
      </w:tr>
      <w:tr>
        <w:trPr>
          <w:trHeight w:val="186"/>
        </w:trPr>
        <w:tc>
          <w:tcPr>
            <w:tcW w:w="9420" w:type="dxa"/>
            <w:vAlign w:val="bottom"/>
            <w:gridSpan w:val="2"/>
          </w:tcPr>
          <w:p>
            <w:pPr>
              <w:jc w:val="right"/>
              <w:ind w:right="48"/>
              <w:spacing w:after="0"/>
              <w:rPr>
                <w:sz w:val="20"/>
                <w:szCs w:val="20"/>
                <w:color w:val="auto"/>
              </w:rPr>
            </w:pPr>
            <w:r>
              <w:rPr>
                <w:rFonts w:ascii="Arial" w:cs="Arial" w:eastAsia="Arial" w:hAnsi="Arial"/>
                <w:sz w:val="14"/>
                <w:szCs w:val="14"/>
                <w:color w:val="auto"/>
              </w:rPr>
              <w:t>2021</w:t>
            </w:r>
          </w:p>
        </w:tc>
        <w:tc>
          <w:tcPr>
            <w:tcW w:w="1460" w:type="dxa"/>
            <w:vAlign w:val="bottom"/>
            <w:gridSpan w:val="3"/>
          </w:tcPr>
          <w:p>
            <w:pPr>
              <w:jc w:val="right"/>
              <w:ind w:right="88"/>
              <w:spacing w:after="0"/>
              <w:rPr>
                <w:sz w:val="20"/>
                <w:szCs w:val="20"/>
                <w:color w:val="auto"/>
              </w:rPr>
            </w:pPr>
            <w:r>
              <w:rPr>
                <w:rFonts w:ascii="Arial" w:cs="Arial" w:eastAsia="Arial" w:hAnsi="Arial"/>
                <w:sz w:val="14"/>
                <w:szCs w:val="14"/>
                <w:color w:val="auto"/>
              </w:rPr>
              <w:t>2020</w:t>
            </w:r>
          </w:p>
        </w:tc>
        <w:tc>
          <w:tcPr>
            <w:tcW w:w="360" w:type="dxa"/>
            <w:vAlign w:val="bottom"/>
          </w:tcPr>
          <w:p>
            <w:pPr>
              <w:spacing w:after="0"/>
              <w:rPr>
                <w:sz w:val="16"/>
                <w:szCs w:val="16"/>
                <w:color w:val="auto"/>
              </w:rPr>
            </w:pPr>
          </w:p>
        </w:tc>
      </w:tr>
      <w:tr>
        <w:trPr>
          <w:trHeight w:val="22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stock units</w:t>
            </w: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money market funds and they are included as cash and cash equivalents. We also had interest rate cap hedge agreements for which the fair value of the interest rate cap hedge agreements was determined using pricing models that use observable market inputs as of the balance sheet date, a Level 2 measurement, however, those agreements expired during our second quarter of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financial instruments in the three months ended April 3, 2021.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10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Cash equivalents consist of highly liquid instruments purchased with original maturities of three months or less. These assets are valued at cost, which approximates fair value, which we classify as Level 1. See Fair Value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w:t>
      </w:r>
    </w:p>
    <w:p>
      <w:pPr>
        <w:spacing w:after="0" w:line="10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As of April 3, 2021, we had no derivative instruments as our cash flow hedges matured in the second quarter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sales as raw materials are placed into production and the related revenue is recognized.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Accumulated Other Comprehensive Loss</w:t>
      </w:r>
    </w:p>
    <w:p>
      <w:pPr>
        <w:spacing w:after="0" w:line="10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Accumulated other comprehensive loss,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9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a significant number of contracts that are started and completed within the same year, as well as contracts derived from long-term agreements and programs that can span several years. We recognize revenue under Accounting Standards Codification 606, “Revenue from Contracts with Customers” (“ASC 606”), which utilizes a five-step model.</w:t>
      </w:r>
    </w:p>
    <w:p>
      <w:pPr>
        <w:spacing w:after="0" w:line="6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At times, in order to achieve economies of scale and based on our customer’s forecasted demand, we may build in advance of receiving a purchase order from our customer. When that occurs, we would not recognize revenue until we have received the customer purchase order.</w:t>
      </w:r>
    </w:p>
    <w:p>
      <w:pPr>
        <w:spacing w:after="0" w:line="2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5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manufacture most products to customer specifications and the product cannot be easily modified to satisfy another customer’s order.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determine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2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adjustments in contract estimates on our operating earnings can be reflected in either operating costs and expenses or revenue.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Net cumulative catch up adjustments on gross profit recorded were not material for both the three months ended April 3, 2021 and March 28, 2020.</w:t>
      </w:r>
    </w:p>
    <w:p>
      <w:pPr>
        <w:spacing w:after="0" w:line="115"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 contract liability is created for the advance or progress payment.</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April 3, 2021 and December 31, 2020, provision for estimated losses on contracts were $2.0 million and $2.3 million, respectively.</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April 3, 2021 and December 31, 2020, production cost of contracts were $7.2 million and $7.0 million,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0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contract liabilities from revenue contracts with customers are as follows: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8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659"/>
              <w:spacing w:after="0"/>
              <w:rPr>
                <w:sz w:val="20"/>
                <w:szCs w:val="20"/>
                <w:color w:val="auto"/>
              </w:rPr>
            </w:pPr>
            <w:r>
              <w:rPr>
                <w:rFonts w:ascii="Arial" w:cs="Arial" w:eastAsia="Arial" w:hAnsi="Arial"/>
                <w:sz w:val="14"/>
                <w:szCs w:val="14"/>
                <w:color w:val="auto"/>
              </w:rPr>
              <w:t>(Dollars in thousands)</w:t>
            </w:r>
          </w:p>
        </w:tc>
      </w:tr>
      <w:tr>
        <w:trPr>
          <w:trHeight w:val="147"/>
        </w:trPr>
        <w:tc>
          <w:tcPr>
            <w:tcW w:w="8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April 3,</w:t>
            </w:r>
          </w:p>
        </w:tc>
        <w:tc>
          <w:tcPr>
            <w:tcW w:w="180" w:type="dxa"/>
            <w:vAlign w:val="bottom"/>
          </w:tcPr>
          <w:p>
            <w:pPr>
              <w:spacing w:after="0"/>
              <w:rPr>
                <w:sz w:val="12"/>
                <w:szCs w:val="12"/>
                <w:color w:val="auto"/>
              </w:rPr>
            </w:pPr>
          </w:p>
        </w:tc>
        <w:tc>
          <w:tcPr>
            <w:tcW w:w="1140" w:type="dxa"/>
            <w:vAlign w:val="bottom"/>
          </w:tcPr>
          <w:p>
            <w:pPr>
              <w:jc w:val="right"/>
              <w:ind w:right="179"/>
              <w:spacing w:after="0" w:line="147" w:lineRule="exact"/>
              <w:rPr>
                <w:sz w:val="20"/>
                <w:szCs w:val="20"/>
                <w:color w:val="auto"/>
              </w:rPr>
            </w:pPr>
            <w:r>
              <w:rPr>
                <w:rFonts w:ascii="Arial" w:cs="Arial" w:eastAsia="Arial" w:hAnsi="Arial"/>
                <w:sz w:val="14"/>
                <w:szCs w:val="14"/>
                <w:color w:val="auto"/>
                <w:w w:val="97"/>
              </w:rPr>
              <w:t>December 31,</w:t>
            </w:r>
          </w:p>
        </w:tc>
      </w:tr>
      <w:tr>
        <w:trPr>
          <w:trHeight w:val="186"/>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2020</w:t>
            </w:r>
          </w:p>
        </w:tc>
      </w:tr>
      <w:tr>
        <w:trPr>
          <w:trHeight w:val="22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173,909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154,028</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
              <w:spacing w:after="0"/>
              <w:rPr>
                <w:sz w:val="20"/>
                <w:szCs w:val="20"/>
                <w:color w:val="auto"/>
              </w:rPr>
            </w:pPr>
            <w:r>
              <w:rPr>
                <w:rFonts w:ascii="Arial" w:cs="Arial" w:eastAsia="Arial" w:hAnsi="Arial"/>
                <w:sz w:val="18"/>
                <w:szCs w:val="18"/>
                <w:color w:val="auto"/>
              </w:rPr>
              <w:t>24,257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28,264</w:t>
            </w:r>
          </w:p>
        </w:tc>
      </w:tr>
    </w:tbl>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our contract assets as of April 3, 2021 compared to December 31, 2020 was primarily due to a net increase of products in work in process and finished goods in the current period.</w:t>
      </w:r>
    </w:p>
    <w:p>
      <w:pPr>
        <w:spacing w:after="0" w:line="11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decrease in our contract liabilities as of April 3, 2021 compared to December 31, 2020 was primarily due to a net decrease of advance or progress payments received from our customers in the current period. We recognized $7.2 million of the contract liabilities as of December 31, 2020 as revenues during the three months ended April 3, 2021.</w:t>
      </w:r>
    </w:p>
    <w:p>
      <w:pPr>
        <w:spacing w:after="0" w:line="6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Performance obligations are defined as customer placed purchase orders (“POs”) with firm fixed price and firm delivery dates. Our remaining performance obligations as of April 3, 2021 totaled $690.3 million. We anticipate recognizing an estimated 70% of our remaining performance obligations as revenue during the next 12 months with the remaining performance obligations being recognized in the remainder of 2022 and beyond.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by Category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revenue categories disclosed above, the following table reflects our revenue disaggregated by major end-use market: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jc w:val="right"/>
              <w:ind w:right="653"/>
              <w:spacing w:after="0"/>
              <w:rPr>
                <w:sz w:val="20"/>
                <w:szCs w:val="20"/>
                <w:color w:val="auto"/>
              </w:rPr>
            </w:pPr>
            <w:r>
              <w:rPr>
                <w:rFonts w:ascii="Arial" w:cs="Arial" w:eastAsia="Arial" w:hAnsi="Arial"/>
                <w:sz w:val="14"/>
                <w:szCs w:val="14"/>
                <w:color w:val="auto"/>
              </w:rPr>
              <w:t>(Dollars in thousands)</w:t>
            </w: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73"/>
              <w:spacing w:after="0"/>
              <w:rPr>
                <w:sz w:val="20"/>
                <w:szCs w:val="20"/>
                <w:color w:val="auto"/>
              </w:rPr>
            </w:pPr>
            <w:r>
              <w:rPr>
                <w:rFonts w:ascii="Arial" w:cs="Arial" w:eastAsia="Arial" w:hAnsi="Arial"/>
                <w:sz w:val="14"/>
                <w:szCs w:val="14"/>
                <w:color w:val="auto"/>
              </w:rPr>
              <w:t>Three Months Ended</w:t>
            </w: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April 3</w:t>
            </w:r>
          </w:p>
        </w:tc>
        <w:tc>
          <w:tcPr>
            <w:tcW w:w="240" w:type="dxa"/>
            <w:vAlign w:val="bottom"/>
          </w:tcPr>
          <w:p>
            <w:pPr>
              <w:spacing w:after="0"/>
              <w:rPr>
                <w:sz w:val="12"/>
                <w:szCs w:val="12"/>
                <w:color w:val="auto"/>
              </w:rPr>
            </w:pPr>
          </w:p>
        </w:tc>
        <w:tc>
          <w:tcPr>
            <w:tcW w:w="1080" w:type="dxa"/>
            <w:vAlign w:val="bottom"/>
          </w:tcPr>
          <w:p>
            <w:pPr>
              <w:jc w:val="right"/>
              <w:ind w:right="273"/>
              <w:spacing w:after="0" w:line="147" w:lineRule="exact"/>
              <w:rPr>
                <w:sz w:val="20"/>
                <w:szCs w:val="20"/>
                <w:color w:val="auto"/>
              </w:rPr>
            </w:pPr>
            <w:r>
              <w:rPr>
                <w:rFonts w:ascii="Arial" w:cs="Arial" w:eastAsia="Arial" w:hAnsi="Arial"/>
                <w:sz w:val="14"/>
                <w:szCs w:val="14"/>
                <w:color w:val="auto"/>
              </w:rPr>
              <w:t>March 28,</w:t>
            </w:r>
          </w:p>
        </w:tc>
      </w:tr>
      <w:tr>
        <w:trPr>
          <w:trHeight w:val="186"/>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r>
      <w:tr>
        <w:trPr>
          <w:trHeight w:val="193"/>
        </w:trPr>
        <w:tc>
          <w:tcPr>
            <w:tcW w:w="20" w:type="dxa"/>
            <w:vAlign w:val="bottom"/>
            <w:shd w:val="clear" w:color="auto" w:fill="CCEEFF"/>
          </w:tcPr>
          <w:p>
            <w:pPr>
              <w:spacing w:after="0"/>
              <w:rPr>
                <w:sz w:val="16"/>
                <w:szCs w:val="16"/>
                <w:color w:val="auto"/>
              </w:rPr>
            </w:pPr>
          </w:p>
        </w:tc>
        <w:tc>
          <w:tcPr>
            <w:tcW w:w="8460" w:type="dxa"/>
            <w:vAlign w:val="bottom"/>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Consolidated Ducommun</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6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114,127</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101,899</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60,582</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6"/>
              </w:rPr>
              <w:t>Electronic Systems</w:t>
            </w:r>
          </w:p>
        </w:tc>
        <w:tc>
          <w:tcPr>
            <w:tcW w:w="700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81,733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74,317</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Structural Systems</w:t>
            </w:r>
          </w:p>
        </w:tc>
        <w:tc>
          <w:tcPr>
            <w:tcW w:w="69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27,582</w:t>
            </w:r>
          </w:p>
        </w:tc>
      </w:tr>
      <w:tr>
        <w:trPr>
          <w:trHeight w:val="229"/>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47,773</w:t>
            </w:r>
          </w:p>
        </w:tc>
      </w:tr>
      <w:tr>
        <w:trPr>
          <w:trHeight w:val="223"/>
        </w:trPr>
        <w:tc>
          <w:tcPr>
            <w:tcW w:w="20" w:type="dxa"/>
            <w:vAlign w:val="bottom"/>
          </w:tcPr>
          <w:p>
            <w:pPr>
              <w:spacing w:after="0"/>
              <w:rPr>
                <w:sz w:val="19"/>
                <w:szCs w:val="19"/>
                <w:color w:val="auto"/>
              </w:rPr>
            </w:pPr>
          </w:p>
        </w:tc>
        <w:tc>
          <w:tcPr>
            <w:tcW w:w="846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75,355</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 Adopted in 2021</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October 2020, the FASB issued ASU 2020-10, “Codification Improvements” (“ASU 2020-10”), which affect a wide variety of Topics in the Accounting Standards Codification (“Codification”). ASU 2020-10, among other things, contains amendments that improve the consistency of the Codification by including all disclosure guidance in the appropriate Disclosure Section (Section 50). Many of the amendments arose as the FASB provided an option to give certain information either on the face of the financial statements or in the notes to financial statements and that option only was included in the Other Presentation Matters Section (Section 45) of the Codification. Those amendments are not expected to change current practice. The new guidance is effective for fiscal years beginning after December 15, 2020, which was our interim period beginning January 1, 2021. The adoption of this standard did not have a material impact on our condensed consolidated financial statements.</w:t>
      </w:r>
    </w:p>
    <w:p>
      <w:pPr>
        <w:spacing w:after="0" w:line="4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which removes certain exceptions and provides guidance on various areas of tax accounting.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spacing w:after="0" w:line="65"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In August 2018, the FASB issued ASU 2018-14, “Compensation - Retirement Benefits - Defined Benefit Plans - General (Topic 715-20): Disclosure Framework - Changes to the Disclosure Requirements for Defined Benefit Plans” (“ASU 2018-14”), which will remove disclosures that no longer are considered cost-beneficial, clarify the specific requirements of disclosures, and add disclosure requirements identified as relevant. The new guidance is effective for fiscal years beginning after December 15, 2020, including interim periods within those fiscal years, which was our interim period beginning January 1, 2021. The adoption of this standard did not have a material impact on our condensed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August 2020, the FASB issued ASU 2020-06, “Debt with Conversion and Other Options (Subtopic 470-20) and Derivatives and Hedging - Contracts in Entity’s Own Equity (Subtopic 815-40) - Accounting for Convertible Instruments and Contracts in an Entity’s Own Equity” (“ASU 2020-06”), which simplifies reporting or provides clarification on various topics, including clarification that an entity should use the weighted-average share count from each quarter when calculating the year-to-date weighted-average share count. The new guidance is effective for fiscal years beginning after December 15, 2021, including interim periods within those fiscal years, which will be our interim period beginning January 1, 2022. Early adoption is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permitted. We are evaluating the impact of this standard.</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(“ASU 2020-04”), which provides optional guidance for a limited time for contracts that reference London Interbank Offered Rate (“LIBOR”), to ease the potential burden in accounting for, or recognizing the effects, of reference rate reform on financial reporting as a result of the cessation of LIBOR. The new guidance is effective at any time after March 12, 2020 but no later than December 31, 2022. We are evaluating the impact of this standard.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40" w:type="dxa"/>
            <w:vAlign w:val="bottom"/>
            <w:gridSpan w:val="4"/>
          </w:tcPr>
          <w:p>
            <w:pPr>
              <w:jc w:val="right"/>
              <w:ind w:right="1176"/>
              <w:spacing w:after="0"/>
              <w:rPr>
                <w:sz w:val="20"/>
                <w:szCs w:val="20"/>
                <w:color w:val="auto"/>
              </w:rPr>
            </w:pPr>
            <w:r>
              <w:rPr>
                <w:rFonts w:ascii="Arial" w:cs="Arial" w:eastAsia="Arial" w:hAnsi="Arial"/>
                <w:sz w:val="14"/>
                <w:szCs w:val="14"/>
                <w:color w:val="auto"/>
                <w:w w:val="99"/>
              </w:rPr>
              <w:t>(Dollars in thousands)</w:t>
            </w:r>
          </w:p>
        </w:tc>
      </w:tr>
      <w:tr>
        <w:trPr>
          <w:trHeight w:val="147"/>
        </w:trPr>
        <w:tc>
          <w:tcPr>
            <w:tcW w:w="740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April 3,</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jc w:val="right"/>
              <w:ind w:right="436"/>
              <w:spacing w:after="0" w:line="147" w:lineRule="exact"/>
              <w:rPr>
                <w:sz w:val="20"/>
                <w:szCs w:val="20"/>
                <w:color w:val="auto"/>
              </w:rPr>
            </w:pPr>
            <w:r>
              <w:rPr>
                <w:rFonts w:ascii="Arial" w:cs="Arial" w:eastAsia="Arial" w:hAnsi="Arial"/>
                <w:sz w:val="14"/>
                <w:szCs w:val="14"/>
                <w:color w:val="auto"/>
              </w:rPr>
              <w:t>December 31,</w:t>
            </w:r>
          </w:p>
        </w:tc>
      </w:tr>
      <w:tr>
        <w:trPr>
          <w:trHeight w:val="186"/>
        </w:trPr>
        <w:tc>
          <w:tcPr>
            <w:tcW w:w="7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color w:val="auto"/>
              </w:rPr>
              <w:t>2020</w:t>
            </w:r>
          </w:p>
        </w:tc>
      </w:tr>
      <w:tr>
        <w:trPr>
          <w:trHeight w:val="226"/>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121,756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107,983</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15,895</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r>
      <w:tr>
        <w:trPr>
          <w:trHeight w:val="223"/>
        </w:trPr>
        <w:tc>
          <w:tcPr>
            <w:tcW w:w="74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138,287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129,223</w:t>
            </w: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perform our annual goodwill impairment test as of the first day of the fourth quarter. If certain factors occur, including significant under 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0" w:lineRule="exact"/>
        <w:rPr>
          <w:sz w:val="20"/>
          <w:szCs w:val="20"/>
          <w:color w:val="auto"/>
        </w:rPr>
      </w:pPr>
    </w:p>
    <w:p>
      <w:pPr>
        <w:jc w:val="both"/>
        <w:ind w:right="300"/>
        <w:spacing w:after="0" w:line="342" w:lineRule="auto"/>
        <w:rPr>
          <w:sz w:val="20"/>
          <w:szCs w:val="20"/>
          <w:color w:val="auto"/>
        </w:rPr>
      </w:pPr>
      <w:r>
        <w:rPr>
          <w:rFonts w:ascii="Arial" w:cs="Arial" w:eastAsia="Arial" w:hAnsi="Arial"/>
          <w:sz w:val="16"/>
          <w:szCs w:val="16"/>
          <w:color w:val="auto"/>
        </w:rPr>
        <w:t>We may use either a qualitative or quantitative approach when testing a reporting unit’s goodwill for impairment. The qualitative approach for potential impairment analysis is performed to determine whether it is more likely than not that the fair value of a reporting unit was less than its carrying amount.</w:t>
      </w:r>
    </w:p>
    <w:p>
      <w:pPr>
        <w:spacing w:after="0" w:line="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6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 our most recent annual goodwill impairment test of our Electronic Systems reporting unit as of the first day of the fourth quarter of 2020, we used a qualitative assessment and determined it was not more likely than not that the fair value of the reporting unit was less than its carrying amount. For our most recent annual goodwill impairment test of our Structural Systems reporting unit as of the first day of the fourth quarter of 2020, we performed a step one goodwill impairment test where the fair value of our Structural Systems reporting unit exceeded its carrying value by 69% and thus, goodwill was not deemed to be impaired. While our business continues to be negatively impacted during the three months ended April 3, 2021 as a result of the COVID-19 pandemic, no material adverse factors/changes have occurred since the fourth quarter of 2020 that would require us to perform another qualitative assessment. As such, for the first quarter of 2021, it was also not more likely than not that the fair values of the reporting units were less than their carrying amounts and thus, the respective goodwill amounts were not deemed to be impaired.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our goodwill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color w:val="auto"/>
                <w:w w:val="95"/>
              </w:rPr>
              <w:t>(Dollars in thousands)</w:t>
            </w: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color w:val="auto"/>
              </w:rPr>
              <w:t>Electronic</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20"/>
              <w:spacing w:after="0" w:line="147" w:lineRule="exact"/>
              <w:rPr>
                <w:sz w:val="20"/>
                <w:szCs w:val="20"/>
                <w:color w:val="auto"/>
              </w:rPr>
            </w:pPr>
            <w:r>
              <w:rPr>
                <w:rFonts w:ascii="Arial" w:cs="Arial" w:eastAsia="Arial" w:hAnsi="Arial"/>
                <w:sz w:val="14"/>
                <w:szCs w:val="14"/>
                <w:color w:val="auto"/>
                <w:w w:val="93"/>
              </w:rPr>
              <w:t>Structural</w:t>
            </w:r>
          </w:p>
        </w:tc>
        <w:tc>
          <w:tcPr>
            <w:tcW w:w="16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Arial" w:cs="Arial" w:eastAsia="Arial" w:hAnsi="Arial"/>
                <w:sz w:val="14"/>
                <w:szCs w:val="14"/>
                <w:color w:val="auto"/>
              </w:rPr>
              <w:t>Systems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Systems</w:t>
            </w: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Ducommun</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goodwill</w:t>
            </w:r>
          </w:p>
        </w:tc>
        <w:tc>
          <w:tcPr>
            <w:tcW w:w="34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8"/>
              </w:rPr>
              <w:t>199,157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8"/>
              </w:rPr>
              <w:t>252,552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Accumulated goodwill impairment</w:t>
            </w:r>
          </w:p>
        </w:tc>
        <w:tc>
          <w:tcPr>
            <w:tcW w:w="3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Arial" w:cs="Arial" w:eastAsia="Arial" w:hAnsi="Arial"/>
                <w:sz w:val="18"/>
                <w:szCs w:val="18"/>
                <w:color w:val="auto"/>
                <w:w w:val="92"/>
              </w:rPr>
              <w:t>(81,722)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2"/>
              </w:rPr>
              <w:t>(81,722)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4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December 31, 2020</w:t>
            </w:r>
          </w:p>
        </w:tc>
        <w:tc>
          <w:tcPr>
            <w:tcW w:w="34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w w:val="95"/>
              </w:rPr>
              <w:t>117,435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98"/>
              </w:rPr>
              <w:t>170,830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00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color w:val="auto"/>
              </w:rPr>
              <w:t>Balance at April 3, 2021</w:t>
            </w:r>
          </w:p>
        </w:tc>
        <w:tc>
          <w:tcPr>
            <w:tcW w:w="34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300"/>
              <w:spacing w:after="0" w:line="203" w:lineRule="exact"/>
              <w:rPr>
                <w:sz w:val="20"/>
                <w:szCs w:val="20"/>
                <w:color w:val="auto"/>
              </w:rPr>
            </w:pPr>
            <w:r>
              <w:rPr>
                <w:rFonts w:ascii="Arial" w:cs="Arial" w:eastAsia="Arial" w:hAnsi="Arial"/>
                <w:sz w:val="18"/>
                <w:szCs w:val="18"/>
                <w:color w:val="auto"/>
                <w:w w:val="95"/>
              </w:rPr>
              <w:t>117,435</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53,395</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360"/>
              <w:spacing w:after="0" w:line="203" w:lineRule="exact"/>
              <w:rPr>
                <w:sz w:val="20"/>
                <w:szCs w:val="20"/>
                <w:color w:val="auto"/>
              </w:rPr>
            </w:pPr>
            <w:r>
              <w:rPr>
                <w:rFonts w:ascii="Arial" w:cs="Arial" w:eastAsia="Arial" w:hAnsi="Arial"/>
                <w:sz w:val="18"/>
                <w:szCs w:val="18"/>
                <w:color w:val="auto"/>
                <w:w w:val="98"/>
              </w:rPr>
              <w:t>170,830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480" w:type="dxa"/>
            <w:vAlign w:val="bottom"/>
            <w:vMerge w:val="restart"/>
          </w:tcPr>
          <w:p>
            <w:pPr>
              <w:jc w:val="right"/>
              <w:ind w:right="171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Accrued and 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and other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520" w:type="dxa"/>
            <w:vAlign w:val="bottom"/>
            <w:gridSpan w:val="4"/>
          </w:tcPr>
          <w:p>
            <w:pPr>
              <w:jc w:val="right"/>
              <w:ind w:right="1116"/>
              <w:spacing w:after="0"/>
              <w:rPr>
                <w:sz w:val="20"/>
                <w:szCs w:val="20"/>
                <w:color w:val="auto"/>
              </w:rPr>
            </w:pPr>
            <w:r>
              <w:rPr>
                <w:rFonts w:ascii="Arial" w:cs="Arial" w:eastAsia="Arial" w:hAnsi="Arial"/>
                <w:sz w:val="14"/>
                <w:szCs w:val="14"/>
                <w:color w:val="auto"/>
                <w:w w:val="95"/>
              </w:rPr>
              <w:t>(Dollars in thousands)</w:t>
            </w:r>
          </w:p>
        </w:tc>
      </w:tr>
      <w:tr>
        <w:trPr>
          <w:trHeight w:val="147"/>
        </w:trPr>
        <w:tc>
          <w:tcPr>
            <w:tcW w:w="7480" w:type="dxa"/>
            <w:vAlign w:val="bottom"/>
          </w:tcPr>
          <w:p>
            <w:pPr>
              <w:spacing w:after="0"/>
              <w:rPr>
                <w:sz w:val="12"/>
                <w:szCs w:val="12"/>
                <w:color w:val="auto"/>
              </w:rPr>
            </w:pPr>
          </w:p>
        </w:tc>
        <w:tc>
          <w:tcPr>
            <w:tcW w:w="1180" w:type="dxa"/>
            <w:vAlign w:val="bottom"/>
          </w:tcPr>
          <w:p>
            <w:pPr>
              <w:jc w:val="right"/>
              <w:spacing w:after="0" w:line="147" w:lineRule="exact"/>
              <w:rPr>
                <w:sz w:val="20"/>
                <w:szCs w:val="20"/>
                <w:color w:val="auto"/>
              </w:rPr>
            </w:pPr>
            <w:r>
              <w:rPr>
                <w:rFonts w:ascii="Arial" w:cs="Arial" w:eastAsia="Arial" w:hAnsi="Arial"/>
                <w:sz w:val="14"/>
                <w:szCs w:val="14"/>
                <w:color w:val="auto"/>
              </w:rPr>
              <w:t>April 3,</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tcPr>
          <w:p>
            <w:pPr>
              <w:jc w:val="right"/>
              <w:ind w:right="396"/>
              <w:spacing w:after="0" w:line="147" w:lineRule="exact"/>
              <w:rPr>
                <w:sz w:val="20"/>
                <w:szCs w:val="20"/>
                <w:color w:val="auto"/>
              </w:rPr>
            </w:pPr>
            <w:r>
              <w:rPr>
                <w:rFonts w:ascii="Arial" w:cs="Arial" w:eastAsia="Arial" w:hAnsi="Arial"/>
                <w:sz w:val="14"/>
                <w:szCs w:val="14"/>
                <w:color w:val="auto"/>
              </w:rPr>
              <w:t>December 31,</w:t>
            </w:r>
          </w:p>
        </w:tc>
      </w:tr>
      <w:tr>
        <w:trPr>
          <w:trHeight w:val="186"/>
        </w:trPr>
        <w:tc>
          <w:tcPr>
            <w:tcW w:w="74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2021</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color w:val="auto"/>
              </w:rPr>
              <w:t>2020</w:t>
            </w:r>
          </w:p>
        </w:tc>
      </w:tr>
      <w:tr>
        <w:trPr>
          <w:trHeight w:val="22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15,386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Accrued income tax and sales tax</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r>
      <w:tr>
        <w:trPr>
          <w:trHeight w:val="223"/>
        </w:trPr>
        <w:tc>
          <w:tcPr>
            <w:tcW w:w="7480" w:type="dxa"/>
            <w:vAlign w:val="bottom"/>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28,433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40,526</w:t>
            </w:r>
          </w:p>
        </w:tc>
      </w:tr>
      <w:tr>
        <w:trPr>
          <w:trHeight w:val="21"/>
        </w:trPr>
        <w:tc>
          <w:tcPr>
            <w:tcW w:w="74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80" w:type="dxa"/>
            <w:vAlign w:val="bottom"/>
            <w:gridSpan w:val="4"/>
          </w:tcPr>
          <w:p>
            <w:pPr>
              <w:jc w:val="right"/>
              <w:ind w:right="1273"/>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47"/>
        </w:trPr>
        <w:tc>
          <w:tcPr>
            <w:tcW w:w="7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tcPr>
          <w:p>
            <w:pPr>
              <w:ind w:left="320"/>
              <w:spacing w:after="0" w:line="147" w:lineRule="exact"/>
              <w:rPr>
                <w:sz w:val="20"/>
                <w:szCs w:val="20"/>
                <w:color w:val="auto"/>
              </w:rPr>
            </w:pPr>
            <w:r>
              <w:rPr>
                <w:rFonts w:ascii="Arial" w:cs="Arial" w:eastAsia="Arial" w:hAnsi="Arial"/>
                <w:sz w:val="14"/>
                <w:szCs w:val="14"/>
                <w:color w:val="auto"/>
              </w:rPr>
              <w:t>April 3,</w:t>
            </w:r>
          </w:p>
        </w:tc>
        <w:tc>
          <w:tcPr>
            <w:tcW w:w="340" w:type="dxa"/>
            <w:vAlign w:val="bottom"/>
          </w:tcPr>
          <w:p>
            <w:pPr>
              <w:spacing w:after="0"/>
              <w:rPr>
                <w:sz w:val="12"/>
                <w:szCs w:val="12"/>
                <w:color w:val="auto"/>
              </w:rPr>
            </w:pPr>
          </w:p>
        </w:tc>
        <w:tc>
          <w:tcPr>
            <w:tcW w:w="1620" w:type="dxa"/>
            <w:vAlign w:val="bottom"/>
          </w:tcPr>
          <w:p>
            <w:pPr>
              <w:jc w:val="right"/>
              <w:ind w:right="493"/>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295,638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320,638</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less current portion</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305,962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313,638</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issuance costs - term loans</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 net of debt issuance costs - term loans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304,344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311,922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Debt issuance costs - revolving credit facility </w:t>
            </w:r>
            <w:r>
              <w:rPr>
                <w:rFonts w:ascii="Arial" w:cs="Arial" w:eastAsia="Arial" w:hAnsi="Arial"/>
                <w:sz w:val="23"/>
                <w:szCs w:val="23"/>
                <w:color w:val="auto"/>
                <w:vertAlign w:val="superscript"/>
              </w:rPr>
              <w:t>(1)</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35"/>
              <w:spacing w:after="0" w:line="203" w:lineRule="exact"/>
              <w:rPr>
                <w:sz w:val="20"/>
                <w:szCs w:val="20"/>
                <w:color w:val="auto"/>
              </w:rPr>
            </w:pPr>
            <w:r>
              <w:rPr>
                <w:rFonts w:ascii="Arial" w:cs="Arial" w:eastAsia="Arial" w:hAnsi="Arial"/>
                <w:sz w:val="18"/>
                <w:szCs w:val="18"/>
                <w:color w:val="auto"/>
              </w:rPr>
              <w:t>1,421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0" w:type="dxa"/>
            <w:vAlign w:val="bottom"/>
          </w:tcPr>
          <w:p>
            <w:pPr>
              <w:spacing w:after="0"/>
              <w:rPr>
                <w:sz w:val="1"/>
                <w:szCs w:val="1"/>
                <w:color w:val="auto"/>
              </w:rPr>
            </w:pPr>
          </w:p>
        </w:tc>
      </w:tr>
      <w:tr>
        <w:trPr>
          <w:trHeight w:val="324"/>
        </w:trPr>
        <w:tc>
          <w:tcPr>
            <w:tcW w:w="7200" w:type="dxa"/>
            <w:vAlign w:val="bottom"/>
          </w:tcPr>
          <w:p>
            <w:pPr>
              <w:spacing w:after="0"/>
              <w:rPr>
                <w:sz w:val="20"/>
                <w:szCs w:val="20"/>
                <w:color w:val="auto"/>
              </w:rPr>
            </w:pPr>
            <w:r>
              <w:rPr>
                <w:rFonts w:ascii="Arial" w:cs="Arial" w:eastAsia="Arial" w:hAnsi="Arial"/>
                <w:sz w:val="18"/>
                <w:szCs w:val="18"/>
                <w:color w:val="auto"/>
              </w:rPr>
              <w:t>(1) Included as part of other assets.</w:t>
            </w: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matures on December 20, 2024 replacing the $100.0 million 2018 Revolving Credit Facility that would have matured on November 21, 2023. The 2019 Term Loan is a $140.0 million senior secured term loan that matures on December 20, 2024. We also have an existing $240.0 million senior secured term loan that was entered into in November 2018 that matures on November 21, 2025 (“2018 Term Loan”). The original amounts available under the 2019 Revolving Credit Facility, 2019 Term Loan, and 2018 Term Loan (collectively, the “Credit Facilities”) in aggregate, totaled $480.0 million.</w:t>
      </w:r>
    </w:p>
    <w:p>
      <w:pPr>
        <w:spacing w:after="0" w:line="3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53" w:lineRule="auto"/>
        <w:rPr>
          <w:sz w:val="20"/>
          <w:szCs w:val="20"/>
          <w:color w:val="auto"/>
        </w:rPr>
      </w:pPr>
      <w:r>
        <w:rPr>
          <w:rFonts w:ascii="Arial" w:cs="Arial" w:eastAsia="Arial" w:hAnsi="Arial"/>
          <w:sz w:val="18"/>
          <w:szCs w:val="18"/>
          <w:color w:val="auto"/>
        </w:rPr>
        <w:t>0.50%, [b] Bank of America’s prime rate, and [c] the Eurodollar Rate plus 1.00%) plus an applicable margin ranging from 0.50% to 1.50% per year, in each case based upon the consolidated total net adjusted leverage ratio, typically payable quarterly. In addition, the 2019 Term Loan requires installment payments of 1.25% of the original outstanding principal balance of the 2019 Term Loan amount on a quarterly basis, on the last day of the calendar quarter. For the three months ended April 3, 2021, we made the required quarterly payment of $1.8 million.</w:t>
      </w:r>
    </w:p>
    <w:p>
      <w:pPr>
        <w:spacing w:after="0" w:line="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is subject to a commitment fee ranging from 0.175% to 0.275%, based upon the consolidated total net adjusted leverage ratio. However, the 2019 Revolving Credit Facility does not require any principal installment payments.</w:t>
      </w:r>
    </w:p>
    <w:p>
      <w:pPr>
        <w:spacing w:after="0" w:line="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3.75% to 4.00% per year, in each case based upon the consolidated total net adjusted leverage ratio, typically payable quarterly. In addition, the 2018 Term Loan required installment payments of 0.25% of the outstanding principal balance of the 2018 Term Loan amount on a quarterly basis.</w:t>
      </w:r>
    </w:p>
    <w:p>
      <w:pPr>
        <w:spacing w:after="0" w:line="1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Further, under the Credit Facilities, if we exceed the annual excess cash flow threshold, we are required to make an annual additional principal payment based on the consolidated adjusted leverage ratio. The annual mandatory excess cash flow payment is based on (i) 50% of the excess cash flow amount if the adjusted leverage ratio is greater than 3.25 to 1.0, (ii) 25% of the excess cash flow amount if the adjusted leverage ratio is less than or equal to 3.25 to</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1.0 but greater than 2.50 to 1.0, and (iii) zero percent of the excess cash flow amount if the consolidated adjusted leverage ratio is less than or equal to 2.50 to 1.0. During the three months ended April 3, 2021, we made the required 2020 annual excess cash flow payment of $0.9 million. As of April 3, 2021, we were in compliance with all covenants required under the Credit Facilities.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April 3, 2021, we made net voluntary prepayments of $5.0 million on the 2019 Revolving Credit Facility.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In conjunction with entering into the 2019 Revolving Credit Facility and the 2019 Term Loan, we drew down the entire $140.0 million on the 2019 Term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Loan and used those proceeds to pay off and close the 2018 Revolving Credit Facility of $58.5 million, paid down a portion of the 2018 Term Loan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$56.0 million, paid the accrued interest associated with the amounts being paid down on the 2018 Revolving Credit Facility and 2018 Term Loan, paid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related to this transaction, and the remainder available for general corporate purposes. The $56.0 million pay down on the 2018 Term Loan paid all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required quarterly installment payments on the 2018 Term Loan until maturity.</w:t>
      </w:r>
    </w:p>
    <w:p>
      <w:pPr>
        <w:spacing w:after="0" w:line="7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2019 Term Loan and 2018 Term Loan were considered a modification of debt and thus, no gain or loss was recorded. Instead, the new fees paid to the lenders of $0.6 million were capitalized and are being amortized over the life of the 2019 Term Loan. The remaining debt issuance costs related to the 2018 Term Loan of $1.5 million as of the modification date will continue to be amortized over its remaining life.</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2019 Revolving Credit Facility that replaced the 2018 Revolving Credit Facility was considered an extinguishment of debt except for the portion related to the creditors that were part of both the 2019 Revolving Credit Facility and the 2018 Revolving Credit Facility and in which case, it was considered a modification of debt. As a result, we expensed the portion of the unamortized debt issuance costs related to the 2018 Revolving Credit Facility that was considered an extinguishment of debt of $0.5 million. In addition, the new fees paid to the lenders of $0.5 million as part of the 2019 Revolving Credit Facility were capitalized and are being amortized over its remaining life. Further, the remaining debt issuance costs related to the 2018 Revolving Credit Facility of $1.1 million as of the modification date will also be amortized over its remaining life.</w:t>
      </w:r>
    </w:p>
    <w:p>
      <w:pPr>
        <w:spacing w:after="0" w:line="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April 3, 2021, we had $79.8 million of unused borrowing capacity under the 2019 Revolving Credit Facility, after deducting $0.2 million for standby letters of credit.</w:t>
      </w:r>
    </w:p>
    <w:p>
      <w:pPr>
        <w:spacing w:after="0" w:line="3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Credit Facilities were entered into by us (“Parent Company”) and guaranteed by all of our domestic subsidiaries, other than two subsidiaries that were considered minor (“Subsidiary Guarantors”). The Subsidiary Guarantors jointly and severally guarantee the Credit Facilities. The Parent Company has no independent assets or operations and therefore, no consolidating financial information for the Parent Company and its subsidiaries are presented.</w:t>
      </w:r>
    </w:p>
    <w:p>
      <w:pPr>
        <w:spacing w:after="0" w:line="27"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 October 2015, we entered into interest rate cap hedges designated as cash flow hedges with a portion of these interest rate cap hedges maturing on a quarterly basis, and a final quarterly maturity date of June 2020, in aggregate, totaling $135.0 million of our debt. We paid a total of $1.0 million in connection with entering into the interest rate cap hedges. The interest rate cap hedges matured during our second quarter of 2020 and as such, all remaining amounts related to the interest rate cap hedges were fully amortized and unrealized gains and losses recorded in accumulated other comprehensive income were also realized at that time.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Indemnifications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made guarantees and indemnities under which we may be required to make payments to a guaranteed or indemnified party, in relation to certain transactions, including revenue transactions in the ordinary course of business. In connection with certain performance center leases, we have indemnified our lessors for certain claims arising from the performance center or the lease. We indemnify our directors and officers to the maximum extent permitted under the laws of the State of Delaware.</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However, we have a directors and officers insurance policy that may reduce our exposure in certain circumstances and may enable us to recover a portion of future amounts that may be payable, if any. The duration of the guarantees and indemnities varies and, in many cases is indefinite but subject to statute of limitations. The majority of guarantees and indemnities do not provide any limitations of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7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recorded income tax expense of $1.1 million for the three months ended April 3, 2021 compared to $1.5 million for the three months ended March 28, 2020. The decrease in income tax expense for the first quarter of 2021 compared to the first quarter of 2020 was primarily due to lower pre-tax income for the first quarter of 2021 compared to the first quarter of 2020 and higher discrete tax benefits recognized in the first quarter of 2021 for net tax windfalls related to stock-based compensation.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evaluated the amendments in ASU 2019-12 for the three months ended April 3, 2021 and determined they do not have an impact on our income taxes.</w:t>
      </w:r>
    </w:p>
    <w:p>
      <w:pPr>
        <w:spacing w:after="0" w:line="127"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On March 11, 2021, the U.S. enacted the American Rescue Plan Act of 2021 (“Rescue Plan”) aimed at mitigating the continuing effects of the COVID-19 pandemic. We considered the provisions of the Rescue Plan and determined they do not have a material impact on our income taxes.</w:t>
      </w:r>
    </w:p>
    <w:p>
      <w:pPr>
        <w:spacing w:after="0" w:line="1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Our total amount of unrecognized tax benefits was $4.1 million as of both April 3, 2021 and December 31, 2020. If recognized, $2.4 million would affect the effective tax rate. We record interest and penalty charges, if any, related to uncertain tax positions as a component of tax expense and unrecognized tax benefits. The amounts accrued for interest and penalty charges as of April 3, 2021 and December 31, 2020 were not significant. We do not expect the total amount of unrecognized tax benefits to increase or decrease by a material amount in the next twelve months.</w:t>
      </w:r>
    </w:p>
    <w:p>
      <w:pPr>
        <w:spacing w:after="0" w:line="5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on January 28, 2021. The complaint alleges violations of California’s wage and hour laws relating to our current and former employees and seeks attorney’s fees and penalties. We believe these claims are baseless, are without merit and intend to vigorously defend against them. We do not currently have enough information to make a reasonable estimate as to the likelihood or amount of loss, or a range of reasonably possible losses as a result of this claim, so there has been no related accrual for estimated liability recorded as of April 3, 2021.</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April 3, 2021 and December 31, 2020, which is reflected in other long-term liabilities on our condensed consolidated balance sheets.</w:t>
      </w:r>
    </w:p>
    <w:p>
      <w:pPr>
        <w:spacing w:after="0" w:line="13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at April 3, 2021,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is comprised of two buildings with an aggregate total of 62,000 square feet. The loss of production from the Guaymas performance center is being absorbed by our other existing performance centers.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Our insurance covers damage to the facility, equipment, unfinished inventory, and other assets at replacement cost, finished goods inventory at selling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price, as well as business interruption, third party property damage, and recovery related expenses caused by the fire, less our per claim deductible.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anticipated insurance recoveries related to losses and incremental costs incurred are recognized when receipt is probable. The anticipated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recoveries in excess of net book value of the damaged operating assets and business interruption will not be recorded until all contingencies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 have been resolved. During the year ended December 31, 2020, $0.8 million of revenue and $0.5 million of related cost of sales were reversed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previously recognized using the over time method as the revenue recognition process for these items were deemed to be interrupted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inventory items being damaged. Also during the year ended December 31, 2020, we wrote off property and equipment and tooling with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total net book value of $7.1 million and inventory on hand of $3.4 million that were damaged by the fire. The related anticipated insurance recoveries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presented within the same financial statement line item in the condensed consolidated statements of income resulting in no net impact,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anticipated insurance recoveries receivable included as part of other current assets on the condensed consolidated balance sheets. As of April 3,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$13.5 million of general insurance recoveries have been received to date. The timing of and the remaining amounts of insurance recoveries, including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interruption, are not known at this time.</w:t>
      </w:r>
    </w:p>
    <w:p>
      <w:pPr>
        <w:spacing w:after="0" w:line="89"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Segment Information</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reportable operating segment was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4"/>
          </w:tcPr>
          <w:p>
            <w:pPr>
              <w:jc w:val="right"/>
              <w:ind w:right="652"/>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82"/>
        </w:trPr>
        <w:tc>
          <w:tcPr>
            <w:tcW w:w="8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4"/>
          </w:tcPr>
          <w:p>
            <w:pPr>
              <w:ind w:left="5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April 3,</w:t>
            </w:r>
          </w:p>
        </w:tc>
        <w:tc>
          <w:tcPr>
            <w:tcW w:w="240" w:type="dxa"/>
            <w:vAlign w:val="bottom"/>
          </w:tcPr>
          <w:p>
            <w:pPr>
              <w:spacing w:after="0"/>
              <w:rPr>
                <w:sz w:val="12"/>
                <w:szCs w:val="12"/>
                <w:color w:val="auto"/>
              </w:rPr>
            </w:pPr>
          </w:p>
        </w:tc>
        <w:tc>
          <w:tcPr>
            <w:tcW w:w="1080" w:type="dxa"/>
            <w:vAlign w:val="bottom"/>
          </w:tcPr>
          <w:p>
            <w:pPr>
              <w:jc w:val="right"/>
              <w:ind w:right="272"/>
              <w:spacing w:after="0" w:line="142" w:lineRule="exact"/>
              <w:rPr>
                <w:sz w:val="20"/>
                <w:szCs w:val="20"/>
                <w:color w:val="auto"/>
              </w:rPr>
            </w:pPr>
            <w:r>
              <w:rPr>
                <w:rFonts w:ascii="Arial" w:cs="Arial" w:eastAsia="Arial" w:hAnsi="Arial"/>
                <w:sz w:val="14"/>
                <w:szCs w:val="14"/>
                <w:color w:val="auto"/>
              </w:rPr>
              <w:t>March 28,</w:t>
            </w:r>
          </w:p>
        </w:tc>
        <w:tc>
          <w:tcPr>
            <w:tcW w:w="0" w:type="dxa"/>
            <w:vAlign w:val="bottom"/>
          </w:tcPr>
          <w:p>
            <w:pPr>
              <w:spacing w:after="0"/>
              <w:rPr>
                <w:sz w:val="1"/>
                <w:szCs w:val="1"/>
                <w:color w:val="auto"/>
              </w:rPr>
            </w:pPr>
          </w:p>
        </w:tc>
      </w:tr>
      <w:tr>
        <w:trPr>
          <w:trHeight w:val="186"/>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99,104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98,120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157,151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173,475</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12,491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20,512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Corporate General and Administrative Expenses </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1"/>
              </w:rPr>
              <w:t>(7,009)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(6,886)</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Corporate Administration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Depreciation and Amortization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Arial" w:cs="Arial" w:eastAsia="Arial" w:hAnsi="Arial"/>
                <w:sz w:val="18"/>
                <w:szCs w:val="18"/>
                <w:color w:val="auto"/>
              </w:rPr>
              <w:t>Structural Systems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Administration</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780" w:firstLine="251"/>
        <w:spacing w:after="0" w:line="410" w:lineRule="auto"/>
        <w:tabs>
          <w:tab w:leader="none" w:pos="56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costs not allocated to either the Electronic Systems or Structural Systems operating segments. Segment assets include assets directly identifiable to or allocated to each segment. Our segment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0" w:type="dxa"/>
            <w:vAlign w:val="bottom"/>
            <w:gridSpan w:val="4"/>
          </w:tcPr>
          <w:p>
            <w:pPr>
              <w:jc w:val="right"/>
              <w:ind w:right="1154"/>
              <w:spacing w:after="0"/>
              <w:rPr>
                <w:sz w:val="20"/>
                <w:szCs w:val="20"/>
                <w:color w:val="auto"/>
              </w:rPr>
            </w:pPr>
            <w:r>
              <w:rPr>
                <w:rFonts w:ascii="Arial" w:cs="Arial" w:eastAsia="Arial" w:hAnsi="Arial"/>
                <w:sz w:val="14"/>
                <w:szCs w:val="14"/>
                <w:color w:val="auto"/>
                <w:w w:val="98"/>
              </w:rPr>
              <w:t>(Dollars in thousands)</w:t>
            </w:r>
          </w:p>
        </w:tc>
        <w:tc>
          <w:tcPr>
            <w:tcW w:w="0" w:type="dxa"/>
            <w:vAlign w:val="bottom"/>
          </w:tcPr>
          <w:p>
            <w:pPr>
              <w:spacing w:after="0"/>
              <w:rPr>
                <w:sz w:val="1"/>
                <w:szCs w:val="1"/>
                <w:color w:val="auto"/>
              </w:rPr>
            </w:pPr>
          </w:p>
        </w:tc>
      </w:tr>
      <w:tr>
        <w:trPr>
          <w:trHeight w:val="147"/>
        </w:trPr>
        <w:tc>
          <w:tcPr>
            <w:tcW w:w="746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April 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right"/>
              <w:ind w:right="434"/>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74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tcPr>
          <w:p>
            <w:pPr>
              <w:ind w:left="360"/>
              <w:spacing w:after="0"/>
              <w:rPr>
                <w:sz w:val="20"/>
                <w:szCs w:val="20"/>
                <w:color w:val="auto"/>
              </w:rPr>
            </w:pPr>
            <w:r>
              <w:rPr>
                <w:rFonts w:ascii="Arial" w:cs="Arial" w:eastAsia="Arial" w:hAnsi="Arial"/>
                <w:sz w:val="18"/>
                <w:szCs w:val="18"/>
                <w:color w:val="auto"/>
              </w:rPr>
              <w:t>Electronic Systems</w:t>
            </w: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469,323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448,606</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Structural Systems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333,084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325,604</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 xml:space="preserve">Corporate Administration </w:t>
            </w:r>
            <w:r>
              <w:rPr>
                <w:rFonts w:ascii="Arial" w:cs="Arial" w:eastAsia="Arial" w:hAnsi="Arial"/>
                <w:sz w:val="23"/>
                <w:szCs w:val="23"/>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825,864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837,347</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Goodwill and Intangibles</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Electronic Systems</w:t>
            </w: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198,755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201,077</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Structural Systems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Goodwill and Intangibles</w:t>
            </w: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292,336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295,574</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80" w:right="140" w:hanging="329"/>
        <w:spacing w:after="0" w:line="277"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 on Our Business</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COVID-19 pandemic has had a significant impact on our overall business during the three months ended April 3, 2021.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safety of our workforce is our top priority. We have implemented numerous well-being protocols related to health and welfare at all of our facilities. Safety protocols consistent with guidelines provided by state and local governments and the Centers for Disease Control and Prevention (“CDC”) have been put into practice, including social distancing, provision of personal protective equipment, enhanced cleaning, and flexible work arrangements wherever possible. We have also offered enhanced leave and benefits to our employees and provide frequent updates to ensure our workforce is kept apprised of evolving regulations and safety measures.</w:t>
      </w:r>
    </w:p>
    <w:p>
      <w:pPr>
        <w:spacing w:after="0" w:line="53"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In March 2020, the U.S. enacted the Coronavirus Aid, Relief, and Economic Security Act (“CARES Act”) which provides tax relief to individuals and businesses affected by the coronavirus pandemic. We have not requested or accepted any loans or payments that are available under the CARES Act, however, we have utilized the option to defer payment of the employer portion of payroll taxes (Social Security) that would otherwise be required to be made during the period beginning March 27, 2020 to December 31, 2020. One half of the deferred amount is required to be paid by December 31, 2021, with the remaining 50% to be paid by December 31, 2022. As of April 3, 2021, we have deferred $6.1 million, which is included as part of accrued liabilities and other long-term liabilities on the condensed consolidated balance sheets.</w:t>
      </w:r>
    </w:p>
    <w:p>
      <w:pPr>
        <w:spacing w:after="0" w:line="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COVID-19 pandemic has and continues to contribute to a general slowdown in the global economy and specifically, the commercial aerospace end-use market. In 2020, both major large aircraft manufacturers, The Boeing Company and Airbus SE, announced lower build rates for the near and medium future. In its 2020 Annual Report on Form 10-K, Boeing indicated it expects it will take approximately three years for worldwide travel to return to 2019 levels and a few years beyond that for the industry to return to a long-term trend growth of five percent.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the reminder of 2021 and beyond.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recap:</w:t>
      </w:r>
    </w:p>
    <w:p>
      <w:pPr>
        <w:spacing w:after="0" w:line="12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of $157.2 million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$6.7 million, or $0.55 per diluted share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of $21.1 million, or 13.5% of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Adjusted earnings before interest, taxes, depreciation, amortization, stock-based compensation expense, and Guaymas fire related expenses (“Adjusted EBITDA”) was $21.1 million and $23.2 million for the three months ended April 3, 2021 and March 28, 2020, respectively.</w:t>
      </w:r>
    </w:p>
    <w:p>
      <w:pPr>
        <w:spacing w:after="0" w:line="1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When viewed with our financial results prepared in accordance with accounting principles generally accepted in the United States of America (“GAAP”) and accompanying reconciliations, we believe Adjusted EBITDA provides additional useful information to clarify and enhance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provided by operating activities as measures of our liquidity. The presentation of these measures should not be interpreted to mean that our future results will be unaffected by unusual or nonrecurring items.</w:t>
      </w:r>
    </w:p>
    <w:p>
      <w:pPr>
        <w:spacing w:after="0" w:line="3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6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our cash expenditures, future requirements for capital expenditures or contractual commitments;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does not reflect the significant interest expense or the cash requirements necessary to service interest or principal payments on our debt;</w:t>
      </w:r>
    </w:p>
    <w:p>
      <w:pPr>
        <w:spacing w:after="0" w:line="140" w:lineRule="exact"/>
        <w:rPr>
          <w:rFonts w:ascii="Arial" w:cs="Arial" w:eastAsia="Arial" w:hAnsi="Arial"/>
          <w:sz w:val="16"/>
          <w:szCs w:val="16"/>
          <w:color w:val="auto"/>
        </w:rPr>
      </w:pPr>
    </w:p>
    <w:p>
      <w:pPr>
        <w:ind w:left="1300" w:right="160" w:hanging="644"/>
        <w:spacing w:after="0" w:line="277" w:lineRule="auto"/>
        <w:tabs>
          <w:tab w:leader="none" w:pos="1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not adjusted for all non-cash income or expense items that are reflected in our statements of cash flows;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the impact on earnings of charges resulting from matters unrelated to our ongoing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from us, limiting its usefulness as a comparative measure.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Because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However, in spite of the above limitations, we believe that Adjusted EBITDA is useful to an investor in evaluating our results of operations because this measure:</w:t>
      </w:r>
    </w:p>
    <w:p>
      <w:pPr>
        <w:spacing w:after="0" w:line="62" w:lineRule="exact"/>
        <w:rPr>
          <w:sz w:val="20"/>
          <w:szCs w:val="20"/>
          <w:color w:val="auto"/>
        </w:rPr>
      </w:pPr>
    </w:p>
    <w:p>
      <w:pPr>
        <w:ind w:left="1300" w:right="20" w:hanging="644"/>
        <w:spacing w:after="0" w:line="263"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75"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Helps investors to evaluate and compare the results of our operations from period to period by removing the effect of our capital structure from our operating performance; and</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 used by our management team for various other purposes in presentations to our Board of Directors as a basis for strategic planning and forecasting.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expense may be useful to investors for determining current cash flow;</w:t>
      </w:r>
    </w:p>
    <w:p>
      <w:pPr>
        <w:spacing w:after="0" w:line="117" w:lineRule="exact"/>
        <w:rPr>
          <w:rFonts w:ascii="Arial" w:cs="Arial" w:eastAsia="Arial" w:hAnsi="Arial"/>
          <w:sz w:val="18"/>
          <w:szCs w:val="18"/>
          <w:color w:val="auto"/>
        </w:rPr>
      </w:pPr>
    </w:p>
    <w:p>
      <w:pPr>
        <w:ind w:left="1300" w:right="36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62" w:lineRule="exact"/>
        <w:rPr>
          <w:rFonts w:ascii="Arial" w:cs="Arial" w:eastAsia="Arial" w:hAnsi="Arial"/>
          <w:sz w:val="18"/>
          <w:szCs w:val="18"/>
          <w:color w:val="auto"/>
        </w:rPr>
      </w:pPr>
    </w:p>
    <w:p>
      <w:pPr>
        <w:ind w:left="1300" w:right="42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may be useful to investors because it generally represents the wear and tear on our property and equipment used in our operations;</w:t>
      </w:r>
    </w:p>
    <w:p>
      <w:pPr>
        <w:spacing w:after="0" w:line="62" w:lineRule="exact"/>
        <w:rPr>
          <w:rFonts w:ascii="Arial" w:cs="Arial" w:eastAsia="Arial" w:hAnsi="Arial"/>
          <w:sz w:val="18"/>
          <w:szCs w:val="18"/>
          <w:color w:val="auto"/>
        </w:rPr>
      </w:pPr>
    </w:p>
    <w:p>
      <w:pPr>
        <w:ind w:left="1300" w:right="480" w:hanging="644"/>
        <w:spacing w:after="0" w:line="277"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expense may be useful to investors because it represents the estimated attrition of our acquired customer base and the diminishing value of product rights;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 may be useful to our investors for determining current cash flow;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Guaymas fire related expenses may be useful to our investors in evaluating our core operating performance.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net income to Adjusted EBITDA and the presentation of Adjusted EBITDA as a percentage of net revenues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right"/>
              <w:ind w:right="633"/>
              <w:spacing w:after="0"/>
              <w:rPr>
                <w:sz w:val="20"/>
                <w:szCs w:val="20"/>
                <w:color w:val="auto"/>
              </w:rPr>
            </w:pPr>
            <w:r>
              <w:rPr>
                <w:rFonts w:ascii="Arial" w:cs="Arial" w:eastAsia="Arial" w:hAnsi="Arial"/>
                <w:sz w:val="14"/>
                <w:szCs w:val="14"/>
                <w:color w:val="auto"/>
              </w:rPr>
              <w:t>(Dollars in thousands)</w:t>
            </w:r>
          </w:p>
        </w:tc>
      </w:tr>
      <w:tr>
        <w:trPr>
          <w:trHeight w:val="182"/>
        </w:trPr>
        <w:tc>
          <w:tcPr>
            <w:tcW w:w="8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gridSpan w:val="4"/>
          </w:tcPr>
          <w:p>
            <w:pPr>
              <w:jc w:val="right"/>
              <w:ind w:right="673"/>
              <w:spacing w:after="0"/>
              <w:rPr>
                <w:sz w:val="20"/>
                <w:szCs w:val="20"/>
                <w:color w:val="auto"/>
              </w:rPr>
            </w:pPr>
            <w:r>
              <w:rPr>
                <w:rFonts w:ascii="Arial" w:cs="Arial" w:eastAsia="Arial" w:hAnsi="Arial"/>
                <w:sz w:val="14"/>
                <w:szCs w:val="14"/>
                <w:color w:val="auto"/>
              </w:rPr>
              <w:t>Three Months Ended</w:t>
            </w:r>
          </w:p>
        </w:tc>
      </w:tr>
      <w:tr>
        <w:trPr>
          <w:trHeight w:val="142"/>
        </w:trPr>
        <w:tc>
          <w:tcPr>
            <w:tcW w:w="8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April 3,</w:t>
            </w:r>
          </w:p>
        </w:tc>
        <w:tc>
          <w:tcPr>
            <w:tcW w:w="220" w:type="dxa"/>
            <w:vAlign w:val="bottom"/>
          </w:tcPr>
          <w:p>
            <w:pPr>
              <w:spacing w:after="0"/>
              <w:rPr>
                <w:sz w:val="12"/>
                <w:szCs w:val="12"/>
                <w:color w:val="auto"/>
              </w:rPr>
            </w:pPr>
          </w:p>
        </w:tc>
        <w:tc>
          <w:tcPr>
            <w:tcW w:w="108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March 28,</w:t>
            </w:r>
          </w:p>
        </w:tc>
      </w:tr>
      <w:tr>
        <w:trPr>
          <w:trHeight w:val="186"/>
        </w:trPr>
        <w:tc>
          <w:tcPr>
            <w:tcW w:w="8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2020</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7,930</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4,246</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1,450</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3,436</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3,900</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2,279</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Guaymas fire related expenses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21,140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23,241</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net revenues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of 2021 Compared to First Quarter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net revenues, selected financial data, the effective tax rate and diluted earnings per share: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00" w:type="dxa"/>
            <w:vAlign w:val="bottom"/>
            <w:gridSpan w:val="7"/>
          </w:tcPr>
          <w:p>
            <w:pPr>
              <w:jc w:val="center"/>
              <w:ind w:left="654"/>
              <w:spacing w:after="0"/>
              <w:rPr>
                <w:sz w:val="20"/>
                <w:szCs w:val="20"/>
                <w:color w:val="auto"/>
              </w:rPr>
            </w:pPr>
            <w:r>
              <w:rPr>
                <w:rFonts w:ascii="Arial" w:cs="Arial" w:eastAsia="Arial" w:hAnsi="Arial"/>
                <w:sz w:val="14"/>
                <w:szCs w:val="14"/>
                <w:color w:val="auto"/>
                <w:w w:val="91"/>
              </w:rPr>
              <w:t>(Dollars in thousands, except per share data)</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w w:val="91"/>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94"/>
              <w:spacing w:after="0"/>
              <w:rPr>
                <w:sz w:val="20"/>
                <w:szCs w:val="20"/>
                <w:color w:val="auto"/>
              </w:rPr>
            </w:pPr>
            <w:r>
              <w:rPr>
                <w:rFonts w:ascii="Arial" w:cs="Arial" w:eastAsia="Arial" w:hAnsi="Arial"/>
                <w:sz w:val="14"/>
                <w:szCs w:val="14"/>
                <w:color w:val="auto"/>
              </w:rPr>
              <w:t>April 3,</w:t>
            </w:r>
          </w:p>
        </w:tc>
        <w:tc>
          <w:tcPr>
            <w:tcW w:w="1100" w:type="dxa"/>
            <w:vAlign w:val="bottom"/>
            <w:gridSpan w:val="2"/>
          </w:tcPr>
          <w:p>
            <w:pPr>
              <w:jc w:val="center"/>
              <w:ind w:left="54"/>
              <w:spacing w:after="0" w:line="132" w:lineRule="exact"/>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color w:val="auto"/>
              </w:rPr>
              <w:t>March 28,</w:t>
            </w:r>
          </w:p>
        </w:tc>
        <w:tc>
          <w:tcPr>
            <w:tcW w:w="980" w:type="dxa"/>
            <w:vAlign w:val="bottom"/>
          </w:tcPr>
          <w:p>
            <w:pPr>
              <w:jc w:val="center"/>
              <w:spacing w:after="0" w:line="13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6"/>
              </w:rPr>
              <w:t>of Net</w:t>
            </w:r>
          </w:p>
        </w:tc>
        <w:tc>
          <w:tcPr>
            <w:tcW w:w="2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rPr>
              <w:t>of Net</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Revenues</w:t>
            </w:r>
          </w:p>
        </w:tc>
        <w:tc>
          <w:tcPr>
            <w:tcW w:w="200" w:type="dxa"/>
            <w:vAlign w:val="bottom"/>
          </w:tcPr>
          <w:p>
            <w:pPr>
              <w:spacing w:after="0"/>
              <w:rPr>
                <w:sz w:val="16"/>
                <w:szCs w:val="16"/>
                <w:color w:val="auto"/>
              </w:rPr>
            </w:pPr>
          </w:p>
        </w:tc>
        <w:tc>
          <w:tcPr>
            <w:tcW w:w="1000" w:type="dxa"/>
            <w:vAlign w:val="bottom"/>
          </w:tcPr>
          <w:p>
            <w:pPr>
              <w:jc w:val="right"/>
              <w:ind w:right="373"/>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8"/>
              </w:rPr>
              <w:t>Revenues</w:t>
            </w:r>
          </w:p>
        </w:tc>
        <w:tc>
          <w:tcPr>
            <w:tcW w:w="0" w:type="dxa"/>
            <w:vAlign w:val="bottom"/>
          </w:tcPr>
          <w:p>
            <w:pPr>
              <w:spacing w:after="0"/>
              <w:rPr>
                <w:sz w:val="1"/>
                <w:szCs w:val="1"/>
                <w:color w:val="auto"/>
              </w:rPr>
            </w:pPr>
          </w:p>
        </w:tc>
      </w:tr>
      <w:tr>
        <w:trPr>
          <w:trHeight w:val="226"/>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157,151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173,475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124,051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136,671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33,100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36,804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22,490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23,178</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10,610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13,626</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(2,806)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7,804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9,380</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6,695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7,930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End-Use Market and Operating Segment</w:t>
      </w:r>
    </w:p>
    <w:p>
      <w:pPr>
        <w:spacing w:after="0" w:line="108"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Net revenues by end-use market and operating segment during the fiscal three months ended April 3, 2021 and March 28, 2020, respectively,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ind w:left="20"/>
              <w:spacing w:after="0"/>
              <w:rPr>
                <w:sz w:val="20"/>
                <w:szCs w:val="20"/>
                <w:color w:val="auto"/>
              </w:rPr>
            </w:pPr>
            <w:r>
              <w:rPr>
                <w:rFonts w:ascii="Arial" w:cs="Arial" w:eastAsia="Arial" w:hAnsi="Arial"/>
                <w:sz w:val="11"/>
                <w:szCs w:val="11"/>
                <w:color w:val="auto"/>
                <w:w w:val="97"/>
              </w:rPr>
              <w:t>Three Months Ended</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6"/>
          </w:tcPr>
          <w:p>
            <w:pPr>
              <w:ind w:left="240"/>
              <w:spacing w:after="0"/>
              <w:rPr>
                <w:sz w:val="20"/>
                <w:szCs w:val="20"/>
                <w:color w:val="auto"/>
              </w:rPr>
            </w:pPr>
            <w:r>
              <w:rPr>
                <w:rFonts w:ascii="Arial" w:cs="Arial" w:eastAsia="Arial" w:hAnsi="Arial"/>
                <w:sz w:val="11"/>
                <w:szCs w:val="11"/>
                <w:color w:val="auto"/>
              </w:rPr>
              <w:t>(Dollars in thousands)</w:t>
            </w:r>
          </w:p>
        </w:tc>
        <w:tc>
          <w:tcPr>
            <w:tcW w:w="1840" w:type="dxa"/>
            <w:vAlign w:val="bottom"/>
            <w:gridSpan w:val="3"/>
          </w:tcPr>
          <w:p>
            <w:pPr>
              <w:jc w:val="right"/>
              <w:ind w:right="531"/>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color w:val="auto"/>
              </w:rPr>
              <w:t>Change</w:t>
            </w:r>
          </w:p>
        </w:tc>
        <w:tc>
          <w:tcPr>
            <w:tcW w:w="1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April 3,</w:t>
            </w:r>
          </w:p>
        </w:tc>
        <w:tc>
          <w:tcPr>
            <w:tcW w:w="100" w:type="dxa"/>
            <w:vAlign w:val="bottom"/>
          </w:tcPr>
          <w:p>
            <w:pPr>
              <w:spacing w:after="0"/>
              <w:rPr>
                <w:sz w:val="11"/>
                <w:szCs w:val="11"/>
                <w:color w:val="auto"/>
              </w:rPr>
            </w:pPr>
          </w:p>
        </w:tc>
        <w:tc>
          <w:tcPr>
            <w:tcW w:w="1040" w:type="dxa"/>
            <w:vAlign w:val="bottom"/>
            <w:gridSpan w:val="3"/>
          </w:tcPr>
          <w:p>
            <w:pPr>
              <w:ind w:left="100"/>
              <w:spacing w:after="0"/>
              <w:rPr>
                <w:sz w:val="20"/>
                <w:szCs w:val="20"/>
                <w:color w:val="auto"/>
              </w:rPr>
            </w:pPr>
            <w:r>
              <w:rPr>
                <w:rFonts w:ascii="Arial" w:cs="Arial" w:eastAsia="Arial" w:hAnsi="Arial"/>
                <w:sz w:val="11"/>
                <w:szCs w:val="11"/>
                <w:color w:val="auto"/>
              </w:rPr>
              <w:t>March 28,</w:t>
            </w:r>
          </w:p>
        </w:tc>
        <w:tc>
          <w:tcPr>
            <w:tcW w:w="880" w:type="dxa"/>
            <w:vAlign w:val="bottom"/>
            <w:gridSpan w:val="2"/>
          </w:tcPr>
          <w:p>
            <w:pPr>
              <w:ind w:left="120"/>
              <w:spacing w:after="0"/>
              <w:rPr>
                <w:sz w:val="20"/>
                <w:szCs w:val="20"/>
                <w:color w:val="auto"/>
              </w:rPr>
            </w:pPr>
            <w:r>
              <w:rPr>
                <w:rFonts w:ascii="Arial" w:cs="Arial" w:eastAsia="Arial" w:hAnsi="Arial"/>
                <w:sz w:val="11"/>
                <w:szCs w:val="11"/>
                <w:color w:val="auto"/>
              </w:rPr>
              <w:t>April 3,</w:t>
            </w:r>
          </w:p>
        </w:tc>
        <w:tc>
          <w:tcPr>
            <w:tcW w:w="960" w:type="dxa"/>
            <w:vAlign w:val="bottom"/>
          </w:tcPr>
          <w:p>
            <w:pPr>
              <w:jc w:val="right"/>
              <w:ind w:right="191"/>
              <w:spacing w:after="0"/>
              <w:rPr>
                <w:sz w:val="20"/>
                <w:szCs w:val="20"/>
                <w:color w:val="auto"/>
              </w:rPr>
            </w:pPr>
            <w:r>
              <w:rPr>
                <w:rFonts w:ascii="Arial" w:cs="Arial" w:eastAsia="Arial" w:hAnsi="Arial"/>
                <w:sz w:val="11"/>
                <w:szCs w:val="11"/>
                <w:color w:val="auto"/>
              </w:rPr>
              <w:t>March 28,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ind w:right="232"/>
              <w:spacing w:after="0"/>
              <w:rPr>
                <w:sz w:val="20"/>
                <w:szCs w:val="20"/>
                <w:color w:val="auto"/>
              </w:rPr>
            </w:pPr>
            <w:r>
              <w:rPr>
                <w:rFonts w:ascii="Arial" w:cs="Arial" w:eastAsia="Arial" w:hAnsi="Arial"/>
                <w:sz w:val="11"/>
                <w:szCs w:val="11"/>
                <w:color w:val="auto"/>
              </w:rPr>
              <w:t>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52"/>
              <w:spacing w:after="0"/>
              <w:rPr>
                <w:sz w:val="20"/>
                <w:szCs w:val="20"/>
                <w:color w:val="auto"/>
              </w:rPr>
            </w:pPr>
            <w:r>
              <w:rPr>
                <w:rFonts w:ascii="Arial" w:cs="Arial" w:eastAsia="Arial" w:hAnsi="Arial"/>
                <w:sz w:val="11"/>
                <w:szCs w:val="11"/>
                <w:color w:val="auto"/>
              </w:rPr>
              <w:t>2020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ind w:right="312"/>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960" w:type="dxa"/>
            <w:vAlign w:val="bottom"/>
          </w:tcPr>
          <w:p>
            <w:pPr>
              <w:jc w:val="right"/>
              <w:ind w:right="311"/>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64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Consolidated Ducommun</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Military and space</w:t>
            </w:r>
          </w:p>
        </w:tc>
        <w:tc>
          <w:tcPr>
            <w:tcW w:w="48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12,228</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114,127</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101,899</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72.6 %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58.7 %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157,151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173,475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4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Electronic Systems</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Military and space</w:t>
            </w:r>
          </w:p>
        </w:tc>
        <w:tc>
          <w:tcPr>
            <w:tcW w:w="526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7,416</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81,733</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74,317</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82.5 %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75.7 %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64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color w:val="auto"/>
              </w:rPr>
              <w:t>Industrial</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7,647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10,994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99,104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Structural Systems</w:t>
            </w:r>
          </w:p>
        </w:tc>
        <w:tc>
          <w:tcPr>
            <w:tcW w:w="524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20" w:type="dxa"/>
            <w:vAlign w:val="bottom"/>
            <w:gridSpan w:val="4"/>
          </w:tcPr>
          <w:p>
            <w:pPr>
              <w:spacing w:after="0"/>
              <w:rPr>
                <w:sz w:val="20"/>
                <w:szCs w:val="20"/>
                <w:color w:val="auto"/>
              </w:rPr>
            </w:pPr>
            <w:r>
              <w:rPr>
                <w:rFonts w:ascii="Arial" w:cs="Arial" w:eastAsia="Arial" w:hAnsi="Arial"/>
                <w:sz w:val="14"/>
                <w:szCs w:val="14"/>
                <w:color w:val="auto"/>
              </w:rPr>
              <w:t>Military and space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4,812</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32,394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27,582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Commercial aerospace</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(22,120)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25,653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47,773</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44.2 %</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63.4 %</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420" w:type="dxa"/>
            <w:vAlign w:val="bottom"/>
            <w:gridSpan w:val="4"/>
          </w:tcPr>
          <w:p>
            <w:pPr>
              <w:ind w:left="66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58,047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75,355</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revenues for the three months ended April 3, 2021 were $157.2 million, compared to $173.5 million for the three months ended March 28, 2020. The year-over-year decrease was primarily due to the following:</w:t>
      </w:r>
    </w:p>
    <w:p>
      <w:pPr>
        <w:spacing w:after="0" w:line="35" w:lineRule="exact"/>
        <w:rPr>
          <w:sz w:val="20"/>
          <w:szCs w:val="20"/>
          <w:color w:val="auto"/>
        </w:rPr>
      </w:pPr>
    </w:p>
    <w:p>
      <w:pPr>
        <w:ind w:left="660" w:right="2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$25.2 million lower revenues in our commercial aerospace end-use markets due to lower build rates on large aircraft platforms and regional and business aircraft platforms; partially offset by</w:t>
      </w:r>
    </w:p>
    <w:p>
      <w:pPr>
        <w:spacing w:after="0" w:line="48"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$12.2 million higher revenues in our military and space end-use markets due to higher build rates on military fixed-wing aircraft platforms and other military and space platforms.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Customers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284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2480" w:type="dxa"/>
            <w:vAlign w:val="bottom"/>
            <w:tcBorders>
              <w:bottom w:val="single" w:sz="8" w:color="auto"/>
            </w:tcBorders>
            <w:gridSpan w:val="3"/>
          </w:tcPr>
          <w:p>
            <w:pPr>
              <w:jc w:val="right"/>
              <w:ind w:right="535"/>
              <w:spacing w:after="0"/>
              <w:rPr>
                <w:sz w:val="20"/>
                <w:szCs w:val="20"/>
                <w:color w:val="auto"/>
              </w:rPr>
            </w:pPr>
            <w:r>
              <w:rPr>
                <w:rFonts w:ascii="Arial" w:cs="Arial" w:eastAsia="Arial" w:hAnsi="Arial"/>
                <w:sz w:val="14"/>
                <w:szCs w:val="14"/>
                <w:color w:val="auto"/>
              </w:rPr>
              <w:t>Three Months Ended</w:t>
            </w:r>
          </w:p>
        </w:tc>
      </w:tr>
      <w:tr>
        <w:trPr>
          <w:trHeight w:val="135"/>
        </w:trPr>
        <w:tc>
          <w:tcPr>
            <w:tcW w:w="3080" w:type="dxa"/>
            <w:vAlign w:val="bottom"/>
          </w:tcPr>
          <w:p>
            <w:pPr>
              <w:spacing w:after="0"/>
              <w:rPr>
                <w:sz w:val="11"/>
                <w:szCs w:val="11"/>
                <w:color w:val="auto"/>
              </w:rPr>
            </w:pPr>
          </w:p>
        </w:tc>
        <w:tc>
          <w:tcPr>
            <w:tcW w:w="1300" w:type="dxa"/>
            <w:vAlign w:val="bottom"/>
            <w:gridSpan w:val="2"/>
          </w:tcPr>
          <w:p>
            <w:pPr>
              <w:ind w:left="380"/>
              <w:spacing w:after="0" w:line="135" w:lineRule="exact"/>
              <w:rPr>
                <w:sz w:val="20"/>
                <w:szCs w:val="20"/>
                <w:color w:val="auto"/>
              </w:rPr>
            </w:pPr>
            <w:r>
              <w:rPr>
                <w:rFonts w:ascii="Arial" w:cs="Arial" w:eastAsia="Arial" w:hAnsi="Arial"/>
                <w:sz w:val="14"/>
                <w:szCs w:val="14"/>
                <w:color w:val="auto"/>
              </w:rPr>
              <w:t>April 3,</w:t>
            </w:r>
          </w:p>
        </w:tc>
        <w:tc>
          <w:tcPr>
            <w:tcW w:w="1180" w:type="dxa"/>
            <w:vAlign w:val="bottom"/>
          </w:tcPr>
          <w:p>
            <w:pPr>
              <w:jc w:val="right"/>
              <w:ind w:right="215"/>
              <w:spacing w:after="0" w:line="135" w:lineRule="exact"/>
              <w:rPr>
                <w:sz w:val="20"/>
                <w:szCs w:val="20"/>
                <w:color w:val="auto"/>
              </w:rPr>
            </w:pPr>
            <w:r>
              <w:rPr>
                <w:rFonts w:ascii="Arial" w:cs="Arial" w:eastAsia="Arial" w:hAnsi="Arial"/>
                <w:sz w:val="14"/>
                <w:szCs w:val="14"/>
                <w:color w:val="auto"/>
              </w:rPr>
              <w:t>March 28,</w:t>
            </w:r>
          </w:p>
        </w:tc>
      </w:tr>
      <w:tr>
        <w:trPr>
          <w:trHeight w:val="186"/>
        </w:trPr>
        <w:tc>
          <w:tcPr>
            <w:tcW w:w="30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2020</w:t>
            </w:r>
          </w:p>
        </w:tc>
      </w:tr>
      <w:tr>
        <w:trPr>
          <w:trHeight w:val="22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 Company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Lockheed Martin Corporation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 Grumman Corporation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Raytheon Technologies Corporation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22.7 %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18.4 %</w:t>
            </w: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 AeroSystems Holdings, Inc.</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304"/>
        </w:trPr>
        <w:tc>
          <w:tcPr>
            <w:tcW w:w="3080" w:type="dxa"/>
            <w:vAlign w:val="bottom"/>
          </w:tcPr>
          <w:p>
            <w:pPr>
              <w:ind w:left="20"/>
              <w:spacing w:after="0"/>
              <w:rPr>
                <w:sz w:val="20"/>
                <w:szCs w:val="20"/>
                <w:color w:val="auto"/>
              </w:rPr>
            </w:pPr>
            <w:r>
              <w:rPr>
                <w:rFonts w:ascii="Arial" w:cs="Arial" w:eastAsia="Arial" w:hAnsi="Arial"/>
                <w:sz w:val="18"/>
                <w:szCs w:val="18"/>
                <w:color w:val="auto"/>
              </w:rPr>
              <w:t xml:space="preserve">Total top ten customers </w:t>
            </w:r>
            <w:r>
              <w:rPr>
                <w:rFonts w:ascii="Arial" w:cs="Arial" w:eastAsia="Arial" w:hAnsi="Arial"/>
                <w:sz w:val="23"/>
                <w:szCs w:val="23"/>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8"/>
                <w:szCs w:val="18"/>
                <w:color w:val="auto"/>
              </w:rPr>
              <w:t>58.5 %</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56.7 %</w:t>
            </w:r>
          </w:p>
        </w:tc>
      </w:tr>
    </w:tbl>
    <w:p>
      <w:pPr>
        <w:spacing w:after="0" w:line="73" w:lineRule="exact"/>
        <w:rPr>
          <w:sz w:val="20"/>
          <w:szCs w:val="20"/>
          <w:color w:val="auto"/>
        </w:rPr>
      </w:pPr>
    </w:p>
    <w:p>
      <w:pPr>
        <w:ind w:left="340" w:righ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Boeing Company (“Boeing”), Lockheed Martin Corporation (“Lockheed”), Northrop Grumman Corporation (“Northrop”), Raytheon Technologies Corporation (“Raytheon”), and Spirit AeroSystems Holdings, Inc. (“Spirit”).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Boeing, Lockheed, Northrop, Raytheon, and Spirit represented the following percentages of total accounts receivable: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40" w:type="dxa"/>
            <w:vAlign w:val="bottom"/>
            <w:gridSpan w:val="2"/>
          </w:tcPr>
          <w:p>
            <w:pPr>
              <w:ind w:left="380"/>
              <w:spacing w:after="0"/>
              <w:rPr>
                <w:sz w:val="20"/>
                <w:szCs w:val="20"/>
                <w:color w:val="auto"/>
              </w:rPr>
            </w:pPr>
            <w:r>
              <w:rPr>
                <w:rFonts w:ascii="Arial" w:cs="Arial" w:eastAsia="Arial" w:hAnsi="Arial"/>
                <w:sz w:val="14"/>
                <w:szCs w:val="14"/>
                <w:color w:val="auto"/>
              </w:rPr>
              <w:t>April 3,</w:t>
            </w:r>
          </w:p>
        </w:tc>
        <w:tc>
          <w:tcPr>
            <w:tcW w:w="1220" w:type="dxa"/>
            <w:vAlign w:val="bottom"/>
          </w:tcPr>
          <w:p>
            <w:pPr>
              <w:jc w:val="right"/>
              <w:ind w:right="135"/>
              <w:spacing w:after="0"/>
              <w:rPr>
                <w:sz w:val="20"/>
                <w:szCs w:val="20"/>
                <w:color w:val="auto"/>
              </w:rPr>
            </w:pPr>
            <w:r>
              <w:rPr>
                <w:rFonts w:ascii="Arial" w:cs="Arial" w:eastAsia="Arial" w:hAnsi="Arial"/>
                <w:sz w:val="14"/>
                <w:szCs w:val="14"/>
                <w:color w:val="auto"/>
              </w:rPr>
              <w:t>December 31,</w:t>
            </w:r>
          </w:p>
        </w:tc>
      </w:tr>
      <w:tr>
        <w:trPr>
          <w:trHeight w:val="186"/>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2020</w:t>
            </w:r>
          </w:p>
        </w:tc>
      </w:tr>
      <w:tr>
        <w:trPr>
          <w:trHeight w:val="22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Boeing</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Lockheed</w:t>
            </w:r>
          </w:p>
        </w:tc>
        <w:tc>
          <w:tcPr>
            <w:tcW w:w="1220" w:type="dxa"/>
            <w:vAlign w:val="bottom"/>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Northrop</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29"/>
        </w:trPr>
        <w:tc>
          <w:tcPr>
            <w:tcW w:w="8680" w:type="dxa"/>
            <w:vAlign w:val="bottom"/>
          </w:tcPr>
          <w:p>
            <w:pPr>
              <w:ind w:left="20"/>
              <w:spacing w:after="0"/>
              <w:rPr>
                <w:sz w:val="20"/>
                <w:szCs w:val="20"/>
                <w:color w:val="auto"/>
              </w:rPr>
            </w:pPr>
            <w:r>
              <w:rPr>
                <w:rFonts w:ascii="Arial" w:cs="Arial" w:eastAsia="Arial" w:hAnsi="Arial"/>
                <w:sz w:val="18"/>
                <w:szCs w:val="18"/>
                <w:color w:val="auto"/>
              </w:rPr>
              <w:t>Raytheon</w:t>
            </w:r>
          </w:p>
        </w:tc>
        <w:tc>
          <w:tcPr>
            <w:tcW w:w="1220" w:type="dxa"/>
            <w:vAlign w:val="bottom"/>
          </w:tcPr>
          <w:p>
            <w:pPr>
              <w:jc w:val="right"/>
              <w:spacing w:after="0"/>
              <w:rPr>
                <w:sz w:val="20"/>
                <w:szCs w:val="20"/>
                <w:color w:val="auto"/>
              </w:rPr>
            </w:pPr>
            <w:r>
              <w:rPr>
                <w:rFonts w:ascii="Arial" w:cs="Arial" w:eastAsia="Arial" w:hAnsi="Arial"/>
                <w:sz w:val="18"/>
                <w:szCs w:val="18"/>
                <w:color w:val="auto"/>
              </w:rPr>
              <w:t>12.6 %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29"/>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Spirit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net revenues and accounts receivable from Boeing, Lockheed, Northrop, Raytheon, and Spirit are diversified over a number of commercial, military and space programs and were generated by both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was essentially flat year-over-year with the three months ended April 3, 2021 of 21.1%, compared to the three months ended March 28, 2020 of 21.2% primarily due to unfavorable manufacturing volume, partially offset by favorable product mix and lower compensation and benefit costs.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9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SG&amp;A expenses decreased $0.7 million year-over-year in the three months ended April 3, 2021 compared to the three months ended March 28, 2020 primarily due to lower professional services fees of $0.4 million and lower compensation and benefit costs of $0.3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decreased in the three months ended April 3, 2021 compared to the three months ended March 28, 2020 due to lower interest rates and a lower outstanding debt balance.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recorded income tax expense of $1.1 million for the three months ended April 3, 2021, compared to $1.5 million for the three months ended March 28, 2020. The decrease in income tax expense for the first quarter of 2021 compared to the first quarter of 2020 was primarily due to lower pre-tax income for the first quarter of 2021 compared to the first quarter of 2020 and higher discrete tax benefits recognized in the first quarter of 2021 for net tax windfalls related to stock-based compensation.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We evaluated the amendments in ASU 2019-12 for the three months ended April 3, 2021 and determined they do not have an impact on our income taxes.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considered the provisions of the Rescue Plan and determined they do not have a material impact on our income taxes.</w:t>
      </w:r>
    </w:p>
    <w:p>
      <w:pPr>
        <w:spacing w:after="0" w:line="104"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Our total amount of unrecognized tax benefits was $4.1 million as of both April 3, 2021 and December 31, 2020. If recognized, $2.4 million would affect the effective tax rate. We record interest and penalty charges, if any, related to uncertain tax positions as a component of tax expense and unrecognized tax benefits. The amounts accrued for interest and penalty charges as of April 3, 2021 and December 31, 2020 were not significant. We do not expect the total amount of unrecognized tax benefits to increase or decrease by a material amount in the next twelve months.</w:t>
      </w:r>
    </w:p>
    <w:p>
      <w:pPr>
        <w:spacing w:after="0" w:line="5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file U.S. Federal and state income tax returns. We are subject to examination by the Internal Revenue Service (“IRS”) for tax years after 2016 and by state taxing authorities for tax years after 2015. While we are no longer subject to examination prior to those periods, carryforwards generated prior to those periods may still be adjusted upon examination by the IRS or state taxing authority if they either have been or will be used in a subsequent period. We believe we have adequately accrued for tax deficiencies or reductions in tax benefits, if any, that could result from the examination and all open audit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Net income and earnings per share for the three months ended April 3, 2021 were $6.7 million, or $0.55 per diluted share, compared to $7.9 million, or</w:t>
      </w:r>
    </w:p>
    <w:p>
      <w:pPr>
        <w:spacing w:after="0" w:line="46"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$0.67 per diluted share, for the three months ended March 28, 2020. The decrease in net income for the three months ended April 3, 2021 compared to the three months ended March 28, 2020 was due to $3.7 million of lower gross profit as a result of lower revenues, partially offset by lower interest expense of $1.4 million.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Performance</w:t>
      </w:r>
    </w:p>
    <w:p>
      <w:pPr>
        <w:spacing w:after="0" w:line="108" w:lineRule="exact"/>
        <w:rPr>
          <w:sz w:val="20"/>
          <w:szCs w:val="20"/>
          <w:color w:val="auto"/>
        </w:rPr>
      </w:pPr>
    </w:p>
    <w:p>
      <w:pPr>
        <w:ind w:right="700"/>
        <w:spacing w:after="0" w:line="301" w:lineRule="auto"/>
        <w:rPr>
          <w:sz w:val="20"/>
          <w:szCs w:val="20"/>
          <w:color w:val="auto"/>
        </w:rPr>
      </w:pPr>
      <w:r>
        <w:rPr>
          <w:rFonts w:ascii="Arial" w:cs="Arial" w:eastAsia="Arial" w:hAnsi="Arial"/>
          <w:sz w:val="16"/>
          <w:szCs w:val="16"/>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months ended April 3, 2021 and March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color w:val="auto"/>
                <w:w w:val="99"/>
              </w:rPr>
              <w:t>Three Months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6"/>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720" w:type="dxa"/>
            <w:vAlign w:val="bottom"/>
          </w:tcPr>
          <w:p>
            <w:pPr>
              <w:jc w:val="right"/>
              <w:ind w:right="261"/>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6"/>
          </w:tcPr>
          <w:p>
            <w:pPr>
              <w:ind w:left="260"/>
              <w:spacing w:after="0"/>
              <w:rPr>
                <w:sz w:val="20"/>
                <w:szCs w:val="20"/>
                <w:color w:val="auto"/>
              </w:rPr>
            </w:pPr>
            <w:r>
              <w:rPr>
                <w:rFonts w:ascii="Arial" w:cs="Arial" w:eastAsia="Arial" w:hAnsi="Arial"/>
                <w:sz w:val="11"/>
                <w:szCs w:val="11"/>
                <w:color w:val="auto"/>
              </w:rPr>
              <w:t>(Dollars in thousands)</w:t>
            </w:r>
          </w:p>
        </w:tc>
        <w:tc>
          <w:tcPr>
            <w:tcW w:w="1780" w:type="dxa"/>
            <w:vAlign w:val="bottom"/>
            <w:gridSpan w:val="3"/>
          </w:tcPr>
          <w:p>
            <w:pPr>
              <w:jc w:val="right"/>
              <w:ind w:right="499"/>
              <w:spacing w:after="0"/>
              <w:rPr>
                <w:sz w:val="20"/>
                <w:szCs w:val="20"/>
                <w:color w:val="auto"/>
              </w:rPr>
            </w:pPr>
            <w:r>
              <w:rPr>
                <w:rFonts w:ascii="Arial" w:cs="Arial" w:eastAsia="Arial" w:hAnsi="Arial"/>
                <w:sz w:val="11"/>
                <w:szCs w:val="11"/>
                <w:color w:val="auto"/>
              </w:rPr>
              <w:t>% of Net Revenues</w:t>
            </w:r>
          </w:p>
        </w:tc>
        <w:tc>
          <w:tcPr>
            <w:tcW w:w="0" w:type="dxa"/>
            <w:vAlign w:val="bottom"/>
          </w:tcPr>
          <w:p>
            <w:pPr>
              <w:spacing w:after="0"/>
              <w:rPr>
                <w:sz w:val="1"/>
                <w:szCs w:val="1"/>
                <w:color w:val="auto"/>
              </w:rPr>
            </w:pPr>
          </w:p>
        </w:tc>
      </w:tr>
      <w:tr>
        <w:trPr>
          <w:trHeight w:val="134"/>
        </w:trPr>
        <w:tc>
          <w:tcPr>
            <w:tcW w:w="6520" w:type="dxa"/>
            <w:vAlign w:val="bottom"/>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1"/>
                <w:szCs w:val="11"/>
                <w:color w:val="auto"/>
              </w:rPr>
              <w:t>Change</w:t>
            </w:r>
          </w:p>
        </w:tc>
        <w:tc>
          <w:tcPr>
            <w:tcW w:w="16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color w:val="auto"/>
              </w:rPr>
              <w:t>April 3,</w:t>
            </w:r>
          </w:p>
        </w:tc>
        <w:tc>
          <w:tcPr>
            <w:tcW w:w="80" w:type="dxa"/>
            <w:vAlign w:val="bottom"/>
          </w:tcPr>
          <w:p>
            <w:pPr>
              <w:spacing w:after="0"/>
              <w:rPr>
                <w:sz w:val="11"/>
                <w:szCs w:val="11"/>
                <w:color w:val="auto"/>
              </w:rPr>
            </w:pPr>
          </w:p>
        </w:tc>
        <w:tc>
          <w:tcPr>
            <w:tcW w:w="1060" w:type="dxa"/>
            <w:vAlign w:val="bottom"/>
            <w:gridSpan w:val="3"/>
          </w:tcPr>
          <w:p>
            <w:pPr>
              <w:ind w:left="120"/>
              <w:spacing w:after="0"/>
              <w:rPr>
                <w:sz w:val="20"/>
                <w:szCs w:val="20"/>
                <w:color w:val="auto"/>
              </w:rPr>
            </w:pPr>
            <w:r>
              <w:rPr>
                <w:rFonts w:ascii="Arial" w:cs="Arial" w:eastAsia="Arial" w:hAnsi="Arial"/>
                <w:sz w:val="11"/>
                <w:szCs w:val="11"/>
                <w:color w:val="auto"/>
              </w:rPr>
              <w:t>March 28,</w:t>
            </w:r>
          </w:p>
        </w:tc>
        <w:tc>
          <w:tcPr>
            <w:tcW w:w="840" w:type="dxa"/>
            <w:vAlign w:val="bottom"/>
            <w:gridSpan w:val="2"/>
          </w:tcPr>
          <w:p>
            <w:pPr>
              <w:ind w:left="100"/>
              <w:spacing w:after="0"/>
              <w:rPr>
                <w:sz w:val="20"/>
                <w:szCs w:val="20"/>
                <w:color w:val="auto"/>
              </w:rPr>
            </w:pPr>
            <w:r>
              <w:rPr>
                <w:rFonts w:ascii="Arial" w:cs="Arial" w:eastAsia="Arial" w:hAnsi="Arial"/>
                <w:sz w:val="11"/>
                <w:szCs w:val="11"/>
                <w:color w:val="auto"/>
              </w:rPr>
              <w:t>April 3,</w:t>
            </w:r>
          </w:p>
        </w:tc>
        <w:tc>
          <w:tcPr>
            <w:tcW w:w="940" w:type="dxa"/>
            <w:vAlign w:val="bottom"/>
          </w:tcPr>
          <w:p>
            <w:pPr>
              <w:jc w:val="right"/>
              <w:ind w:right="179"/>
              <w:spacing w:after="0"/>
              <w:rPr>
                <w:sz w:val="20"/>
                <w:szCs w:val="20"/>
                <w:color w:val="auto"/>
              </w:rPr>
            </w:pPr>
            <w:r>
              <w:rPr>
                <w:rFonts w:ascii="Arial" w:cs="Arial" w:eastAsia="Arial" w:hAnsi="Arial"/>
                <w:sz w:val="11"/>
                <w:szCs w:val="11"/>
                <w:color w:val="auto"/>
              </w:rPr>
              <w:t>March 28,</w:t>
            </w:r>
          </w:p>
        </w:tc>
        <w:tc>
          <w:tcPr>
            <w:tcW w:w="0" w:type="dxa"/>
            <w:vAlign w:val="bottom"/>
          </w:tcPr>
          <w:p>
            <w:pPr>
              <w:spacing w:after="0"/>
              <w:rPr>
                <w:sz w:val="1"/>
                <w:szCs w:val="1"/>
                <w:color w:val="auto"/>
              </w:rPr>
            </w:pPr>
          </w:p>
        </w:tc>
      </w:tr>
      <w:tr>
        <w:trPr>
          <w:trHeight w:val="136"/>
        </w:trPr>
        <w:tc>
          <w:tcPr>
            <w:tcW w:w="65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258"/>
              <w:spacing w:after="0"/>
              <w:rPr>
                <w:sz w:val="20"/>
                <w:szCs w:val="20"/>
                <w:color w:val="auto"/>
              </w:rPr>
            </w:pPr>
            <w:r>
              <w:rPr>
                <w:rFonts w:ascii="Arial" w:cs="Arial" w:eastAsia="Arial" w:hAnsi="Arial"/>
                <w:sz w:val="11"/>
                <w:szCs w:val="11"/>
                <w:color w:val="auto"/>
              </w:rPr>
              <w:t>2021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258"/>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ind w:right="299"/>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11"/>
                <w:szCs w:val="11"/>
                <w:color w:val="auto"/>
              </w:rPr>
            </w:pPr>
          </w:p>
        </w:tc>
        <w:tc>
          <w:tcPr>
            <w:tcW w:w="940" w:type="dxa"/>
            <w:vAlign w:val="bottom"/>
          </w:tcPr>
          <w:p>
            <w:pPr>
              <w:jc w:val="right"/>
              <w:ind w:right="299"/>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720" w:type="dxa"/>
            <w:vAlign w:val="bottom"/>
          </w:tcPr>
          <w:p>
            <w:pPr>
              <w:jc w:val="right"/>
              <w:spacing w:after="0"/>
              <w:rPr>
                <w:sz w:val="20"/>
                <w:szCs w:val="20"/>
                <w:color w:val="auto"/>
              </w:rPr>
            </w:pPr>
            <w:r>
              <w:rPr>
                <w:rFonts w:ascii="Arial" w:cs="Arial" w:eastAsia="Arial" w:hAnsi="Arial"/>
                <w:sz w:val="13"/>
                <w:szCs w:val="13"/>
                <w:color w:val="auto"/>
              </w:rPr>
              <w:t>1.0 %</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99,104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98,120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63.1 %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56.6 %</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58,047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75,355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36.9 %</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43.4 %</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1" w:lineRule="exact"/>
              <w:rPr>
                <w:sz w:val="20"/>
                <w:szCs w:val="20"/>
                <w:color w:val="auto"/>
              </w:rPr>
            </w:pPr>
            <w:r>
              <w:rPr>
                <w:rFonts w:ascii="Arial" w:cs="Arial" w:eastAsia="Arial" w:hAnsi="Arial"/>
                <w:sz w:val="13"/>
                <w:szCs w:val="13"/>
                <w:color w:val="auto"/>
              </w:rPr>
              <w:t>Total Net Revenues</w:t>
            </w:r>
          </w:p>
        </w:tc>
        <w:tc>
          <w:tcPr>
            <w:tcW w:w="720" w:type="dxa"/>
            <w:vAlign w:val="bottom"/>
          </w:tcPr>
          <w:p>
            <w:pPr>
              <w:jc w:val="right"/>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157,151</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173,475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Segment Operating Income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12,491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15,122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15.4 %</w:t>
            </w:r>
          </w:p>
        </w:tc>
        <w:tc>
          <w:tcPr>
            <w:tcW w:w="0" w:type="dxa"/>
            <w:vAlign w:val="bottom"/>
          </w:tcPr>
          <w:p>
            <w:pPr>
              <w:spacing w:after="0"/>
              <w:rPr>
                <w:sz w:val="1"/>
                <w:szCs w:val="1"/>
                <w:color w:val="auto"/>
              </w:rPr>
            </w:pPr>
          </w:p>
        </w:tc>
      </w:tr>
      <w:tr>
        <w:trPr>
          <w:trHeight w:val="177"/>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5,128</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7.2 %</w:t>
            </w:r>
          </w:p>
        </w:tc>
        <w:tc>
          <w:tcPr>
            <w:tcW w:w="0" w:type="dxa"/>
            <w:vAlign w:val="bottom"/>
          </w:tcPr>
          <w:p>
            <w:pPr>
              <w:spacing w:after="0"/>
              <w:rPr>
                <w:sz w:val="1"/>
                <w:szCs w:val="1"/>
                <w:color w:val="auto"/>
              </w:rPr>
            </w:pPr>
          </w:p>
        </w:tc>
      </w:tr>
      <w:tr>
        <w:trPr>
          <w:trHeight w:val="168"/>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17,619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20,512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 xml:space="preserve">Corporate General and Administrative Expenses </w:t>
            </w:r>
            <w:r>
              <w:rPr>
                <w:rFonts w:ascii="Arial" w:cs="Arial" w:eastAsia="Arial" w:hAnsi="Arial"/>
                <w:sz w:val="16"/>
                <w:szCs w:val="16"/>
                <w:color w:val="auto"/>
                <w:vertAlign w:val="superscript"/>
              </w:rPr>
              <w:t>(1)</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(7,009)</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1" w:lineRule="exact"/>
              <w:rPr>
                <w:sz w:val="20"/>
                <w:szCs w:val="20"/>
                <w:color w:val="auto"/>
              </w:rPr>
            </w:pPr>
            <w:r>
              <w:rPr>
                <w:rFonts w:ascii="Arial" w:cs="Arial" w:eastAsia="Arial" w:hAnsi="Arial"/>
                <w:sz w:val="13"/>
                <w:szCs w:val="13"/>
                <w:color w:val="auto"/>
              </w:rPr>
              <w:t>Total Operating Income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10,610</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Adjusted EBITDA</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15,122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Depreciation and Amortization</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19.1 %</w:t>
            </w: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rPr>
                <w:sz w:val="20"/>
                <w:szCs w:val="20"/>
                <w:color w:val="auto"/>
              </w:rPr>
            </w:pPr>
            <w:r>
              <w:rPr>
                <w:rFonts w:ascii="Arial" w:cs="Arial" w:eastAsia="Arial" w:hAnsi="Arial"/>
                <w:sz w:val="13"/>
                <w:szCs w:val="13"/>
                <w:color w:val="auto"/>
              </w:rPr>
              <w:t>Structural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Operating Income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680"/>
              <w:spacing w:after="0"/>
              <w:rPr>
                <w:sz w:val="20"/>
                <w:szCs w:val="20"/>
                <w:color w:val="auto"/>
              </w:rPr>
            </w:pPr>
            <w:r>
              <w:rPr>
                <w:rFonts w:ascii="Arial" w:cs="Arial" w:eastAsia="Arial" w:hAnsi="Arial"/>
                <w:sz w:val="13"/>
                <w:szCs w:val="13"/>
                <w:color w:val="auto"/>
              </w:rPr>
              <w:t>Depreciation and Amortization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3,440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Guaymas fire related expenses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9,043</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15.6 %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 xml:space="preserve">Corporate General and Administrative Expenses </w:t>
            </w:r>
            <w:r>
              <w:rPr>
                <w:rFonts w:ascii="Arial" w:cs="Arial" w:eastAsia="Arial" w:hAnsi="Arial"/>
                <w:sz w:val="16"/>
                <w:szCs w:val="16"/>
                <w:color w:val="auto"/>
                <w:vertAlign w:val="superscript"/>
              </w:rPr>
              <w:t>(1)</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680"/>
              <w:spacing w:after="0"/>
              <w:rPr>
                <w:sz w:val="20"/>
                <w:szCs w:val="20"/>
                <w:color w:val="auto"/>
              </w:rPr>
            </w:pPr>
            <w:r>
              <w:rPr>
                <w:rFonts w:ascii="Arial" w:cs="Arial" w:eastAsia="Arial" w:hAnsi="Arial"/>
                <w:sz w:val="13"/>
                <w:szCs w:val="13"/>
                <w:color w:val="auto"/>
              </w:rPr>
              <w:t>Operating Loss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680"/>
              <w:spacing w:after="0"/>
              <w:rPr>
                <w:sz w:val="20"/>
                <w:szCs w:val="20"/>
                <w:color w:val="auto"/>
              </w:rPr>
            </w:pPr>
            <w:r>
              <w:rPr>
                <w:rFonts w:ascii="Arial" w:cs="Arial" w:eastAsia="Arial" w:hAnsi="Arial"/>
                <w:sz w:val="13"/>
                <w:szCs w:val="13"/>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3"/>
                <w:szCs w:val="13"/>
                <w:color w:val="auto"/>
              </w:rPr>
              <w:t>Stock-Based Compensation Expense</w:t>
            </w: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(3,817)</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880"/>
              <w:spacing w:after="0" w:line="141" w:lineRule="exact"/>
              <w:rPr>
                <w:sz w:val="20"/>
                <w:szCs w:val="20"/>
                <w:color w:val="auto"/>
              </w:rPr>
            </w:pPr>
            <w:r>
              <w:rPr>
                <w:rFonts w:ascii="Arial" w:cs="Arial" w:eastAsia="Arial" w:hAnsi="Arial"/>
                <w:sz w:val="13"/>
                <w:szCs w:val="13"/>
                <w:color w:val="auto"/>
              </w:rPr>
              <w:t>Adjusted EBITDA</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21,140</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23,241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13.5 %</w:t>
            </w:r>
          </w:p>
        </w:tc>
        <w:tc>
          <w:tcPr>
            <w:tcW w:w="1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13.4 %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Arial" w:cs="Arial" w:eastAsia="Arial" w:hAnsi="Arial"/>
                <w:sz w:val="13"/>
                <w:szCs w:val="13"/>
                <w:b w:val="1"/>
                <w:bCs w:val="1"/>
                <w:color w:val="auto"/>
              </w:rPr>
              <w:t>Capital Expenditures</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20" w:type="dxa"/>
            <w:vAlign w:val="bottom"/>
          </w:tcPr>
          <w:p>
            <w:pPr>
              <w:ind w:left="360"/>
              <w:spacing w:after="0"/>
              <w:rPr>
                <w:sz w:val="20"/>
                <w:szCs w:val="20"/>
                <w:color w:val="auto"/>
              </w:rPr>
            </w:pPr>
            <w:r>
              <w:rPr>
                <w:rFonts w:ascii="Arial" w:cs="Arial" w:eastAsia="Arial" w:hAnsi="Arial"/>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624</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Structural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360"/>
              <w:spacing w:after="0"/>
              <w:rPr>
                <w:sz w:val="20"/>
                <w:szCs w:val="20"/>
                <w:color w:val="auto"/>
              </w:rPr>
            </w:pPr>
            <w:r>
              <w:rPr>
                <w:rFonts w:ascii="Arial" w:cs="Arial" w:eastAsia="Arial" w:hAnsi="Arial"/>
                <w:sz w:val="13"/>
                <w:szCs w:val="13"/>
                <w:color w:val="auto"/>
              </w:rPr>
              <w:t>Corporate Administration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20" w:type="dxa"/>
            <w:vAlign w:val="bottom"/>
            <w:tcBorders>
              <w:top w:val="single" w:sz="8" w:color="CCEEFF"/>
              <w:bottom w:val="single" w:sz="8" w:color="CCEEFF"/>
            </w:tcBorders>
            <w:shd w:val="clear" w:color="auto" w:fill="CCEEFF"/>
          </w:tcPr>
          <w:p>
            <w:pPr>
              <w:ind w:left="680"/>
              <w:spacing w:after="0" w:line="147" w:lineRule="exact"/>
              <w:rPr>
                <w:sz w:val="20"/>
                <w:szCs w:val="20"/>
                <w:color w:val="auto"/>
              </w:rPr>
            </w:pPr>
            <w:r>
              <w:rPr>
                <w:rFonts w:ascii="Arial" w:cs="Arial" w:eastAsia="Arial" w:hAnsi="Arial"/>
                <w:sz w:val="13"/>
                <w:szCs w:val="13"/>
                <w:color w:val="auto"/>
              </w:rPr>
              <w:t>Total Capital Expenditures</w:t>
            </w:r>
          </w:p>
        </w:tc>
        <w:tc>
          <w:tcPr>
            <w:tcW w:w="7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Includes costs not allocated to either the Electronic Systems or Structural Systems operating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Electronic Systems</w:t>
      </w:r>
    </w:p>
    <w:p>
      <w:pPr>
        <w:spacing w:after="0" w:line="10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Electronic Systems net revenues in the three months ended April 3, 2021 compared to the three months ended March 28, 2020 increased $1.0 million primarily due to the following:</w:t>
      </w:r>
    </w:p>
    <w:p>
      <w:pPr>
        <w:spacing w:after="0" w:line="49" w:lineRule="exact"/>
        <w:rPr>
          <w:sz w:val="20"/>
          <w:szCs w:val="20"/>
          <w:color w:val="auto"/>
        </w:rPr>
      </w:pPr>
    </w:p>
    <w:p>
      <w:pPr>
        <w:ind w:left="660" w:right="24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$7.4 million higher revenues in our military and space end-use markets due to higher build rates on other military and space platforms; partially offset by</w:t>
      </w:r>
    </w:p>
    <w:p>
      <w:pPr>
        <w:spacing w:after="0" w:line="35"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 million lower revenues in our commercial aerospace end-use markets due to lower build rates on large aircraft platforms, regional and business aircraft platforms, and other commercial aerospace platforms.</w:t>
      </w:r>
    </w:p>
    <w:p>
      <w:pPr>
        <w:spacing w:after="0" w:line="4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Electronic Systems segment operating income in the three months ended April 3, 2021 compared to the three months ended March 28, 2020 decreased $2.6 million primarily due to unfavorable manufacturing volume and unfavorable product mix, partially offset by lower compensation and benefit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Structural Systems</w:t>
      </w:r>
    </w:p>
    <w:p>
      <w:pPr>
        <w:spacing w:after="0" w:line="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Structural Systems net revenues in the three months ended April 3, 2021 compared to the three months ended March 28, 2020 decreased $17.3 million due to the following: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$22.1 million lower revenues in our commercial aerospace end-use markets due to lower build rates on large aircraft platforms and regional and business aircraft platforms; partially offset by</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$4.8 million higher revenues in our military and space end-use markets due to higher build rates on various missile platforms.</w:t>
      </w:r>
    </w:p>
    <w:p>
      <w:pPr>
        <w:spacing w:after="0" w:line="1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Structural Systems segment operating income in the three months ended April 3, 2021 compared to the three months ended March 28, 2020 decreased $0.3 million primarily due to unfavorable manufacturing volume, partially offset by favorable product mix and lower compensation and benefit costs.</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2020, a fire severely damaged our performance center in Guaymas, Mexico, which is part of our Structural Systems segment. There were no injuries, however, property and equipment, inventory, and tooling in this leased facility were damaged. We have insurance coverage and expect the majority, if not all, of these items will be covered, less our deductible. The full financial impact cannot be estimated at this time as we are currently working with our insurance carriers to determine the cause of the fire. Our Guaymas performance center is comprised of two buildings with an aggregate total of 62,000 square feet. The loss of production from the Guaymas performance center is being absorbed by our other existing performance centers. See Note 8 to our condensed consolidated financial statements included in Part I, Item 1 of this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General and Administrative (“CG&amp;A”)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CG&amp;A expenses were essentially flat for the three months ended April 3, 2021 compared to the three months ended March 28,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increase in backlog was primarily in the industrial end-use markets. $555.0 million of total backlog is expected to be delivered over the next 12 months. The following table summarizes our backlog as of April 3, 2021 and December 31, 2020:</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(Dollars in thousands)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color w:val="auto"/>
              </w:rPr>
              <w:t>Change</w:t>
            </w: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color w:val="auto"/>
              </w:rPr>
              <w:t>April 3,</w:t>
            </w:r>
          </w:p>
        </w:tc>
        <w:tc>
          <w:tcPr>
            <w:tcW w:w="220" w:type="dxa"/>
            <w:vAlign w:val="bottom"/>
          </w:tcPr>
          <w:p>
            <w:pPr>
              <w:spacing w:after="0"/>
              <w:rPr>
                <w:sz w:val="12"/>
                <w:szCs w:val="12"/>
                <w:color w:val="auto"/>
              </w:rPr>
            </w:pPr>
          </w:p>
        </w:tc>
        <w:tc>
          <w:tcPr>
            <w:tcW w:w="1220" w:type="dxa"/>
            <w:vAlign w:val="bottom"/>
          </w:tcPr>
          <w:p>
            <w:pPr>
              <w:jc w:val="right"/>
              <w:ind w:right="233"/>
              <w:spacing w:after="0" w:line="14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3"/>
              <w:spacing w:after="0"/>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516,424</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515,396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Military and space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54,099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Arial" w:cs="Arial" w:eastAsia="Arial" w:hAnsi="Arial"/>
                <w:sz w:val="18"/>
                <w:szCs w:val="18"/>
                <w:color w:val="auto"/>
              </w:rPr>
              <w:t>Military and space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130,798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125,519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343,099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debt, the weighted-average interest rate, cash and cash equivalents and available credit facilities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5"/>
                <w:szCs w:val="15"/>
                <w:color w:val="auto"/>
              </w:rPr>
            </w:pPr>
          </w:p>
        </w:tc>
      </w:tr>
      <w:tr>
        <w:trPr>
          <w:trHeight w:val="189"/>
        </w:trPr>
        <w:tc>
          <w:tcPr>
            <w:tcW w:w="7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April 3,</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right"/>
              <w:ind w:right="455"/>
              <w:spacing w:after="0"/>
              <w:rPr>
                <w:sz w:val="20"/>
                <w:szCs w:val="20"/>
                <w:color w:val="auto"/>
              </w:rPr>
            </w:pPr>
            <w:r>
              <w:rPr>
                <w:rFonts w:ascii="Arial" w:cs="Arial" w:eastAsia="Arial" w:hAnsi="Arial"/>
                <w:sz w:val="14"/>
                <w:szCs w:val="14"/>
                <w:color w:val="auto"/>
                <w:w w:val="90"/>
              </w:rPr>
              <w:t>December 31,</w:t>
            </w:r>
          </w:p>
        </w:tc>
      </w:tr>
      <w:tr>
        <w:trPr>
          <w:trHeight w:val="195"/>
        </w:trPr>
        <w:tc>
          <w:tcPr>
            <w:tcW w:w="7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rPr>
              <w:t>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2020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including long-term portion</w:t>
            </w:r>
          </w:p>
        </w:tc>
        <w:tc>
          <w:tcPr>
            <w:tcW w:w="120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7"/>
              </w:rPr>
              <w:t>313.0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320.6</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Weighted-average interest rate on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3.59 %</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interest rate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0" w:type="dxa"/>
            <w:vAlign w:val="bottom"/>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3"/>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56.5</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Unused Revolving Credit Facility</w:t>
            </w:r>
          </w:p>
        </w:tc>
        <w:tc>
          <w:tcPr>
            <w:tcW w:w="1200" w:type="dxa"/>
            <w:vAlign w:val="bottom"/>
            <w:shd w:val="clear" w:color="auto" w:fill="CCEEFF"/>
          </w:tcPr>
          <w:p>
            <w:pPr>
              <w:jc w:val="right"/>
              <w:ind w:right="1017"/>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74.8</w:t>
            </w:r>
          </w:p>
        </w:tc>
      </w:tr>
    </w:tbl>
    <w:p>
      <w:pPr>
        <w:spacing w:after="0" w:line="14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December 2019, we completed the refinancing of a portion of our existing debt by entering into a new revolving credit facility (“2019 Revolving Credit Facility”) to replace the then existing revolving credit facility that was entered into in November 2018 (“2018 Revolving Credit Facility”) and entered into a new term loan (“2019 Term Loan”). The 2019 Revolving Credit Facility is a $100.0 million senior secured revolving credit facility that will mature on December 20, 2024, replacing the $100.0 million 2018 Revolving Credit Facility that would have matured on November 21, 2023. The 2019 Term Loan is a $140.0 million senior secured term loan that will mature on December 20, 2024. We also have an existing $240.0 million senior secured term loan that was entered into in November 2018 that will mature on November 21, 2025 (“2018 Term Loan”). The original amounts available under the 2019 Revolving Credit Facility, 2019 Term Loan, and 2018 Term Loan (collectively, the “Credit Facilities”) in aggregate, totaled $480.0 million. We are required to make installment payments of 1.25% of the original outstanding principal balance of the 2019 Term Loan amount on a quarterly basis, on the last day of the calendar quarter. We made the mandatory quarterly principal prepayment under the 2019 Term Loan during the three months ended April 3, 2021 of $1.8 million. In addition, if we meet the annual excess cash flow threshold, we are required to make an annual additional principal payment on the 2018 Term Loan based on the consolidated adjusted leverage ratio. During the first quarter of 2021, we made the required 2020 annual excess cash flow principal payment of $0.9 million. Further, the undrawn portion of the commitment of the 2019 Revolving Credit Facility is subject to a commitment fee ranging from 0.175% to 0.275%, based upon the consolidated total net adjusted leverage ratio. As of April 3, 2021, we were in compliance with all covenants required under the Credit Facilities. See Note 5 to our condensed consolidated financial statements included in Part I, Item 1 of this Form 10-Q for further information.</w:t>
      </w:r>
    </w:p>
    <w:p>
      <w:pPr>
        <w:spacing w:after="0" w:line="12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drew down $50.0 million on the 2019 Revolving Credit Facility during the first quarter of 2020 to hold as cash on hand, $25.0 million of which was repaid during the fourth quarter of 2020. We made net voluntary prepayments of $5.0 million on the 2019 Revolving Credit Facility during the first quarter of 2021.</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November 2018, we completed credit facilities to replace the then existing credit facilities. The November 2018 credit facilities consisted of the 2018 Term Loan and the 2018 Revolving Credit Facility (collectively, the “2018 Credit Facilities”). We were required to make installment payments of 0.25% of the outstanding principal balance of the 2018 Term Loan amount on a quarterly basis, however, in conjunction with the 2019 refinancing where we paid down $56.0 million on the 2018 Term Loan, it paid all the required quarterly installment payments on the 2018 Term Loan until maturity.</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2015, we entered into interest rate cap hedges that were designated as cash flow hedges, which matured during our second quarter of 2020.</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expect to spend a total of $16.0 million to $18.0 million for capital expenditures in 2021 (excluding capital expenditures we will spend to restore the manufacturing capabilities related to our Guaymas performance center that was severely damaged by fire in June 2020), financed by cash generated from operations, principally to support new contract awards in Electronic Systems and Structural Systems. As part of our strategic plan to become a supplier of a wider range of higher-level assemblies and win new contract awards, additional up-front investment in tooling will be required for newer programs which have higher engineering content and higher levels of complexity in assemblies. However, some portion of the expected capital expenditures in 2021 could be delayed as a result of the COVID-19 pandemic.</w:t>
      </w:r>
    </w:p>
    <w:p>
      <w:pPr>
        <w:spacing w:after="0" w:line="13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continue to depend on operating cash flow and the availability of our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for the three months ended April 3, 2021 was $23.4 million, compared to $12.0 million for the three months ended March 28, 2020. The higher cash used in operating activities during the first three months of 2021 was due to higher contract assets, lower accrued and other liabilities, and higher inventories, partially offset by higher accounts payable.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$4.5 million for the three months ended April 3, 2021, compared to $3.7 million in the three months ended March 28, 2020. The higher net cash used during the first three months of 2021 compared to the prior year period was due to higher purchases of property and equipment.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financing activities was $11.6 million for the three months ended April 3, 2021, compared to net cash provided by financing activities of $41.7 million for the three months ended March 28, 2020. The higher net cash used in financing activities during the first three months of 2021 was mainly due to lower net draw downs on the 2019 Revolving Credit Facility, partially offset by lower repayments of term loans.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2020 Annual Report on Form 10-K. There have been no material changes in any of our critical accounting policies during the three months ended April 3,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main market risk exposure relates to changes in U.S. and U.K. interest rates on our outstanding long-term debt. At April 3, 2021, we had total borrowings of $313.0 million under our Credit Facilities.</w:t>
      </w:r>
    </w:p>
    <w:p>
      <w:pPr>
        <w:spacing w:after="0" w:line="3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2019 Term Loan bears interest, at our option, at a rate equal to either (i) the Eurodollar Rate (defined as the London Interbank Offered Rate [“LIBOR”]) plus an applicable margin ranging from 1.50% to 2.50% per year or (ii) the Base Rate (defined as the highest of [a] Federal Funds Rate plus</w:t>
      </w:r>
    </w:p>
    <w:p>
      <w:pPr>
        <w:spacing w:after="0" w:line="260" w:lineRule="auto"/>
        <w:rPr>
          <w:sz w:val="20"/>
          <w:szCs w:val="20"/>
          <w:color w:val="auto"/>
        </w:rPr>
      </w:pPr>
      <w:r>
        <w:rPr>
          <w:rFonts w:ascii="Arial" w:cs="Arial" w:eastAsia="Arial" w:hAnsi="Arial"/>
          <w:sz w:val="18"/>
          <w:szCs w:val="18"/>
          <w:color w:val="auto"/>
        </w:rPr>
        <w:t>0.50%, [b] Bank of America’s prime rate, and [c] the Eurodollar Rate plus 1.00%) plus an applicable margin ranging from 0.50% to 1.50% per year, in each case based upon the consolidated total net adjusted leverage ratio.</w:t>
      </w:r>
    </w:p>
    <w:p>
      <w:pPr>
        <w:spacing w:after="0" w:line="6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2019 Revolving Credit Facility bears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2018 Term Loan bears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A hypothetical 10% increase or decrease in the interest rate would have an immaterial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9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April 3, 2021 that have materially affected, or are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See Note 8 to our condensed consolidated financial statements included in Part I, Item 1 of this Form 10-Q for a description of our legal proceedings.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Part I, Item 1A of our Annual Report on Form 10-K (“Form 10-K”) for the year ended December 31, 2020 for a discussion of our risk factors. There have been no material changes during the three months ended April 3, 2021 to the risk factors disclosed in our Form 10-K for the year ended December 31,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2.1 Agreement and Plan of Merger, dated as of September 11, 2017, among Ducommun LaBarge Technologies, Inc., LS Holdings Company LLC, and DLS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Company LLC. Incorporated by reference to Exhibit 2.1 to Form 8-K filed on September 11, 2017.</w:t>
        </w:r>
      </w:hyperlink>
    </w:p>
    <w:p>
      <w:pPr>
        <w:spacing w:after="0" w:line="62" w:lineRule="exact"/>
        <w:rPr>
          <w:sz w:val="20"/>
          <w:szCs w:val="20"/>
          <w:color w:val="auto"/>
        </w:rPr>
      </w:pPr>
    </w:p>
    <w:p>
      <w:pPr>
        <w:ind w:left="340" w:hanging="323"/>
        <w:spacing w:after="0" w:line="277"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2.2 Agreement and Plan of Merger, dated as of October 8, 2019, among Ducommun LaBarge Technologies, Inc., DLT Acquisition, Inc., Nobles Parent Inc.,</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and the Stockholder Representative. Incorporated by reference to Exhibit 2.1 to Form 8-K filed on October 9, 2019.</w:t>
        </w:r>
      </w:hyperlink>
    </w:p>
    <w:p>
      <w:pPr>
        <w:spacing w:after="0" w:line="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filed with the Delaware Secretary of State on May 29, 1990. Incorporated by reference to Exhibit 3.1 to Form</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10-K for the year ended December 31, 1990.</w:t>
      </w:r>
    </w:p>
    <w:p>
      <w:pPr>
        <w:spacing w:after="0" w:line="76" w:lineRule="exact"/>
        <w:rPr>
          <w:sz w:val="20"/>
          <w:szCs w:val="20"/>
          <w:color w:val="auto"/>
        </w:rPr>
      </w:pPr>
    </w:p>
    <w:p>
      <w:pPr>
        <w:ind w:left="340" w:right="360" w:hanging="323"/>
        <w:spacing w:after="0" w:line="277" w:lineRule="auto"/>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3.2 Certificate of Amendment of Certificate of Incorporation filed with the Delaware Secretary of State on May 27, 1998. Incorporated by reference to</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Exhibit 3.2 to Form 10-K for the year ended December 31, 1998.</w:t>
        </w:r>
      </w:hyperlink>
    </w:p>
    <w:p>
      <w:pPr>
        <w:spacing w:after="0" w:line="49" w:lineRule="exact"/>
        <w:rPr>
          <w:sz w:val="20"/>
          <w:szCs w:val="20"/>
          <w:color w:val="auto"/>
        </w:rPr>
      </w:pPr>
    </w:p>
    <w:p>
      <w:pPr>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3.3 Bylaws as amended and restated on March 19, 2013. Incorporated by reference to Exhibit 99.1 to Form 8-K dated March 22, 2013.</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3.4 Amendment to Bylaws dated January 5, 2017. Incorporated by reference to Exhibit 99.2 to Form 8-K dated January 9, 2017.</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3.5 Amendment to Bylaws dated February 21, 2018. Incorporated by reference to Exhibit 3.1 to Form 8-K dated February 26, 2018.</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3.6 Amendment to Bylaws dated March 5, 2021. Incorporated by reference to Exhibit 3.1 to Form 8-K dated March 8, 2021.</w:t>
        </w:r>
      </w:hyperlink>
    </w:p>
    <w:p>
      <w:pPr>
        <w:spacing w:after="0" w:line="104" w:lineRule="exact"/>
        <w:rPr>
          <w:sz w:val="20"/>
          <w:szCs w:val="20"/>
          <w:color w:val="auto"/>
        </w:rPr>
      </w:pPr>
    </w:p>
    <w:p>
      <w:pPr>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4.1 Description of Ducommun Incorporated Securities Registered under Section 12 of the Exchange Act. Incorporated by reference to Exhibit 4.1 to Form</w:t>
        </w:r>
      </w:hyperlink>
    </w:p>
    <w:p>
      <w:pPr>
        <w:spacing w:after="0" w:line="46" w:lineRule="exact"/>
        <w:rPr>
          <w:sz w:val="20"/>
          <w:szCs w:val="20"/>
          <w:color w:val="auto"/>
        </w:rPr>
      </w:pPr>
    </w:p>
    <w:p>
      <w:pPr>
        <w:ind w:left="34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10-K for the year ended December 31, 2019.</w:t>
        </w:r>
      </w:hyperlink>
    </w:p>
    <w:p>
      <w:pPr>
        <w:spacing w:after="0" w:line="76" w:lineRule="exact"/>
        <w:rPr>
          <w:sz w:val="20"/>
          <w:szCs w:val="20"/>
          <w:color w:val="auto"/>
        </w:rPr>
      </w:pPr>
    </w:p>
    <w:p>
      <w:pPr>
        <w:ind w:left="420" w:right="180" w:hanging="404"/>
        <w:spacing w:after="0" w:line="259" w:lineRule="auto"/>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10.1 Incremental Term Loan Lender Joinder Agreement and Additional Credit Extension Amendment, dated as of December 20, 2019, by and among</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Ducommun Incorporated, as Borrower, the subsidiaries of the Borrower party thereto, as Guarantors, Bank of America, N.A., as Administrative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Agent, Swingline Lender and an L.C. Issuer, and the lender party thereto. Incorporated by reference to Exhibit 10.1 to Form 8-K filed on December</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20, 2019.</w:t>
        </w:r>
      </w:hyperlink>
    </w:p>
    <w:p>
      <w:pPr>
        <w:spacing w:after="0" w:line="65" w:lineRule="exact"/>
        <w:rPr>
          <w:rFonts w:ascii="Arial" w:cs="Arial" w:eastAsia="Arial" w:hAnsi="Arial"/>
          <w:sz w:val="18"/>
          <w:szCs w:val="18"/>
          <w:u w:val="single" w:color="auto"/>
          <w:color w:val="0000FF"/>
        </w:rPr>
      </w:pPr>
    </w:p>
    <w:p>
      <w:pPr>
        <w:ind w:left="500" w:right="40" w:hanging="485"/>
        <w:spacing w:after="0" w:line="263"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10.2 Credit Agreement, dated as of November 21, 2018, among Ducommun Incorporated, certain of its subsidiaries, Bank of America, N.A., as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administrative agent, swingline lender and issuing bank, and other lenders party thereto. Incorporated by reference to Exhibit 10.1 to Form 8-K filed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on November 26, 2018.</w:t>
        </w:r>
      </w:hyperlink>
    </w:p>
    <w:p>
      <w:pPr>
        <w:spacing w:after="0" w:line="62" w:lineRule="exact"/>
        <w:rPr>
          <w:rFonts w:ascii="Arial" w:cs="Arial" w:eastAsia="Arial" w:hAnsi="Arial"/>
          <w:sz w:val="18"/>
          <w:szCs w:val="18"/>
          <w:u w:val="single" w:color="auto"/>
          <w:color w:val="0000FF"/>
        </w:rPr>
      </w:pPr>
    </w:p>
    <w:p>
      <w:pPr>
        <w:ind w:left="500" w:right="580" w:hanging="485"/>
        <w:spacing w:after="0" w:line="277"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*10.3 2013 Stock Incentive Plan (Amended and Restated May 2, 2018). Incorporated by reference to Appendix A of Definitive Proxy Statement on</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Schedule 14a, filed on March 23, 2018.</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*10.4 2020 Employee Stock Incentive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2020.</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50">
        <w:r>
          <w:rPr>
            <w:rFonts w:ascii="Arial" w:cs="Arial" w:eastAsia="Arial" w:hAnsi="Arial"/>
            <w:sz w:val="16"/>
            <w:szCs w:val="16"/>
            <w:u w:val="single" w:color="auto"/>
            <w:color w:val="0000FF"/>
          </w:rPr>
          <w:t>*10.5 2018 Employee Stock Purchase Plan. Incorporated by reference to Appendix B of Definitive Proxy Statement on Schedule 14a, filed on March 23,</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2018.</w:t>
        </w:r>
      </w:hyperlink>
    </w:p>
    <w:p>
      <w:pPr>
        <w:spacing w:after="0" w:line="89" w:lineRule="exact"/>
        <w:rPr>
          <w:sz w:val="20"/>
          <w:szCs w:val="20"/>
          <w:color w:val="auto"/>
        </w:rPr>
      </w:pPr>
    </w:p>
    <w:p>
      <w:pPr>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*10.6 2020 Employee Stock Purchase Plan. Incorporated by reference to Appendix A of Definitive Proxy Statement on Schedule 14a, filed on March 20,</w:t>
        </w:r>
      </w:hyperlink>
    </w:p>
    <w:p>
      <w:pPr>
        <w:spacing w:after="0" w:line="46" w:lineRule="exact"/>
        <w:rPr>
          <w:sz w:val="20"/>
          <w:szCs w:val="20"/>
          <w:color w:val="auto"/>
        </w:rPr>
      </w:pPr>
    </w:p>
    <w:p>
      <w:pPr>
        <w:ind w:left="500"/>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2020.</w:t>
        </w:r>
      </w:hyperlink>
    </w:p>
    <w:p>
      <w:pPr>
        <w:spacing w:after="0" w:line="76" w:lineRule="exact"/>
        <w:rPr>
          <w:sz w:val="20"/>
          <w:szCs w:val="20"/>
          <w:color w:val="auto"/>
        </w:rPr>
      </w:pPr>
    </w:p>
    <w:p>
      <w:pPr>
        <w:spacing w:after="0"/>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*10.7 Form of Stock Option Agreement for 2016 and earlier. Incorporated by reference to Exhibit 10.8 to Form 10-K for the year ended December 31,</w:t>
        </w:r>
      </w:hyperlink>
    </w:p>
    <w:p>
      <w:pPr>
        <w:spacing w:after="0" w:line="35" w:lineRule="exact"/>
        <w:rPr>
          <w:sz w:val="20"/>
          <w:szCs w:val="20"/>
          <w:color w:val="auto"/>
        </w:rPr>
      </w:pPr>
    </w:p>
    <w:p>
      <w:pPr>
        <w:ind w:left="500"/>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2003.</w:t>
        </w:r>
      </w:hyperlink>
    </w:p>
    <w:p>
      <w:pPr>
        <w:spacing w:after="0" w:line="89" w:lineRule="exact"/>
        <w:rPr>
          <w:sz w:val="20"/>
          <w:szCs w:val="20"/>
          <w:color w:val="auto"/>
        </w:rPr>
      </w:pPr>
    </w:p>
    <w:p>
      <w:pPr>
        <w:spacing w:after="0"/>
        <w:rPr>
          <w:rFonts w:ascii="Arial" w:cs="Arial" w:eastAsia="Arial" w:hAnsi="Arial"/>
          <w:sz w:val="17"/>
          <w:szCs w:val="17"/>
          <w:u w:val="single" w:color="auto"/>
          <w:color w:val="0000FF"/>
        </w:rPr>
      </w:pPr>
      <w:hyperlink r:id="rId53">
        <w:r>
          <w:rPr>
            <w:rFonts w:ascii="Arial" w:cs="Arial" w:eastAsia="Arial" w:hAnsi="Arial"/>
            <w:sz w:val="17"/>
            <w:szCs w:val="17"/>
            <w:u w:val="single" w:color="auto"/>
            <w:color w:val="0000FF"/>
          </w:rPr>
          <w:t>*10.8 Form of Stock Option Agreement for 2017. Incorporated by reference to Exhibit 10.5 to Form 10-K for the year ended December 31, 2016.</w:t>
        </w:r>
      </w:hyperlink>
    </w:p>
    <w:p>
      <w:pPr>
        <w:spacing w:after="0" w:line="115" w:lineRule="exact"/>
        <w:rPr>
          <w:sz w:val="20"/>
          <w:szCs w:val="20"/>
          <w:color w:val="auto"/>
        </w:rPr>
      </w:pPr>
    </w:p>
    <w:p>
      <w:pPr>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*10.9 Form of Stock Option Agreement for 2018 and after. Incorporated by reference to Exhibit 4.7 to Form S-8, filed on May 10, 2018.</w:t>
        </w:r>
      </w:hyperlink>
    </w:p>
    <w:p>
      <w:pPr>
        <w:spacing w:after="0" w:line="90" w:lineRule="exact"/>
        <w:rPr>
          <w:sz w:val="20"/>
          <w:szCs w:val="20"/>
          <w:color w:val="auto"/>
        </w:rPr>
      </w:pPr>
    </w:p>
    <w:p>
      <w:pPr>
        <w:ind w:left="580" w:right="520" w:hanging="566"/>
        <w:spacing w:after="0" w:line="277"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*10.10 Form of Restricted Stock Unit Agreement for 2017 through 2019. Incorporated by reference to Exhibit 10.9 to Form 10-K for the year ended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December 31, 2016.</w:t>
        </w:r>
      </w:hyperlink>
    </w:p>
    <w:p>
      <w:pPr>
        <w:spacing w:after="0" w:line="62" w:lineRule="exact"/>
        <w:rPr>
          <w:sz w:val="20"/>
          <w:szCs w:val="20"/>
          <w:color w:val="auto"/>
        </w:rPr>
      </w:pPr>
    </w:p>
    <w:p>
      <w:pPr>
        <w:ind w:left="580" w:right="120" w:hanging="566"/>
        <w:spacing w:after="0" w:line="277" w:lineRule="auto"/>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*10.11 Performance Restricted Stock Unit Agreement dated January 23, 2017 between Ducommun Incorporated and Stephen G. Oswald. Incorporated by</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reference to Exhibit 10.11 to Form 10-K for the year ended December 31, 2016.</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*10.12 Form of Performance Stock Unit Agreement for 2020 and after. Incorporated by reference to Exhibit 10.18 to Form 10-Q for the period ended June</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57">
        <w:r>
          <w:rPr>
            <w:rFonts w:ascii="Arial" w:cs="Arial" w:eastAsia="Arial" w:hAnsi="Arial"/>
            <w:sz w:val="18"/>
            <w:szCs w:val="18"/>
            <w:u w:val="single" w:color="auto"/>
            <w:color w:val="0000FF"/>
          </w:rPr>
          <w:t>27, 2020.</w:t>
        </w:r>
      </w:hyperlink>
    </w:p>
    <w:p>
      <w:pPr>
        <w:spacing w:after="0" w:line="76" w:lineRule="exact"/>
        <w:rPr>
          <w:sz w:val="20"/>
          <w:szCs w:val="20"/>
          <w:color w:val="auto"/>
        </w:rPr>
      </w:pPr>
    </w:p>
    <w:p>
      <w:pPr>
        <w:ind w:left="580" w:hanging="566"/>
        <w:spacing w:after="0" w:line="277" w:lineRule="auto"/>
        <w:rPr>
          <w:rFonts w:ascii="Arial" w:cs="Arial" w:eastAsia="Arial" w:hAnsi="Arial"/>
          <w:sz w:val="18"/>
          <w:szCs w:val="18"/>
          <w:u w:val="single" w:color="auto"/>
          <w:color w:val="0000FF"/>
        </w:rPr>
      </w:pPr>
      <w:hyperlink r:id="rId58">
        <w:r>
          <w:rPr>
            <w:rFonts w:ascii="Arial" w:cs="Arial" w:eastAsia="Arial" w:hAnsi="Arial"/>
            <w:sz w:val="18"/>
            <w:szCs w:val="18"/>
            <w:u w:val="single" w:color="auto"/>
            <w:color w:val="0000FF"/>
          </w:rPr>
          <w:t>*10.13 Form of Restricted Stock Unit Agreement for Non-Qualified Deferred Compensation Plan Participants for 2020 and after. Incorporated by reference</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to Exhibit 10.19 to Form 10-Q for the period ended June 27, 2020.</w:t>
        </w:r>
      </w:hyperlink>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spacing w:after="0"/>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*10.14 Form of Restricted Stock Unit Agreement for 2020 and after. Incorporated by reference to Exhibit 10.20 to Form 10-Q for the period ended June 27,</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2020.</w:t>
        </w:r>
      </w:hyperlink>
    </w:p>
    <w:p>
      <w:pPr>
        <w:spacing w:after="0" w:line="76" w:lineRule="exact"/>
        <w:rPr>
          <w:sz w:val="20"/>
          <w:szCs w:val="20"/>
          <w:color w:val="auto"/>
        </w:rPr>
      </w:pPr>
    </w:p>
    <w:p>
      <w:pPr>
        <w:spacing w:after="0"/>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*10.15 Form of Stock Option Agreement for 2020 and after. Incorporated by reference to Exhibit 10.21 to Form 10-Q for the period ended June 27, 2020.</w:t>
        </w:r>
      </w:hyperlink>
    </w:p>
    <w:p>
      <w:pPr>
        <w:spacing w:after="0" w:line="127" w:lineRule="exact"/>
        <w:rPr>
          <w:sz w:val="20"/>
          <w:szCs w:val="20"/>
          <w:color w:val="auto"/>
        </w:rPr>
      </w:pPr>
    </w:p>
    <w:p>
      <w:pPr>
        <w:ind w:left="580" w:right="360" w:hanging="566"/>
        <w:spacing w:after="0" w:line="277"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*10.16 Form of Performance Restricted Stock Unit Agreement for 2020. Incorporated by reference to Exhibit 10.22 to Form 10-Q for the period ended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June 27, 2020.</w:t>
        </w:r>
      </w:hyperlink>
    </w:p>
    <w:p>
      <w:pPr>
        <w:spacing w:after="0" w:line="62"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*10.17</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85" w:lineRule="exact"/>
        <w:rPr>
          <w:sz w:val="20"/>
          <w:szCs w:val="20"/>
          <w:color w:val="auto"/>
        </w:rPr>
      </w:pPr>
    </w:p>
    <w:tbl>
      <w:tblPr>
        <w:tblLayout w:type="fixed"/>
        <w:tblInd w:w="2460" w:type="dxa"/>
        <w:tblCellMar>
          <w:top w:w="0" w:type="dxa"/>
          <w:left w:w="0" w:type="dxa"/>
          <w:bottom w:w="0" w:type="dxa"/>
          <w:right w:w="0" w:type="dxa"/>
        </w:tblCellMar>
      </w:tblPr>
      <w:tr>
        <w:trPr>
          <w:trHeight w:val="207"/>
        </w:trPr>
        <w:tc>
          <w:tcPr>
            <w:tcW w:w="3040" w:type="dxa"/>
            <w:vAlign w:val="bottom"/>
            <w:gridSpan w:val="2"/>
          </w:tcPr>
          <w:p>
            <w:pPr>
              <w:spacing w:after="0"/>
              <w:rPr>
                <w:sz w:val="20"/>
                <w:szCs w:val="20"/>
                <w:color w:val="auto"/>
              </w:rPr>
            </w:pPr>
            <w:r>
              <w:rPr>
                <w:rFonts w:ascii="Arial" w:cs="Arial" w:eastAsia="Arial" w:hAnsi="Arial"/>
                <w:sz w:val="18"/>
                <w:szCs w:val="18"/>
                <w:color w:val="auto"/>
              </w:rPr>
              <w:t>Director/Officer</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w w:val="92"/>
              </w:rPr>
              <w:t>Date of Agreement</w:t>
            </w:r>
          </w:p>
        </w:tc>
      </w:tr>
      <w:tr>
        <w:trPr>
          <w:trHeight w:val="20"/>
        </w:trPr>
        <w:tc>
          <w:tcPr>
            <w:tcW w:w="11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9"/>
        </w:trPr>
        <w:tc>
          <w:tcPr>
            <w:tcW w:w="304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March 19, 2013</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Shirley G. Drazba</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October 18, 2018</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Robert C. Ducommun</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w w:val="88"/>
              </w:rPr>
              <w:t>December 31, 1985</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Dean M. Flatt</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w w:val="94"/>
              </w:rPr>
              <w:t>November 5, 2009</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Jay L. Haberland</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February 2, 2009</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Stephen G. Oswald</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23, 2017</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October 1, 2015</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Rosalie F. Rogers</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July 24, 2008</w:t>
            </w: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24, 2020</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2700" w:type="dxa"/>
            <w:vAlign w:val="bottom"/>
            <w:gridSpan w:val="3"/>
          </w:tcPr>
          <w:p>
            <w:pPr>
              <w:ind w:left="1280"/>
              <w:spacing w:after="0"/>
              <w:rPr>
                <w:sz w:val="20"/>
                <w:szCs w:val="20"/>
                <w:color w:val="auto"/>
              </w:rPr>
            </w:pPr>
            <w:r>
              <w:rPr>
                <w:rFonts w:ascii="Arial" w:cs="Arial" w:eastAsia="Arial" w:hAnsi="Arial"/>
                <w:sz w:val="18"/>
                <w:szCs w:val="18"/>
                <w:color w:val="auto"/>
              </w:rPr>
              <w:t>January 1, 2016</w:t>
            </w:r>
          </w:p>
        </w:tc>
      </w:tr>
    </w:tbl>
    <w:p>
      <w:pPr>
        <w:spacing w:after="0" w:line="94" w:lineRule="exact"/>
        <w:rPr>
          <w:sz w:val="20"/>
          <w:szCs w:val="20"/>
          <w:color w:val="auto"/>
        </w:rPr>
      </w:pPr>
    </w:p>
    <w:p>
      <w:pPr>
        <w:ind w:left="580" w:right="220" w:hanging="566"/>
        <w:spacing w:after="0" w:line="277"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*10.18 Directors’ Deferred Compensation and Retirement Plan, as amended and restated February 2, 2010. Incorporated by reference to Exhibit 10.15 to</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Form 10-K for the year ended December 31, 2009.</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*10.19 Non Qualified Deferred Compensation. Incorporated by reference to Exhibit 4.6 to Form S-8 dated November 26, 2019.</w:t>
        </w:r>
      </w:hyperlink>
    </w:p>
    <w:p>
      <w:pPr>
        <w:spacing w:after="0" w:line="104" w:lineRule="exact"/>
        <w:rPr>
          <w:sz w:val="20"/>
          <w:szCs w:val="20"/>
          <w:color w:val="auto"/>
        </w:rPr>
      </w:pPr>
    </w:p>
    <w:p>
      <w:pPr>
        <w:ind w:left="580" w:right="100" w:hanging="566"/>
        <w:spacing w:after="0" w:line="277"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*10.20 Key Executive Severance Agreement between Ducommun Incorporated and Stephen G. Oswald dated January 23, 2017. Incorporated by reference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to Exhibit 99.1 to Form 8-K dated January 27, 2017.</w:t>
        </w:r>
      </w:hyperlink>
    </w:p>
    <w:p>
      <w:pPr>
        <w:spacing w:after="0" w:line="49" w:lineRule="exact"/>
        <w:rPr>
          <w:sz w:val="20"/>
          <w:szCs w:val="20"/>
          <w:color w:val="auto"/>
        </w:rPr>
      </w:pPr>
    </w:p>
    <w:p>
      <w:pPr>
        <w:ind w:left="580" w:right="20" w:hanging="566"/>
        <w:spacing w:after="0" w:line="263"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*10.21 Form of Key Executive Severance Agreement between Ducommun Incorporated and each of the individuals listed below. Incorporated by reference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to Exhibit 99.2 to Form 8-K dated January 27, 2017. All of the Key Executive Severance Agreements are identical except for the name of the</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person, the address for notice, and the date of the Agreement:</w:t>
        </w:r>
      </w:hyperlink>
    </w:p>
    <w:p>
      <w:pPr>
        <w:spacing w:after="0" w:line="72" w:lineRule="exact"/>
        <w:rPr>
          <w:rFonts w:ascii="Arial" w:cs="Arial" w:eastAsia="Arial" w:hAnsi="Arial"/>
          <w:sz w:val="18"/>
          <w:szCs w:val="18"/>
          <w:u w:val="single" w:color="auto"/>
          <w:color w:val="0000FF"/>
        </w:rPr>
      </w:pPr>
    </w:p>
    <w:tbl>
      <w:tblPr>
        <w:tblLayout w:type="fixed"/>
        <w:tblInd w:w="1720" w:type="dxa"/>
        <w:tblCellMar>
          <w:top w:w="0" w:type="dxa"/>
          <w:left w:w="0" w:type="dxa"/>
          <w:bottom w:w="0" w:type="dxa"/>
          <w:right w:w="0" w:type="dxa"/>
        </w:tblCellMar>
      </w:tblPr>
      <w:tr>
        <w:trPr>
          <w:trHeight w:val="207"/>
        </w:trPr>
        <w:tc>
          <w:tcPr>
            <w:tcW w:w="30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89"/>
              </w:rPr>
              <w:t>Date of Agreement</w:t>
            </w:r>
          </w:p>
        </w:tc>
      </w:tr>
      <w:tr>
        <w:trPr>
          <w:trHeight w:val="20"/>
        </w:trPr>
        <w:tc>
          <w:tcPr>
            <w:tcW w:w="48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49"/>
        </w:trPr>
        <w:tc>
          <w:tcPr>
            <w:tcW w:w="3060" w:type="dxa"/>
            <w:vAlign w:val="bottom"/>
            <w:gridSpan w:val="2"/>
          </w:tcPr>
          <w:p>
            <w:pPr>
              <w:spacing w:after="0"/>
              <w:rPr>
                <w:sz w:val="20"/>
                <w:szCs w:val="20"/>
                <w:color w:val="auto"/>
              </w:rPr>
            </w:pPr>
            <w:r>
              <w:rPr>
                <w:rFonts w:ascii="Arial" w:cs="Arial" w:eastAsia="Arial" w:hAnsi="Arial"/>
                <w:sz w:val="18"/>
                <w:szCs w:val="18"/>
                <w:color w:val="auto"/>
              </w:rPr>
              <w:t>Jerry L. Redondo</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r>
        <w:trPr>
          <w:trHeight w:val="229"/>
        </w:trPr>
        <w:tc>
          <w:tcPr>
            <w:tcW w:w="3060" w:type="dxa"/>
            <w:vAlign w:val="bottom"/>
            <w:gridSpan w:val="2"/>
          </w:tcPr>
          <w:p>
            <w:pPr>
              <w:spacing w:after="0"/>
              <w:rPr>
                <w:sz w:val="20"/>
                <w:szCs w:val="20"/>
                <w:color w:val="auto"/>
              </w:rPr>
            </w:pPr>
            <w:r>
              <w:rPr>
                <w:rFonts w:ascii="Arial" w:cs="Arial" w:eastAsia="Arial" w:hAnsi="Arial"/>
                <w:sz w:val="18"/>
                <w:szCs w:val="18"/>
                <w:color w:val="auto"/>
              </w:rPr>
              <w:t>Rosalie F. Rogers</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Rajiv A. Tata</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24, 2020</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Christopher D. Wampler</w:t>
            </w:r>
          </w:p>
        </w:tc>
        <w:tc>
          <w:tcPr>
            <w:tcW w:w="2680" w:type="dxa"/>
            <w:vAlign w:val="bottom"/>
            <w:gridSpan w:val="2"/>
          </w:tcPr>
          <w:p>
            <w:pPr>
              <w:ind w:left="1300"/>
              <w:spacing w:after="0"/>
              <w:rPr>
                <w:sz w:val="20"/>
                <w:szCs w:val="20"/>
                <w:color w:val="auto"/>
              </w:rPr>
            </w:pPr>
            <w:r>
              <w:rPr>
                <w:rFonts w:ascii="Arial" w:cs="Arial" w:eastAsia="Arial" w:hAnsi="Arial"/>
                <w:sz w:val="18"/>
                <w:szCs w:val="18"/>
                <w:color w:val="auto"/>
                <w:w w:val="97"/>
              </w:rPr>
              <w:t>January 23, 2017</w:t>
            </w:r>
          </w:p>
        </w:tc>
      </w:tr>
    </w:tbl>
    <w:p>
      <w:pPr>
        <w:spacing w:after="0" w:line="94" w:lineRule="exact"/>
        <w:rPr>
          <w:rFonts w:ascii="Arial" w:cs="Arial" w:eastAsia="Arial" w:hAnsi="Arial"/>
          <w:sz w:val="18"/>
          <w:szCs w:val="18"/>
          <w:u w:val="single" w:color="auto"/>
          <w:color w:val="0000FF"/>
        </w:rPr>
      </w:pPr>
    </w:p>
    <w:p>
      <w:pPr>
        <w:ind w:left="580" w:right="440" w:hanging="566"/>
        <w:spacing w:after="0" w:line="277"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*10.22 Employment Letter Agreement dated January 3, 2017 between Ducommun Incorporated and Stephen G. Oswald. Incorporated by reference to</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Exhibit 99.1 to Form 8-K dated January 9, 2017.</w:t>
        </w:r>
      </w:hyperlink>
    </w:p>
    <w:p>
      <w:pPr>
        <w:spacing w:after="0" w:line="49" w:lineRule="exact"/>
        <w:rPr>
          <w:sz w:val="20"/>
          <w:szCs w:val="20"/>
          <w:color w:val="auto"/>
        </w:rPr>
      </w:pPr>
    </w:p>
    <w:p>
      <w:pPr>
        <w:spacing w:after="0"/>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*10.23 Employment Letter Agreement dated December 19, 2016 between Ducommun Incorporated and Amy M. Paul. Incorporated by reference to Exhibit</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10.19 to Form 10-K for the year ended December 31, 2016.</w:t>
        </w:r>
      </w:hyperlink>
    </w:p>
    <w:p>
      <w:pPr>
        <w:spacing w:after="0" w:line="89" w:lineRule="exact"/>
        <w:rPr>
          <w:sz w:val="20"/>
          <w:szCs w:val="20"/>
          <w:color w:val="auto"/>
        </w:rPr>
      </w:pPr>
    </w:p>
    <w:p>
      <w:pPr>
        <w:ind w:left="580" w:right="160" w:hanging="566"/>
        <w:spacing w:after="0" w:line="277"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*10.24 Transition Services Letter Agreement dated January 10, 2017 between Ducommun Incorporated and James S. Heiser. Incorporated by reference to</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Exhibit 99.1 to Form 8-K filed on January 17, 2017.</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*10.25 Separation and Release Agreement dated May 14, 2018 between Ducommun Incorporated and Amy M. Paul. Incorporated by reference to Exhibit</w:t>
        </w:r>
      </w:hyperlink>
    </w:p>
    <w:p>
      <w:pPr>
        <w:spacing w:after="0" w:line="46" w:lineRule="exact"/>
        <w:rPr>
          <w:sz w:val="20"/>
          <w:szCs w:val="20"/>
          <w:color w:val="auto"/>
        </w:rPr>
      </w:pPr>
    </w:p>
    <w:p>
      <w:pPr>
        <w:ind w:left="580"/>
        <w:spacing w:after="0"/>
        <w:rPr>
          <w:rFonts w:ascii="Arial" w:cs="Arial" w:eastAsia="Arial" w:hAnsi="Arial"/>
          <w:sz w:val="18"/>
          <w:szCs w:val="18"/>
          <w:u w:val="single" w:color="auto"/>
          <w:color w:val="0000FF"/>
        </w:rPr>
      </w:pPr>
      <w:hyperlink r:id="rId71">
        <w:r>
          <w:rPr>
            <w:rFonts w:ascii="Arial" w:cs="Arial" w:eastAsia="Arial" w:hAnsi="Arial"/>
            <w:sz w:val="18"/>
            <w:szCs w:val="18"/>
            <w:u w:val="single" w:color="auto"/>
            <w:color w:val="0000FF"/>
          </w:rPr>
          <w:t>10.1 to Form 8-K filed on May 23, 2018.</w:t>
        </w:r>
      </w:hyperlink>
    </w:p>
    <w:p>
      <w:pPr>
        <w:spacing w:after="0" w:line="89" w:lineRule="exact"/>
        <w:rPr>
          <w:sz w:val="20"/>
          <w:szCs w:val="20"/>
          <w:color w:val="auto"/>
        </w:rPr>
      </w:pPr>
    </w:p>
    <w:p>
      <w:pPr>
        <w:ind w:left="580" w:right="340" w:hanging="566"/>
        <w:spacing w:after="0" w:line="277" w:lineRule="auto"/>
        <w:rPr>
          <w:rFonts w:ascii="Arial" w:cs="Arial" w:eastAsia="Arial" w:hAnsi="Arial"/>
          <w:sz w:val="18"/>
          <w:szCs w:val="18"/>
          <w:u w:val="single" w:color="auto"/>
          <w:color w:val="0000FF"/>
        </w:rPr>
      </w:pPr>
      <w:hyperlink r:id="rId72">
        <w:r>
          <w:rPr>
            <w:rFonts w:ascii="Arial" w:cs="Arial" w:eastAsia="Arial" w:hAnsi="Arial"/>
            <w:sz w:val="18"/>
            <w:szCs w:val="18"/>
            <w:u w:val="single" w:color="auto"/>
            <w:color w:val="0000FF"/>
          </w:rPr>
          <w:t>*10.26 Separation and Release Agreement dated June 26, 2019 between Ducommun Incorporated and Douglas L. Groves. Incorporated by reference to</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Exhibit 10.1 to Form 8-K filed on June 28, 2019.</w:t>
        </w:r>
      </w:hyperlink>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83" w:lineRule="exact"/>
        <w:rPr>
          <w:sz w:val="20"/>
          <w:szCs w:val="20"/>
          <w:color w:val="auto"/>
        </w:rPr>
      </w:pPr>
    </w:p>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31.1 Certification of Principal Executive Officer.</w:t>
        </w:r>
      </w:hyperlink>
    </w:p>
    <w:p>
      <w:pPr>
        <w:spacing w:after="0" w:line="90" w:lineRule="exact"/>
        <w:rPr>
          <w:sz w:val="20"/>
          <w:szCs w:val="20"/>
          <w:color w:val="auto"/>
        </w:rPr>
      </w:pPr>
    </w:p>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31.2 Certification of Principal Financial Officer.</w:t>
        </w:r>
      </w:hyperlink>
    </w:p>
    <w:p>
      <w:pPr>
        <w:spacing w:after="0" w:line="104" w:lineRule="exact"/>
        <w:rPr>
          <w:sz w:val="20"/>
          <w:szCs w:val="20"/>
          <w:color w:val="auto"/>
        </w:rPr>
      </w:pPr>
    </w:p>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32 Certification Pursuant to 18 U.S.C. Section 1350, as Adopted Pursuant to Section 906 of the Sarbanes-Oxley Act of 2002.</w:t>
        </w:r>
      </w:hyperlink>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tcPr>
          <w:p>
            <w:pPr>
              <w:ind w:left="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760" w:type="dxa"/>
            <w:vAlign w:val="bottom"/>
          </w:tcPr>
          <w:p>
            <w:pPr>
              <w:spacing w:after="0"/>
              <w:rPr>
                <w:sz w:val="20"/>
                <w:szCs w:val="20"/>
                <w:color w:val="auto"/>
              </w:rPr>
            </w:pPr>
          </w:p>
        </w:tc>
        <w:tc>
          <w:tcPr>
            <w:tcW w:w="10100" w:type="dxa"/>
            <w:vAlign w:val="bottom"/>
          </w:tcPr>
          <w:p>
            <w:pPr>
              <w:ind w:left="540"/>
              <w:spacing w:after="0"/>
              <w:rPr>
                <w:sz w:val="20"/>
                <w:szCs w:val="20"/>
                <w:color w:val="auto"/>
              </w:rPr>
            </w:pPr>
            <w:r>
              <w:rPr>
                <w:rFonts w:ascii="Arial" w:cs="Arial" w:eastAsia="Arial" w:hAnsi="Arial"/>
                <w:sz w:val="18"/>
                <w:szCs w:val="18"/>
                <w:color w:val="auto"/>
              </w:rPr>
              <w:t>within the Inline XBRL</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tcPr>
          <w:p>
            <w:pPr>
              <w:ind w:left="100"/>
              <w:spacing w:after="0"/>
              <w:rPr>
                <w:sz w:val="20"/>
                <w:szCs w:val="20"/>
                <w:color w:val="auto"/>
              </w:rPr>
            </w:pPr>
            <w:r>
              <w:rPr>
                <w:rFonts w:ascii="Arial" w:cs="Arial" w:eastAsia="Arial" w:hAnsi="Arial"/>
                <w:sz w:val="18"/>
                <w:szCs w:val="18"/>
                <w:color w:val="auto"/>
              </w:rPr>
              <w:t>Inline XBRL Taxonomy Extension Schema</w:t>
            </w:r>
          </w:p>
        </w:tc>
      </w:tr>
      <w:tr>
        <w:trPr>
          <w:trHeight w:val="311"/>
        </w:trPr>
        <w:tc>
          <w:tcPr>
            <w:tcW w:w="76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tcPr>
          <w:p>
            <w:pPr>
              <w:ind w:left="80"/>
              <w:spacing w:after="0"/>
              <w:rPr>
                <w:sz w:val="20"/>
                <w:szCs w:val="20"/>
                <w:color w:val="auto"/>
              </w:rPr>
            </w:pPr>
            <w:r>
              <w:rPr>
                <w:rFonts w:ascii="Arial" w:cs="Arial" w:eastAsia="Arial" w:hAnsi="Arial"/>
                <w:sz w:val="18"/>
                <w:szCs w:val="18"/>
                <w:color w:val="auto"/>
              </w:rPr>
              <w:t>Inline XBRL Taxonomy Extension Definition Linkbase</w:t>
            </w:r>
          </w:p>
        </w:tc>
      </w:tr>
      <w:tr>
        <w:trPr>
          <w:trHeight w:val="297"/>
        </w:trPr>
        <w:tc>
          <w:tcPr>
            <w:tcW w:w="76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w:t>
            </w:r>
          </w:p>
        </w:tc>
      </w:tr>
      <w:tr>
        <w:trPr>
          <w:trHeight w:val="310"/>
        </w:trPr>
        <w:tc>
          <w:tcPr>
            <w:tcW w:w="76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tcPr>
          <w:p>
            <w:pPr>
              <w:ind w:left="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May 4, 2021</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G. Oswald</w:t>
            </w:r>
          </w:p>
        </w:tc>
      </w:tr>
      <w:tr>
        <w:trPr>
          <w:trHeight w:val="222"/>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Stephen G. Oswald</w:t>
            </w:r>
          </w:p>
        </w:tc>
      </w:tr>
      <w:tr>
        <w:trPr>
          <w:trHeight w:val="230"/>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283"/>
        </w:trPr>
        <w:tc>
          <w:tcPr>
            <w:tcW w:w="3420" w:type="dxa"/>
            <w:vAlign w:val="bottom"/>
          </w:tcPr>
          <w:p>
            <w:pPr>
              <w:spacing w:after="0"/>
              <w:rPr>
                <w:sz w:val="20"/>
                <w:szCs w:val="20"/>
                <w:color w:val="auto"/>
              </w:rPr>
            </w:pPr>
            <w:r>
              <w:rPr>
                <w:rFonts w:ascii="Arial" w:cs="Arial" w:eastAsia="Arial" w:hAnsi="Arial"/>
                <w:sz w:val="18"/>
                <w:szCs w:val="18"/>
                <w:color w:val="auto"/>
              </w:rPr>
              <w:t>Date: May 4, 2021</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D. Wampler</w:t>
            </w:r>
          </w:p>
        </w:tc>
      </w:tr>
      <w:tr>
        <w:trPr>
          <w:trHeight w:val="222"/>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Christopher D. Wampler</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w w:val="99"/>
              </w:rPr>
              <w:t>Vice President, Chief Financial Officer, Controller and Treasurer</w:t>
            </w:r>
          </w:p>
        </w:tc>
      </w:tr>
      <w:tr>
        <w:trPr>
          <w:trHeight w:val="230"/>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21"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of Ducommun Incorporated (the “registrant”) on Form 10-Q for the period ended April 3, 2021;</w:t>
      </w:r>
    </w:p>
    <w:p>
      <w:pPr>
        <w:spacing w:after="0" w:line="10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Arial" w:cs="Arial" w:eastAsia="Arial" w:hAnsi="Arial"/>
          <w:sz w:val="16"/>
          <w:szCs w:val="16"/>
          <w:color w:val="auto"/>
        </w:rPr>
      </w:pPr>
    </w:p>
    <w:p>
      <w:pPr>
        <w:ind w:left="660" w:right="80" w:hanging="328"/>
        <w:spacing w:after="0" w:line="33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960" w:right="80" w:hanging="656"/>
        <w:spacing w:after="0" w:line="263" w:lineRule="auto"/>
        <w:tabs>
          <w:tab w:leader="none" w:pos="19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D. Wampler, certify that:</w:t>
      </w:r>
    </w:p>
    <w:p>
      <w:pPr>
        <w:spacing w:after="0" w:line="1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of Ducommun Incorporated (the “registrant”) on Form 10-Q for the period ended April 3, 2021;</w:t>
      </w:r>
    </w:p>
    <w:p>
      <w:pPr>
        <w:spacing w:after="0" w:line="9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1960" w:right="80" w:hanging="656"/>
        <w:spacing w:after="0" w:line="286" w:lineRule="auto"/>
        <w:tabs>
          <w:tab w:leader="none" w:pos="195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660" w:right="8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6"/>
          <w:szCs w:val="16"/>
          <w:color w:val="auto"/>
        </w:rPr>
      </w:pPr>
    </w:p>
    <w:p>
      <w:pPr>
        <w:ind w:left="1960" w:right="80" w:hanging="656"/>
        <w:spacing w:after="0" w:line="263" w:lineRule="auto"/>
        <w:tabs>
          <w:tab w:leader="none" w:pos="19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97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D. Wampler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Controller and Treasurer</w:t>
      </w:r>
    </w:p>
    <w:p>
      <w:pPr>
        <w:sectPr>
          <w:pgSz w:w="11900" w:h="16838" w:orient="portrait"/>
          <w:cols w:equalWidth="0" w:num="1">
            <w:col w:w="11240"/>
          </w:cols>
          <w:pgMar w:left="320" w:top="89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7" w:lineRule="exact"/>
        <w:rPr>
          <w:sz w:val="20"/>
          <w:szCs w:val="20"/>
          <w:color w:val="auto"/>
        </w:rPr>
      </w:pPr>
    </w:p>
    <w:p>
      <w:pPr>
        <w:ind w:right="160" w:firstLine="445"/>
        <w:spacing w:after="0" w:line="311" w:lineRule="auto"/>
        <w:rPr>
          <w:sz w:val="20"/>
          <w:szCs w:val="20"/>
          <w:color w:val="auto"/>
        </w:rPr>
      </w:pPr>
      <w:r>
        <w:rPr>
          <w:rFonts w:ascii="Arial" w:cs="Arial" w:eastAsia="Arial" w:hAnsi="Arial"/>
          <w:sz w:val="16"/>
          <w:szCs w:val="16"/>
          <w:color w:val="auto"/>
        </w:rPr>
        <w:t>In connection with the Quarterly Report of Ducommun Incorporated (the “Company”) on Form 10-Q for the period ending April 3, 2021,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95" w:lineRule="exact"/>
        <w:rPr>
          <w:sz w:val="20"/>
          <w:szCs w:val="20"/>
          <w:color w:val="auto"/>
        </w:rPr>
      </w:pPr>
    </w:p>
    <w:p>
      <w:pPr>
        <w:ind w:left="1160" w:hanging="26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30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29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8">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Stephen G. Oswald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375"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connection with the Quarterly Report of Ducommun Incorporated (the “Company”) on Form 10-Q for the period ending April 3, 2021, as filed with the Securities and Exchange Commission on the date hereof (the “Report”), I, Christopher D. Wampler, Vice President, Chief Financial Officer, Controller and Treasurer of the Company, certify pursuant to 18 U.S.C. § 1350, as adopted pursuant to § 906 of the Sarbanes-Oxley Act of 2002, that to the best of my knowledge:</w:t>
      </w:r>
    </w:p>
    <w:p>
      <w:pPr>
        <w:spacing w:after="0" w:line="133" w:lineRule="exact"/>
        <w:rPr>
          <w:sz w:val="20"/>
          <w:szCs w:val="20"/>
          <w:color w:val="auto"/>
        </w:rPr>
      </w:pPr>
    </w:p>
    <w:p>
      <w:pPr>
        <w:ind w:left="1160" w:hanging="26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160" w:hanging="261"/>
        <w:spacing w:after="0"/>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6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Christopher D. Wampler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292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Christopher D. Wampler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Vice President, Chief Financial Officer, Controller and Treasurer</w:t>
      </w:r>
    </w:p>
    <w:p>
      <w:pPr>
        <w:spacing w:after="0" w:line="3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73" Type="http://schemas.openxmlformats.org/officeDocument/2006/relationships/image" Target="media/image35.png"/><Relationship Id="rId74" Type="http://schemas.openxmlformats.org/officeDocument/2006/relationships/image" Target="media/image36.png"/><Relationship Id="rId75" Type="http://schemas.openxmlformats.org/officeDocument/2006/relationships/image" Target="media/image37.png"/><Relationship Id="rId76" Type="http://schemas.openxmlformats.org/officeDocument/2006/relationships/image" Target="media/image38.png"/><Relationship Id="rId77" Type="http://schemas.openxmlformats.org/officeDocument/2006/relationships/image" Target="media/image39.png"/><Relationship Id="rId78" Type="http://schemas.openxmlformats.org/officeDocument/2006/relationships/image" Target="media/image40.png"/><Relationship Id="rId79" Type="http://schemas.openxmlformats.org/officeDocument/2006/relationships/image" Target="media/image41.png"/><Relationship Id="rId40" Type="http://schemas.openxmlformats.org/officeDocument/2006/relationships/hyperlink" Target="http://www.sec.gov/Archives/edgar/data/30305/000119312517281838/d414212dex21.htm" TargetMode="External"/><Relationship Id="rId41" Type="http://schemas.openxmlformats.org/officeDocument/2006/relationships/hyperlink" Target="http://www.sec.gov/Archives/edgar/data/30305/000119312519264787/d817718dex21.htm" TargetMode="External"/><Relationship Id="rId42" Type="http://schemas.openxmlformats.org/officeDocument/2006/relationships/hyperlink" Target="http://www.sec.gov/Archives/edgar/data/30305/0000892569-99-000620-index.html" TargetMode="External"/><Relationship Id="rId43" Type="http://schemas.openxmlformats.org/officeDocument/2006/relationships/hyperlink" Target="http://www.sec.gov/Archives/edgar/data/30305/000119312513121993/d505045dex991.htm" TargetMode="External"/><Relationship Id="rId44" Type="http://schemas.openxmlformats.org/officeDocument/2006/relationships/hyperlink" Target="http://www.sec.gov/Archives/edgar/data/30305/000119312517005088/d321215dex992.htm" TargetMode="External"/><Relationship Id="rId45" Type="http://schemas.openxmlformats.org/officeDocument/2006/relationships/hyperlink" Target="http://www.sec.gov/Archives/edgar/data/30305/000119312518058275/0001193125-18-058275-index.htm" TargetMode="External"/><Relationship Id="rId46" Type="http://schemas.openxmlformats.org/officeDocument/2006/relationships/hyperlink" Target="http://www.sec.gov/Archives/edgar/data/30305/000119312521073228/0001193125-21-073228-index.htm" TargetMode="External"/><Relationship Id="rId47" Type="http://schemas.openxmlformats.org/officeDocument/2006/relationships/hyperlink" Target="http://www.sec.gov/Archives/edgar/data/30305/000162828020001898/dco10-k2019exhibit4_1.htm" TargetMode="External"/><Relationship Id="rId48" Type="http://schemas.openxmlformats.org/officeDocument/2006/relationships/hyperlink" Target="http://www.sec.gov/Archives/edgar/data/30305/000119312519321137/d834392dex101.htm" TargetMode="External"/><Relationship Id="rId49" Type="http://schemas.openxmlformats.org/officeDocument/2006/relationships/hyperlink" Target="http://www.sec.gov/Archives/edgar/data/30305/000119312518333904/0001193125-18-333904-index.htm" TargetMode="External"/><Relationship Id="rId50" Type="http://schemas.openxmlformats.org/officeDocument/2006/relationships/hyperlink" Target="http://www.sec.gov/Archives/edgar/data/30305/000119312518093774/d536991ddef14a.htm" TargetMode="External"/><Relationship Id="rId51" Type="http://schemas.openxmlformats.org/officeDocument/2006/relationships/hyperlink" Target="http://www.sec.gov/Archives/edgar/data/30305/000119312520080692/d859194ddef14a.htm" TargetMode="External"/><Relationship Id="rId52" Type="http://schemas.openxmlformats.org/officeDocument/2006/relationships/hyperlink" Target="http://www.sec.gov/Archives/edgar/data/30305/000119312504034525/dex108.htm" TargetMode="External"/><Relationship Id="rId53" Type="http://schemas.openxmlformats.org/officeDocument/2006/relationships/hyperlink" Target="http://www.sec.gov/Archives/edgar/data/30305/000162828017002221/dco10-k2016_ex105.htm" TargetMode="External"/><Relationship Id="rId54" Type="http://schemas.openxmlformats.org/officeDocument/2006/relationships/hyperlink" Target="http://www.sec.gov/Archives/edgar/data/30305/000119312518159343/d596690dex47.htm" TargetMode="External"/><Relationship Id="rId55" Type="http://schemas.openxmlformats.org/officeDocument/2006/relationships/hyperlink" Target="http://www.sec.gov/Archives/edgar/data/30305/000162828017002221/dco10-k2016_ex109.htm" TargetMode="External"/><Relationship Id="rId56" Type="http://schemas.openxmlformats.org/officeDocument/2006/relationships/hyperlink" Target="http://www.sec.gov/Archives/edgar/data/30305/000162828017002221/dco10-k2016_ex1011.htm" TargetMode="External"/><Relationship Id="rId57" Type="http://schemas.openxmlformats.org/officeDocument/2006/relationships/hyperlink" Target="http://www.sec.gov/Archives/edgar/data/30305/000162828020011005/dco-q2202010xqex1018.htm" TargetMode="External"/><Relationship Id="rId58" Type="http://schemas.openxmlformats.org/officeDocument/2006/relationships/hyperlink" Target="http://www.sec.gov/Archives/edgar/data/30305/000162828020011005/dco-q2202010xqex1019.htm" TargetMode="External"/><Relationship Id="rId61" Type="http://schemas.openxmlformats.org/officeDocument/2006/relationships/hyperlink" Target="http://www.sec.gov/Archives/edgar/data/30305/000162828020011005/dco-q2202010xqex1020.htm" TargetMode="External"/><Relationship Id="rId62" Type="http://schemas.openxmlformats.org/officeDocument/2006/relationships/hyperlink" Target="http://www.sec.gov/Archives/edgar/data/30305/000162828020011005/dco-q2202010xqex1021.htm" TargetMode="External"/><Relationship Id="rId63" Type="http://schemas.openxmlformats.org/officeDocument/2006/relationships/hyperlink" Target="http://www.sec.gov/Archives/edgar/data/30305/000162828020011005/dco-q2202010xqex1022.htm" TargetMode="External"/><Relationship Id="rId64" Type="http://schemas.openxmlformats.org/officeDocument/2006/relationships/hyperlink" Target="http://www.sec.gov/Archives/edgar/data/30305/000119312510036507/dex1015.htm" TargetMode="External"/><Relationship Id="rId65" Type="http://schemas.openxmlformats.org/officeDocument/2006/relationships/hyperlink" Target="http://www.sec.gov/Archives/edgar/data/30305/000119312519301183/0001193125-19-301183-index.htm" TargetMode="External"/><Relationship Id="rId66" Type="http://schemas.openxmlformats.org/officeDocument/2006/relationships/hyperlink" Target="http://www.sec.gov/Archives/edgar/data/30305/000119312517020975/d284517dex991.htm" TargetMode="External"/><Relationship Id="rId67" Type="http://schemas.openxmlformats.org/officeDocument/2006/relationships/hyperlink" Target="http://www.sec.gov/Archives/edgar/data/30305/000119312517020975/d284517dex992.htm" TargetMode="External"/><Relationship Id="rId68" Type="http://schemas.openxmlformats.org/officeDocument/2006/relationships/hyperlink" Target="http://www.sec.gov/Archives/edgar/data/30305/000119312517005088/d321215dex991.htm" TargetMode="External"/><Relationship Id="rId69" Type="http://schemas.openxmlformats.org/officeDocument/2006/relationships/hyperlink" Target="http://www.sec.gov/Archives/edgar/data/30305/000162828017002221/dco10-k2016_ex1019.htm" TargetMode="External"/><Relationship Id="rId70" Type="http://schemas.openxmlformats.org/officeDocument/2006/relationships/hyperlink" Target="http://www.sec.gov/Archives/edgar/data/30305/000119312517010708/d287508dex991.htm" TargetMode="External"/><Relationship Id="rId71" Type="http://schemas.openxmlformats.org/officeDocument/2006/relationships/hyperlink" Target="http://www.sec.gov/Archives/edgar/data/30305/000119312518171920/d578788dex101.htm" TargetMode="External"/><Relationship Id="rId72" Type="http://schemas.openxmlformats.org/officeDocument/2006/relationships/hyperlink" Target="http://www.sec.gov/Archives/edgar/data/30305/000119312519184565/d63701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2021-05-04T15:33:06Z</dcterms:created>
  <dcterms:modified xsi:type="dcterms:W3CDTF">2021-05-04T15:33:06Z</dcterms:modified>
</cp:coreProperties>
</file>