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4" w:lineRule="exact"/>
        <w:rPr>
          <w:sz w:val="24"/>
          <w:szCs w:val="24"/>
          <w:color w:val="auto"/>
        </w:rPr>
      </w:pPr>
    </w:p>
    <w:p>
      <w:pPr>
        <w:ind w:left="940" w:right="680" w:hanging="624"/>
        <w:spacing w:after="0" w:line="181" w:lineRule="auto"/>
        <w:tabs>
          <w:tab w:leader="none" w:pos="940" w:val="left"/>
        </w:tabs>
        <w:numPr>
          <w:ilvl w:val="0"/>
          <w:numId w:val="1"/>
        </w:numPr>
        <w:rPr>
          <w:rFonts w:ascii="Wingdings" w:cs="Wingdings" w:eastAsia="Wingdings" w:hAnsi="Wingdings"/>
          <w:sz w:val="39"/>
          <w:szCs w:val="39"/>
          <w:b w:val="1"/>
          <w:bCs w:val="1"/>
          <w:color w:val="auto"/>
          <w:vertAlign w:val="sub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29,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940" w:right="660" w:hanging="624"/>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7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60" w:type="dxa"/>
            <w:vAlign w:val="bottom"/>
          </w:tcPr>
          <w:p>
            <w:pPr>
              <w:spacing w:after="0"/>
              <w:rPr>
                <w:sz w:val="18"/>
                <w:szCs w:val="18"/>
                <w:color w:val="auto"/>
              </w:rPr>
            </w:pPr>
          </w:p>
        </w:tc>
      </w:tr>
      <w:tr>
        <w:trPr>
          <w:trHeight w:val="251"/>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9"/>
        </w:trPr>
        <w:tc>
          <w:tcPr>
            <w:tcW w:w="7360" w:type="dxa"/>
            <w:vAlign w:val="bottom"/>
          </w:tcPr>
          <w:p>
            <w:pPr>
              <w:jc w:val="center"/>
              <w:ind w:right="29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7"/>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8"/>
                <w:szCs w:val="18"/>
                <w:b w:val="1"/>
                <w:bCs w:val="1"/>
                <w:color w:val="auto"/>
                <w:w w:val="99"/>
              </w:rPr>
              <w:t>600 Anton Boulevard, Suite 1100, Costa Mesa, California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92626-7100</w:t>
            </w:r>
          </w:p>
        </w:tc>
      </w:tr>
      <w:tr>
        <w:trPr>
          <w:trHeight w:val="190"/>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8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68" w:lineRule="exact"/>
        <w:rPr>
          <w:sz w:val="24"/>
          <w:szCs w:val="24"/>
          <w:color w:val="auto"/>
        </w:rPr>
      </w:pPr>
    </w:p>
    <w:p>
      <w:pPr>
        <w:ind w:right="30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3"/>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02"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620"/>
        <w:spacing w:after="0" w:line="29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As of July 31, 2024, the registrant had 14,748,194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7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r>
              <w:rPr>
                <w:rFonts w:ascii="Times New Roman" w:cs="Times New Roman" w:eastAsia="Times New Roman" w:hAnsi="Times New Roman"/>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00" w:type="dxa"/>
            <w:vAlign w:val="bottom"/>
            <w:gridSpan w:val="21"/>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Forward Looking Statements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29, 2024 and December 31, 2023</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3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Six Months Ended June 29, 2024 and July 1, 2023</w:t>
            </w:r>
          </w:p>
        </w:tc>
        <w:tc>
          <w:tcPr>
            <w:tcW w:w="240" w:type="dxa"/>
            <w:vAlign w:val="bottom"/>
            <w:gridSpan w:val="2"/>
          </w:tcPr>
          <w:p>
            <w:pPr>
              <w:spacing w:after="0"/>
              <w:rPr>
                <w:sz w:val="22"/>
                <w:szCs w:val="22"/>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3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29, 2024</w:t>
            </w:r>
          </w:p>
        </w:tc>
        <w:tc>
          <w:tcPr>
            <w:tcW w:w="240" w:type="dxa"/>
            <w:vAlign w:val="bottom"/>
            <w:gridSpan w:val="2"/>
          </w:tcPr>
          <w:p>
            <w:pPr>
              <w:spacing w:after="0"/>
              <w:rPr>
                <w:sz w:val="22"/>
                <w:szCs w:val="22"/>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and July 1, 2023</w:t>
            </w:r>
          </w:p>
        </w:tc>
        <w:tc>
          <w:tcPr>
            <w:tcW w:w="7180" w:type="dxa"/>
            <w:vAlign w:val="bottom"/>
            <w:tcBorders>
              <w:top w:val="single" w:sz="8" w:color="0000FF"/>
            </w:tcBorders>
            <w:gridSpan w:val="12"/>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Six Months Ended June 29,</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5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2024 and July 1, 2023</w:t>
            </w: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29, 2024 and July 1, 2023</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900" w:type="dxa"/>
            <w:vAlign w:val="bottom"/>
            <w:gridSpan w:val="4"/>
          </w:tcPr>
          <w:p>
            <w:pPr>
              <w:spacing w:after="0"/>
              <w:rPr>
                <w:sz w:val="22"/>
                <w:szCs w:val="22"/>
                <w:color w:val="auto"/>
              </w:rPr>
            </w:pPr>
          </w:p>
        </w:tc>
        <w:tc>
          <w:tcPr>
            <w:tcW w:w="720" w:type="dxa"/>
            <w:vAlign w:val="bottom"/>
            <w:gridSpan w:val="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60" w:type="dxa"/>
            <w:vAlign w:val="bottom"/>
            <w:gridSpan w:val="4"/>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4"/>
          </w:tcPr>
          <w:p>
            <w:pPr>
              <w:spacing w:after="0"/>
              <w:rPr>
                <w:sz w:val="22"/>
                <w:szCs w:val="22"/>
                <w:color w:val="auto"/>
              </w:rPr>
            </w:pPr>
          </w:p>
        </w:tc>
        <w:tc>
          <w:tcPr>
            <w:tcW w:w="4260" w:type="dxa"/>
            <w:vAlign w:val="bottom"/>
            <w:gridSpan w:val="6"/>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w:t>
            </w:r>
            <w:r>
              <w:rPr>
                <w:rFonts w:ascii="Times New Roman" w:cs="Times New Roman" w:eastAsia="Times New Roman" w:hAnsi="Times New Roman"/>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80" w:type="dxa"/>
            <w:vAlign w:val="bottom"/>
            <w:gridSpan w:val="12"/>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00" w:type="dxa"/>
            <w:vAlign w:val="bottom"/>
            <w:gridSpan w:val="1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260" w:type="dxa"/>
            <w:vAlign w:val="bottom"/>
            <w:gridSpan w:val="6"/>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gridSpan w:val="2"/>
          </w:tcPr>
          <w:p>
            <w:pPr>
              <w:spacing w:after="0"/>
              <w:rPr>
                <w:sz w:val="22"/>
                <w:szCs w:val="22"/>
                <w:color w:val="auto"/>
              </w:rPr>
            </w:pPr>
          </w:p>
        </w:tc>
        <w:tc>
          <w:tcPr>
            <w:tcW w:w="6240" w:type="dxa"/>
            <w:vAlign w:val="bottom"/>
            <w:gridSpan w:val="8"/>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00" w:type="dxa"/>
            <w:vAlign w:val="bottom"/>
            <w:gridSpan w:val="1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10-Q regarding: future sales,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10-Q that are attributable to us or persons acting on our behalf are expressly qualified in their entirety by the “Risk Factors” contained within Part I, Item 1A of our Annual Report on Form 10-K for the year ended December 31, 2023 (“Form 10-K”).</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our Form 10-K and the following:</w:t>
      </w:r>
    </w:p>
    <w:p>
      <w:pPr>
        <w:spacing w:after="0" w:line="72"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our credit facilities impose restrictions that may limit our operating and financial flexibility;</w:t>
      </w:r>
    </w:p>
    <w:p>
      <w:pPr>
        <w:spacing w:after="0" w:line="117"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trading volume of our common stock may affect an investor’s ability to sell significant stock holdings in the future without negatively impacting our stock price;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amount of debt may require us to raise additional capital to fund acquisitions;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 use markets are cyclical and we depend upon a select base of industries and customers;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business depends on the U.S. Government defense spending;</w:t>
      </w:r>
    </w:p>
    <w:p>
      <w:pPr>
        <w:spacing w:after="0" w:line="117" w:lineRule="exact"/>
        <w:rPr>
          <w:rFonts w:ascii="Times New Roman" w:cs="Times New Roman" w:eastAsia="Times New Roman" w:hAnsi="Times New Roman"/>
          <w:sz w:val="18"/>
          <w:szCs w:val="18"/>
          <w:color w:val="auto"/>
        </w:rPr>
      </w:pPr>
    </w:p>
    <w:p>
      <w:pPr>
        <w:ind w:left="980" w:right="54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exports of certain of our products and our production facility in Guaymas, Mexico are subject to various export control regulations and authorizations for proposed sales to certain foreign customers;</w:t>
      </w:r>
    </w:p>
    <w:p>
      <w:pPr>
        <w:spacing w:after="0" w:line="53"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some of our customers give them a variety of rights that are unfavorable to us and the OEMs to whom we provide products and services, including the ability to terminate a contract at any time for convenience;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in the aerospace industry;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which includes evaluating select acquisitions;</w:t>
      </w:r>
    </w:p>
    <w:p>
      <w:pPr>
        <w:spacing w:after="0" w:line="117" w:lineRule="exact"/>
        <w:rPr>
          <w:rFonts w:ascii="Times New Roman" w:cs="Times New Roman" w:eastAsia="Times New Roman" w:hAnsi="Times New Roman"/>
          <w:sz w:val="18"/>
          <w:szCs w:val="18"/>
          <w:color w:val="auto"/>
        </w:rPr>
      </w:pPr>
    </w:p>
    <w:p>
      <w:pPr>
        <w:ind w:left="980" w:right="280" w:hanging="648"/>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67"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design, product development, manufacturing, supply chain project management and other skills will be required as we move up the value chain to become a more value added supplier, and we are dependent upon our ability to attract and retain key personnel;</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and conducting our business outside the United States;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pricing pressures could reduce the demand and/or price for our products and services;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right="30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processes are subject to risk of obsolescence as a result of changes in technology and evolving industrial and regulatory standards;</w:t>
      </w:r>
    </w:p>
    <w:p>
      <w:pPr>
        <w:spacing w:after="0" w:line="53"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renew facilities leases on terms favorable to us and relocation of operations presents risks due to business interruptions;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procurement laws with which we must comply;</w:t>
      </w:r>
    </w:p>
    <w:p>
      <w:pPr>
        <w:spacing w:after="0" w:line="117"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extensive, complex, costly and evolving laws, regulations and restrictions, including the Defense Contract Audit Agency and cybersecurity requirements;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environmental liabilities and our environmental, social and governance, and sustainability responsibilities;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other legal proceedings and indemnity claims;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changes in estimates when bidding on fixed-price contracts;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 or exposure to additional income tax liabilities;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or prevent fraud if our internal control over financial reporting is not effective;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and the ability of our suppliers to meet the quality and delivery expectations of our customers;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violations of intellectual property rights;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destruction of our facilities caused by natural disasters.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caution the reader that undue reliance should not be placed on any forward-looking statements, which speak only as of the date of this Form 10-Q. We do not undertake any duty or responsibility to update any of these forward-looking statements to reflect events or circumstances after the date of this Form 10-Q,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June 29,</w:t>
            </w:r>
          </w:p>
        </w:tc>
        <w:tc>
          <w:tcPr>
            <w:tcW w:w="24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w:t>
            </w:r>
          </w:p>
        </w:tc>
      </w:tr>
      <w:tr>
        <w:trPr>
          <w:trHeight w:val="176"/>
        </w:trPr>
        <w:tc>
          <w:tcPr>
            <w:tcW w:w="80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$2,363 and $2,006 at June 29, 2024 and</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104,692</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199,201</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r>
      <w:tr>
        <w:trPr>
          <w:trHeight w:val="22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17,349</w:t>
            </w: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549,569</w:t>
            </w: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$188,260 and $181,412 at June 29, 2024 and</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1,120,919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72,265</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42,260</w:t>
            </w: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r>
      <w:tr>
        <w:trPr>
          <w:trHeight w:val="223"/>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16,448</w:t>
            </w: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484,825</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10, 12)</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14,746,921 and 14,600,766 shares issued</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outstanding at June 29, 2024 and December 31, 2023, respectively</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421,980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2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636,094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2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63"/>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June 29,</w:t>
            </w:r>
          </w:p>
        </w:tc>
        <w:tc>
          <w:tcPr>
            <w:tcW w:w="2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 1,</w:t>
            </w:r>
          </w:p>
        </w:tc>
        <w:tc>
          <w:tcPr>
            <w:tcW w:w="24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June 29,</w:t>
            </w:r>
          </w:p>
        </w:tc>
        <w:tc>
          <w:tcPr>
            <w:tcW w:w="260" w:type="dxa"/>
            <w:vAlign w:val="bottom"/>
          </w:tcPr>
          <w:p>
            <w:pPr>
              <w:spacing w:after="0"/>
              <w:rPr>
                <w:sz w:val="14"/>
                <w:szCs w:val="14"/>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July 1,</w:t>
            </w:r>
          </w:p>
        </w:tc>
        <w:tc>
          <w:tcPr>
            <w:tcW w:w="0" w:type="dxa"/>
            <w:vAlign w:val="bottom"/>
          </w:tcPr>
          <w:p>
            <w:pPr>
              <w:spacing w:after="0"/>
              <w:rPr>
                <w:sz w:val="1"/>
                <w:szCs w:val="1"/>
                <w:color w:val="auto"/>
              </w:rPr>
            </w:pPr>
          </w:p>
        </w:tc>
      </w:tr>
      <w:tr>
        <w:trPr>
          <w:trHeight w:val="193"/>
        </w:trPr>
        <w:tc>
          <w:tcPr>
            <w:tcW w:w="6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368,511</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291,622</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76,889</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56,573</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2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June 29,</w:t>
            </w: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 1,</w:t>
            </w:r>
          </w:p>
        </w:tc>
        <w:tc>
          <w:tcPr>
            <w:tcW w:w="24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June 29,</w:t>
            </w:r>
          </w:p>
        </w:tc>
        <w:tc>
          <w:tcPr>
            <w:tcW w:w="260" w:type="dxa"/>
            <w:vAlign w:val="bottom"/>
          </w:tcPr>
          <w:p>
            <w:pPr>
              <w:spacing w:after="0"/>
              <w:rPr>
                <w:sz w:val="14"/>
                <w:szCs w:val="14"/>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July 1,</w:t>
            </w:r>
          </w:p>
        </w:tc>
        <w:tc>
          <w:tcPr>
            <w:tcW w:w="0" w:type="dxa"/>
            <w:vAlign w:val="bottom"/>
          </w:tcPr>
          <w:p>
            <w:pPr>
              <w:spacing w:after="0"/>
              <w:rPr>
                <w:sz w:val="1"/>
                <w:szCs w:val="1"/>
                <w:color w:val="auto"/>
              </w:rPr>
            </w:pPr>
          </w:p>
        </w:tc>
      </w:tr>
      <w:tr>
        <w:trPr>
          <w:trHeight w:val="193"/>
        </w:trPr>
        <w:tc>
          <w:tcPr>
            <w:tcW w:w="6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Amortization of actuarial losses and prior service costs, net of tax of $14 and</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$14 for the three months ended June 29, 2024 and July 1, 2023, respectively,</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and $28 and $27 for the six months ended June 29, 2024 and July 1, 2023,</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Change in net unrealized gains on cash flow hedges, net of tax of $65 and $968</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for the three months ended June 29, 2024 and July 1, 2023, respectively, and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$737 and $306 for the six months ended June 29, 2024 and July 1, 2023,</w:t>
            </w: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9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12,106,285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406,052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525,960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12,231,704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528,384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in public offering, net of</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1,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14,569,589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199,526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413,657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622,143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14,600,766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206,197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421,980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636,094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30,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14,706,626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645,547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29, 2024</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14,746,921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208,930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436,553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655,899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1000" w:type="dxa"/>
            <w:vAlign w:val="bottom"/>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June 29,</w:t>
            </w:r>
          </w:p>
        </w:tc>
        <w:tc>
          <w:tcPr>
            <w:tcW w:w="520" w:type="dxa"/>
            <w:vAlign w:val="bottom"/>
          </w:tcPr>
          <w:p>
            <w:pPr>
              <w:spacing w:after="0"/>
              <w:rPr>
                <w:sz w:val="14"/>
                <w:szCs w:val="14"/>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4"/>
                <w:szCs w:val="14"/>
                <w:color w:val="auto"/>
              </w:rPr>
              <w:t>July 1,</w:t>
            </w:r>
          </w:p>
        </w:tc>
      </w:tr>
      <w:tr>
        <w:trPr>
          <w:trHeight w:val="193"/>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write down and property and equipment impairment due to restructuring</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Recognition of insurance recoveries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(21,243)</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30"/>
        </w:trPr>
        <w:tc>
          <w:tcPr>
            <w:tcW w:w="802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(9,747)</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for acquisition of BLR Aerospace L.L.C., net of cash acquired</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(114,353)</w:t>
            </w:r>
          </w:p>
        </w:tc>
      </w:tr>
      <w:tr>
        <w:trPr>
          <w:trHeight w:val="223"/>
        </w:trPr>
        <w:tc>
          <w:tcPr>
            <w:tcW w:w="8020" w:type="dxa"/>
            <w:vAlign w:val="bottom"/>
            <w:tcBorders>
              <w:top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(125,272)</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from senior secured revolving credit facility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133,500</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senior secured revolving credit facility</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(99,700)</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term loans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other debt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issuance of common stock in public offering, net of issuance costs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85,107</w:t>
            </w:r>
          </w:p>
        </w:tc>
      </w:tr>
      <w:tr>
        <w:trPr>
          <w:trHeight w:val="229"/>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paid upon issuance of common stock under stock plans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111,579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29,405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22,806</w:t>
            </w: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2023 condensed consolidated balance sheet data was derived from audited financial statements, but does not contain all disclosures required by accounting principles generally accepted in the United States of America (“GAAP”).</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described in Part IV, Item 15(a)(1), “Note 1. Summary of Significant Accounting Policies” in our Annual Report on Form 10-K for the year ended December 31, 2023 (“2023 Form 10-K”). The financial information included in this Quarterly Report on Form 10-Q (“Form 10-Q”) should be read in conjunction with the 2023 Form 10-K.</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including recurring accruals, have been made that are necessary to fairly state our condensed consolidated financial position, statements of income, comprehensive income, changes in shareholders’ equity, and cash flows in accordance with GAAP for the periods covered by this Form 10-Q. The results of operations for the three and six months ended June 29, 2024 are not necessarily indicative of the results to be expected for the full year ending December 31, 2024.</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Unsolicited Non-Binding Indication of Interest</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8, 2024, our Board of Directors (“BOD”) confirmed receipt of the first unsolicited non-binding indication of interest dated April 1, 2024 (“First IOI”) from Albion River LLC (“Albion”), a private direct investment firm. Albion expressed interest in acquiring all the outstanding shares of Ducommun for $60.00 per share in cash. On April 16, 2024, we issued a press release responding to the First IOI that the BOD had unanimously determined it was not in the best interests of Ducommun and Ducommun shareholders to pursue further discussions regarding the proposal.</w:t>
      </w:r>
    </w:p>
    <w:p>
      <w:pPr>
        <w:spacing w:after="0" w:line="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Subsequent to our quarter ended June 29, 2024, on July 15, 2024, our BOD received an unsolicited revised non-binding indication of interest from Albion (“Second IOI”), to acquire all outstanding shares of Ducommun for $65.00 per share in cash.</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July 25, 2024, we issued a press release responding to the Second IOI that the BOD had unanimously determined it was not in the best interests of Ducommun and Ducommun shareholders to pursue further discussions regarding the revised proposal.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757"/>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63"/>
        </w:trPr>
        <w:tc>
          <w:tcPr>
            <w:tcW w:w="8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June 29,</w:t>
            </w:r>
          </w:p>
        </w:tc>
        <w:tc>
          <w:tcPr>
            <w:tcW w:w="280" w:type="dxa"/>
            <w:vAlign w:val="bottom"/>
          </w:tcPr>
          <w:p>
            <w:pPr>
              <w:spacing w:after="0"/>
              <w:rPr>
                <w:sz w:val="14"/>
                <w:szCs w:val="14"/>
                <w:color w:val="auto"/>
              </w:rPr>
            </w:pPr>
          </w:p>
        </w:tc>
        <w:tc>
          <w:tcPr>
            <w:tcW w:w="1040" w:type="dxa"/>
            <w:vAlign w:val="bottom"/>
          </w:tcPr>
          <w:p>
            <w:pPr>
              <w:jc w:val="right"/>
              <w:ind w:right="377"/>
              <w:spacing w:after="0"/>
              <w:rPr>
                <w:sz w:val="20"/>
                <w:szCs w:val="20"/>
                <w:color w:val="auto"/>
              </w:rPr>
            </w:pPr>
            <w:r>
              <w:rPr>
                <w:rFonts w:ascii="Times New Roman" w:cs="Times New Roman" w:eastAsia="Times New Roman" w:hAnsi="Times New Roman"/>
                <w:sz w:val="14"/>
                <w:szCs w:val="14"/>
                <w:color w:val="auto"/>
              </w:rPr>
              <w:t>July 1,</w:t>
            </w:r>
          </w:p>
        </w:tc>
      </w:tr>
      <w:tr>
        <w:trPr>
          <w:trHeight w:val="193"/>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net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4"/>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3"/>
                <w:szCs w:val="13"/>
                <w:color w:val="auto"/>
              </w:rPr>
            </w:pPr>
          </w:p>
        </w:tc>
        <w:tc>
          <w:tcPr>
            <w:tcW w:w="2480" w:type="dxa"/>
            <w:vAlign w:val="bottom"/>
            <w:gridSpan w:val="4"/>
          </w:tcPr>
          <w:p>
            <w:pPr>
              <w:jc w:val="center"/>
              <w:ind w:right="175"/>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except per share data)</w:t>
            </w:r>
          </w:p>
        </w:tc>
        <w:tc>
          <w:tcPr>
            <w:tcW w:w="260" w:type="dxa"/>
            <w:vAlign w:val="bottom"/>
          </w:tcPr>
          <w:p>
            <w:pPr>
              <w:spacing w:after="0"/>
              <w:rPr>
                <w:sz w:val="16"/>
                <w:szCs w:val="16"/>
                <w:color w:val="auto"/>
              </w:rPr>
            </w:pPr>
          </w:p>
        </w:tc>
        <w:tc>
          <w:tcPr>
            <w:tcW w:w="2480" w:type="dxa"/>
            <w:vAlign w:val="bottom"/>
            <w:gridSpan w:val="4"/>
          </w:tcPr>
          <w:p>
            <w:pPr>
              <w:jc w:val="center"/>
              <w:ind w:right="175"/>
              <w:spacing w:after="0"/>
              <w:rPr>
                <w:sz w:val="20"/>
                <w:szCs w:val="20"/>
                <w:color w:val="auto"/>
              </w:rPr>
            </w:pPr>
            <w:r>
              <w:rPr>
                <w:rFonts w:ascii="Times New Roman" w:cs="Times New Roman" w:eastAsia="Times New Roman" w:hAnsi="Times New Roman"/>
                <w:sz w:val="14"/>
                <w:szCs w:val="14"/>
                <w:color w:val="auto"/>
              </w:rPr>
              <w:t>except per share data)</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center"/>
              <w:ind w:right="175"/>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63"/>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June 29,</w:t>
            </w:r>
          </w:p>
        </w:tc>
        <w:tc>
          <w:tcPr>
            <w:tcW w:w="28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July 1,</w:t>
            </w: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June 29,</w:t>
            </w:r>
          </w:p>
        </w:tc>
        <w:tc>
          <w:tcPr>
            <w:tcW w:w="280" w:type="dxa"/>
            <w:vAlign w:val="bottom"/>
          </w:tcPr>
          <w:p>
            <w:pPr>
              <w:spacing w:after="0"/>
              <w:rPr>
                <w:sz w:val="14"/>
                <w:szCs w:val="14"/>
                <w:color w:val="auto"/>
              </w:rPr>
            </w:pP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color w:val="auto"/>
              </w:rPr>
              <w:t>July 1,</w:t>
            </w:r>
          </w:p>
        </w:tc>
        <w:tc>
          <w:tcPr>
            <w:tcW w:w="0" w:type="dxa"/>
            <w:vAlign w:val="bottom"/>
          </w:tcPr>
          <w:p>
            <w:pPr>
              <w:spacing w:after="0"/>
              <w:rPr>
                <w:sz w:val="1"/>
                <w:szCs w:val="1"/>
                <w:color w:val="auto"/>
              </w:rPr>
            </w:pPr>
          </w:p>
        </w:tc>
      </w:tr>
      <w:tr>
        <w:trPr>
          <w:trHeight w:val="193"/>
        </w:trPr>
        <w:tc>
          <w:tcPr>
            <w:tcW w:w="5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5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gridSpan w:val="3"/>
          </w:tcPr>
          <w:p>
            <w:pPr>
              <w:jc w:val="center"/>
              <w:ind w:right="448"/>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color w:val="auto"/>
              </w:rPr>
              <w:t>(In thousands)</w:t>
            </w:r>
          </w:p>
        </w:tc>
        <w:tc>
          <w:tcPr>
            <w:tcW w:w="900" w:type="dxa"/>
            <w:vAlign w:val="bottom"/>
          </w:tcPr>
          <w:p>
            <w:pPr>
              <w:spacing w:after="0"/>
              <w:rPr>
                <w:sz w:val="16"/>
                <w:szCs w:val="16"/>
                <w:color w:val="auto"/>
              </w:rPr>
            </w:pPr>
          </w:p>
        </w:tc>
      </w:tr>
      <w:tr>
        <w:trPr>
          <w:trHeight w:val="203"/>
        </w:trPr>
        <w:tc>
          <w:tcPr>
            <w:tcW w:w="5680" w:type="dxa"/>
            <w:vAlign w:val="bottom"/>
          </w:tcPr>
          <w:p>
            <w:pPr>
              <w:spacing w:after="0"/>
              <w:rPr>
                <w:sz w:val="17"/>
                <w:szCs w:val="17"/>
                <w:color w:val="auto"/>
              </w:rPr>
            </w:pPr>
          </w:p>
        </w:tc>
        <w:tc>
          <w:tcPr>
            <w:tcW w:w="232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58"/>
        </w:trPr>
        <w:tc>
          <w:tcPr>
            <w:tcW w:w="5680" w:type="dxa"/>
            <w:vAlign w:val="bottom"/>
          </w:tcPr>
          <w:p>
            <w:pPr>
              <w:spacing w:after="0"/>
              <w:rPr>
                <w:sz w:val="13"/>
                <w:szCs w:val="13"/>
                <w:color w:val="auto"/>
              </w:rPr>
            </w:pPr>
          </w:p>
        </w:tc>
        <w:tc>
          <w:tcPr>
            <w:tcW w:w="920" w:type="dxa"/>
            <w:vAlign w:val="bottom"/>
          </w:tcPr>
          <w:p>
            <w:pPr>
              <w:jc w:val="center"/>
              <w:ind w:left="328"/>
              <w:spacing w:after="0" w:line="159" w:lineRule="exact"/>
              <w:rPr>
                <w:sz w:val="20"/>
                <w:szCs w:val="20"/>
                <w:color w:val="auto"/>
              </w:rPr>
            </w:pPr>
            <w:r>
              <w:rPr>
                <w:rFonts w:ascii="Times New Roman" w:cs="Times New Roman" w:eastAsia="Times New Roman" w:hAnsi="Times New Roman"/>
                <w:sz w:val="14"/>
                <w:szCs w:val="14"/>
                <w:color w:val="auto"/>
              </w:rPr>
              <w:t>June 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left="328"/>
              <w:spacing w:after="0" w:line="159" w:lineRule="exact"/>
              <w:rPr>
                <w:sz w:val="20"/>
                <w:szCs w:val="20"/>
                <w:color w:val="auto"/>
              </w:rPr>
            </w:pPr>
            <w:r>
              <w:rPr>
                <w:rFonts w:ascii="Times New Roman" w:cs="Times New Roman" w:eastAsia="Times New Roman" w:hAnsi="Times New Roman"/>
                <w:sz w:val="14"/>
                <w:szCs w:val="14"/>
                <w:color w:val="auto"/>
              </w:rPr>
              <w:t>July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center"/>
              <w:ind w:right="540"/>
              <w:spacing w:after="0" w:line="159" w:lineRule="exact"/>
              <w:rPr>
                <w:sz w:val="20"/>
                <w:szCs w:val="20"/>
                <w:color w:val="auto"/>
              </w:rPr>
            </w:pPr>
            <w:r>
              <w:rPr>
                <w:rFonts w:ascii="Times New Roman" w:cs="Times New Roman" w:eastAsia="Times New Roman" w:hAnsi="Times New Roman"/>
                <w:sz w:val="14"/>
                <w:szCs w:val="14"/>
                <w:color w:val="auto"/>
              </w:rPr>
              <w:t>June 29,</w:t>
            </w:r>
          </w:p>
        </w:tc>
        <w:tc>
          <w:tcPr>
            <w:tcW w:w="900" w:type="dxa"/>
            <w:vAlign w:val="bottom"/>
          </w:tcPr>
          <w:p>
            <w:pPr>
              <w:jc w:val="center"/>
              <w:ind w:right="322"/>
              <w:spacing w:after="0" w:line="159" w:lineRule="exact"/>
              <w:rPr>
                <w:sz w:val="20"/>
                <w:szCs w:val="20"/>
                <w:color w:val="auto"/>
              </w:rPr>
            </w:pPr>
            <w:r>
              <w:rPr>
                <w:rFonts w:ascii="Times New Roman" w:cs="Times New Roman" w:eastAsia="Times New Roman" w:hAnsi="Times New Roman"/>
                <w:sz w:val="14"/>
                <w:szCs w:val="14"/>
                <w:color w:val="auto"/>
              </w:rPr>
              <w:t>July 1,</w:t>
            </w:r>
          </w:p>
        </w:tc>
      </w:tr>
      <w:tr>
        <w:trPr>
          <w:trHeight w:val="196"/>
        </w:trPr>
        <w:tc>
          <w:tcPr>
            <w:tcW w:w="6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14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42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42"/>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9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4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the three months ended June 29,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9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10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At the time we entered into the Forward Interest Rate Swaps, there was a high probability of forecasted interest payments on our debts occurring and the swaps were highly effective in offsetting those interest payments; therefore, we elected to apply cash flow hedge accounting. In July 2022, as a result of refinancing all our existing debt, which allowed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relationships were still highly effective as of the amendment date. See Note 4 and Note 8. As of June 29, 2024, all of our derivative instruments were designated as cash flow hedges.</w:t>
      </w:r>
    </w:p>
    <w:p>
      <w:pPr>
        <w:spacing w:after="0" w:line="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Prior to the Amended Forward Interest Rate Swaps being effective on January 1, 2024, we only recorded the changes in fair value of the derivative instruments that were highly effective and that were designated and qualified as cash flow hedges prior to the effective date. See Note 4.</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104" w:lineRule="exact"/>
        <w:rPr>
          <w:sz w:val="20"/>
          <w:szCs w:val="20"/>
          <w:color w:val="auto"/>
        </w:rPr>
      </w:pPr>
    </w:p>
    <w:p>
      <w:pPr>
        <w:jc w:val="both"/>
        <w:ind w:right="78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0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3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Contract estimates, known as estimates at completion, are based on various assumptions to project the outcome of future events that can span multiple months or years. These assumptions include among others, labor productivity and availability; the complexity of the work to be performed; the cost and availability of materials; overhead cost rates; and the performance of subcontractors. 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In any given reporting period, we have a large number of active contracts, which we have defined as a customer purchase order, and changes in estimates may occur on a significant number of these contracts. Given the significant number of contracts that we may have at any given point in time, the varied nature of products produced under such contracts, and the different assumptions, facts and circumstances associated with each individual contract, and the fact that such changes at the contract level are typically not material, we disclose cumulative catch-up adjustments on a net basis.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cumulative favorable and unfavorable catch-up adjustments to contracts had the following impact on our operating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6"/>
                <w:szCs w:val="16"/>
                <w:color w:val="auto"/>
              </w:rPr>
            </w:pPr>
          </w:p>
        </w:tc>
        <w:tc>
          <w:tcPr>
            <w:tcW w:w="222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6140" w:type="dxa"/>
            <w:vAlign w:val="bottom"/>
          </w:tcPr>
          <w:p>
            <w:pPr>
              <w:spacing w:after="0"/>
              <w:rPr>
                <w:sz w:val="17"/>
                <w:szCs w:val="17"/>
                <w:color w:val="auto"/>
              </w:rPr>
            </w:pP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7"/>
                <w:szCs w:val="17"/>
                <w:color w:val="auto"/>
              </w:rPr>
            </w:pPr>
          </w:p>
        </w:tc>
        <w:tc>
          <w:tcPr>
            <w:tcW w:w="222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58"/>
        </w:trPr>
        <w:tc>
          <w:tcPr>
            <w:tcW w:w="614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June 29,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color w:val="auto"/>
              </w:rPr>
              <w:t>July 1,</w:t>
            </w:r>
          </w:p>
        </w:tc>
        <w:tc>
          <w:tcPr>
            <w:tcW w:w="240" w:type="dxa"/>
            <w:vAlign w:val="bottom"/>
          </w:tcPr>
          <w:p>
            <w:pPr>
              <w:spacing w:after="0"/>
              <w:rPr>
                <w:sz w:val="13"/>
                <w:szCs w:val="13"/>
                <w:color w:val="auto"/>
              </w:rPr>
            </w:pPr>
          </w:p>
        </w:tc>
        <w:tc>
          <w:tcPr>
            <w:tcW w:w="106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color w:val="auto"/>
              </w:rPr>
              <w:t>June 29,</w:t>
            </w:r>
          </w:p>
        </w:tc>
        <w:tc>
          <w:tcPr>
            <w:tcW w:w="240" w:type="dxa"/>
            <w:vAlign w:val="bottom"/>
          </w:tcPr>
          <w:p>
            <w:pPr>
              <w:spacing w:after="0"/>
              <w:rPr>
                <w:sz w:val="13"/>
                <w:szCs w:val="13"/>
                <w:color w:val="auto"/>
              </w:rPr>
            </w:pPr>
          </w:p>
        </w:tc>
        <w:tc>
          <w:tcPr>
            <w:tcW w:w="920" w:type="dxa"/>
            <w:vAlign w:val="bottom"/>
          </w:tcPr>
          <w:p>
            <w:pPr>
              <w:jc w:val="right"/>
              <w:ind w:right="299"/>
              <w:spacing w:after="0" w:line="159" w:lineRule="exact"/>
              <w:rPr>
                <w:sz w:val="20"/>
                <w:szCs w:val="20"/>
                <w:color w:val="auto"/>
              </w:rPr>
            </w:pPr>
            <w:r>
              <w:rPr>
                <w:rFonts w:ascii="Times New Roman" w:cs="Times New Roman" w:eastAsia="Times New Roman" w:hAnsi="Times New Roman"/>
                <w:sz w:val="14"/>
                <w:szCs w:val="14"/>
                <w:color w:val="auto"/>
              </w:rPr>
              <w:t>July 1,</w:t>
            </w:r>
          </w:p>
        </w:tc>
      </w:tr>
      <w:tr>
        <w:trPr>
          <w:trHeight w:val="196"/>
        </w:trPr>
        <w:tc>
          <w:tcPr>
            <w:tcW w:w="6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387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r>
    </w:tbl>
    <w:p>
      <w:pPr>
        <w:spacing w:after="0" w:line="200" w:lineRule="exact"/>
        <w:rPr>
          <w:sz w:val="20"/>
          <w:szCs w:val="20"/>
          <w:color w:val="auto"/>
        </w:rPr>
      </w:pPr>
    </w:p>
    <w:p>
      <w:pPr>
        <w:spacing w:after="0" w:line="29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required to adjust the provisions for estimated losses on contracts. The provision for estimated losses on contracts is included as part of contract liabilities on the condensed consolidated balance sheets. As of June 29, 2024 and December 31, 2023, provision for estimated losses on contracts were $5.2 million and $5.4 million, respectively. It is reasonably possible we may incur additional losses in the future.</w:t>
      </w:r>
    </w:p>
    <w:p>
      <w:pPr>
        <w:spacing w:after="0" w:line="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June 29, 2024 and December 31, 2023, production cost of contracts were $6.2 million and $7.8 million, respectively.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10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June 29,</w:t>
            </w:r>
          </w:p>
        </w:tc>
        <w:tc>
          <w:tcPr>
            <w:tcW w:w="180" w:type="dxa"/>
            <w:vAlign w:val="bottom"/>
          </w:tcPr>
          <w:p>
            <w:pPr>
              <w:spacing w:after="0"/>
              <w:rPr>
                <w:sz w:val="14"/>
                <w:szCs w:val="14"/>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r>
    </w:tbl>
    <w:p>
      <w:pPr>
        <w:spacing w:after="0" w:line="2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June 29, 2024 compared to December 31, 2023 was primarily due to a net increase of products in work in process in the current period.</w:t>
      </w:r>
    </w:p>
    <w:p>
      <w:pPr>
        <w:spacing w:after="0" w:line="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decrease in our contract liabilities as of June 29, 2024 compared to December 31, 2023 was primarily due to a net decrease of advance or progress payments received from our customers in the current period. We recognized $21.0 million of the contract liabilities as of December 31, 2023 as revenues during the six months ended June 29, 2024.</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June 29, 2024 totaled $840.0 million. Of the remaining performance obligations as of June 29, 2024, we anticipate recognizing an estimated 65% of our remaining performance obligations as revenue during the next 12 months with the remaining performance obligations being recognized in the remainder of 2025 and beyond.</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6"/>
                <w:szCs w:val="16"/>
                <w:color w:val="auto"/>
              </w:rPr>
            </w:pPr>
          </w:p>
        </w:tc>
        <w:tc>
          <w:tcPr>
            <w:tcW w:w="248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7"/>
                <w:szCs w:val="17"/>
                <w:color w:val="auto"/>
              </w:rPr>
            </w:pPr>
          </w:p>
        </w:tc>
        <w:tc>
          <w:tcPr>
            <w:tcW w:w="248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June 29,</w:t>
            </w:r>
          </w:p>
        </w:tc>
        <w:tc>
          <w:tcPr>
            <w:tcW w:w="30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July 1,</w:t>
            </w:r>
          </w:p>
        </w:tc>
        <w:tc>
          <w:tcPr>
            <w:tcW w:w="28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June 29,</w:t>
            </w:r>
          </w:p>
        </w:tc>
        <w:tc>
          <w:tcPr>
            <w:tcW w:w="28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July 1,</w:t>
            </w:r>
          </w:p>
        </w:tc>
      </w:tr>
      <w:tr>
        <w:trPr>
          <w:trHeight w:val="193"/>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2023</w:t>
            </w:r>
          </w:p>
        </w:tc>
      </w:tr>
      <w:tr>
        <w:trPr>
          <w:trHeight w:val="194"/>
        </w:trPr>
        <w:tc>
          <w:tcPr>
            <w:tcW w:w="20" w:type="dxa"/>
            <w:vAlign w:val="bottom"/>
            <w:shd w:val="clear" w:color="auto" w:fill="CCEEFF"/>
          </w:tcPr>
          <w:p>
            <w:pPr>
              <w:spacing w:after="0"/>
              <w:rPr>
                <w:sz w:val="16"/>
                <w:szCs w:val="16"/>
                <w:color w:val="auto"/>
              </w:rPr>
            </w:pPr>
          </w:p>
        </w:tc>
        <w:tc>
          <w:tcPr>
            <w:tcW w:w="564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100,538</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97,370</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199,467</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195,040</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148,584</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4180" w:type="dxa"/>
            <w:vAlign w:val="bottom"/>
            <w:tcBorders>
              <w:bottom w:val="single" w:sz="8" w:color="CCEEFF"/>
            </w:tcBorders>
            <w:gridSpan w:val="3"/>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145,099</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42,764</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416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49,941</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105,820</w:t>
            </w:r>
          </w:p>
        </w:tc>
      </w:tr>
      <w:tr>
        <w:trPr>
          <w:trHeight w:val="223"/>
        </w:trPr>
        <w:tc>
          <w:tcPr>
            <w:tcW w:w="20" w:type="dxa"/>
            <w:vAlign w:val="bottom"/>
          </w:tcPr>
          <w:p>
            <w:pPr>
              <w:spacing w:after="0"/>
              <w:rPr>
                <w:sz w:val="19"/>
                <w:szCs w:val="19"/>
                <w:color w:val="auto"/>
              </w:rPr>
            </w:pPr>
          </w:p>
        </w:tc>
        <w:tc>
          <w:tcPr>
            <w:tcW w:w="56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155,761</w:t>
            </w: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the Financial Accounting Standards Board (“FASB”) issued Accounting Standards Update (“ASU”) 2024-02, “Codification Improvements</w:t>
      </w:r>
    </w:p>
    <w:p>
      <w:pPr>
        <w:spacing w:after="0" w:line="27" w:lineRule="exact"/>
        <w:rPr>
          <w:sz w:val="20"/>
          <w:szCs w:val="20"/>
          <w:color w:val="auto"/>
        </w:rPr>
      </w:pPr>
    </w:p>
    <w:p>
      <w:pPr>
        <w:ind w:firstLine="8"/>
        <w:spacing w:after="0" w:line="253" w:lineRule="auto"/>
        <w:tabs>
          <w:tab w:leader="none" w:pos="1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Remove References to the Concepts Statements” (“ASU 2024-02”), which removed references to various FASB Concepts Statements and updates technical corrections such as conforming amendments, clarification to guidance, simplifications to wording or the structure of guidance, and other minor improvements. The new guidance is effective for fiscal years beginning after December 15, 2024, which is our annual period beginning January 1, 2025. Early adoption is permitted. We are evaluating the impact of this standard.</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provides more transparency about tax information primarily related to the rate reconciliation and the income taxes paid. The new guidance is effective for fiscal years beginning after December 15, 2024, which will be our annual period beginning January 1, 2025. Early adoption is permitted. We are evaluating the impact of this standard.</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expands reportable segment disclosure requirements, primarily through enhanced disclosures about significant segment expenses. The new guidance is effective for fiscal years beginning after December 15, 2023, which is our annual period beginning January 1, 2024, and interim periods within fiscal years beginning after December 15, 2024, which will be our interim period beginning January 1, 2025. Early adoption is permitted. We are evaluating the impact of this standard.</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incorporates updates to the Accounting Standards Codification to align certain SEC disclosure requirements. The amendments impact a variety of topics but are relatively narrow in nature. For entities required to comply with the SEC’s existing disclosure requirements, the effective date for each amendment will be the effective date of the removal of the disclosure requirement from SEC Regulation S-X or SEC Regulation S-K, with early adoption prohibited. The amendments should be applied prospectively. We are evaluating the impact of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BLR Aerospace, L.L.C. Acquisition</w:t>
      </w:r>
    </w:p>
    <w:p>
      <w:pPr>
        <w:spacing w:after="0" w:line="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April 2023, we acquired 100.0% of the outstanding equity interests of BLR Aerospace, L.L.C. (“BLR”), a privately-held leading provider of aerodynamic systems that enhance the productivity, performance, and safety of rotary and fixed-wing aircraft on commercial and military platforms. BLR is located in Everett, Washington. The acquisition of BLR added to our strategy to diversify and offer more customized, value-driven engineered products with aftermarket opportunities.</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initial purchase price for BLR was $115.0 million, net of cash acquired, all payable in cash, subject to adjustments for working capital. We paid a gross aggregate of $117.0 million in cash upon the closing of the transaction. Subsequent to the closing of the transaction, during the three months ended September 30, 2023, the working capital was finalized, resulting in an immaterial adjustment for a final purchase price of $114.4 million, net of cash acquired. We allocated the gross purchase price of $117.0 million to the assets acquired and liabilities assumed at their estimated fair values. The excess of the purchase price over the aggregate fair values of the net assets was recorded as goodwill.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the assets acquired and liabilities assumed at the date of acquisition (in thousands):</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06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intangible assets acquired of $55.5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values for technology and trade name were assessed using the relief from royalty methodology, while the value for customer relationships was estimated based on a multi-period excess earnings approach. Inputs to the income approach models and other aspects of the allocation of the purchase price require judgment. The more significant inputs used in the technology intangible asset valuation included (i) future revenues, (ii) the technology decay rate, (iii) the royalty rate, and (iv) the discount rate. The more significant inputs used in the customer relationships intangible asset valuation included (i) future revenues, (ii) the projected earnings before interest, taxes, and amortization (“EBITA”) margins, (iii) the customer attrition rates, and (iv) the discount rate.</w:t>
      </w:r>
    </w:p>
    <w:p>
      <w:pPr>
        <w:spacing w:after="0" w:line="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goodwill of $41.2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BLR acquisition, for tax purposes, is deemed an asset acquisition and thus, the goodwill recognized is deductible for income tax purposes.</w:t>
      </w:r>
    </w:p>
    <w:p>
      <w:pPr>
        <w:spacing w:after="0" w:line="90"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Acquisition related transaction costs were not included as components of consideration transferred but have been expensed as incurred. Total acquisition-related transaction costs incurred by us were zero and $0.5 million during the three months ended June 29, 2024 and July 1, 2023, respectively, and zero and $1.3 million during the six months ended June 29, 2024 and July 1, 2023, respectively, and charged to selling, general and administrative expenses.</w:t>
      </w:r>
    </w:p>
    <w:p>
      <w:pPr>
        <w:spacing w:after="0" w:line="3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BLR’s results of operations have been included in our condensed consolidated statements of income since the date of acquisition as part of the Structural Systems segment, and its revenues were less than three percent of total company revenues since the date of acquisition. Pro forma results of operations of the BLR acquisition have not been presented as the effect of the BLR acquisition was not material to our financial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1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better position us for stronger performance. The restructuring plan will mainly reduce headcount and consolidate facilities. As a result of this restructuring plan, we analyzed the need to write-down inventory and impair long-lived assets, including operating lease right-of-use assets. During the three and six months ended June 29, 2024, we recorded total charges of $2.1 million ($0.9 million of which was recorded as cost of sales) and $3.5 million ($0.9 million of which was recorded as cost of sales), respectively. Cumulative through the six months ended June 29, 2024, we recorded aggregate total charges of $25.0 million ($1.7 million of which was recorded as cost of sales). As of June 29, 2024, we estimate the remaining amount of charges related to this initiative will be $3.0 million to $4.0 million in total pre-tax restructuring charges through early 2025 for employee separation and other facility consolidation related expenses.</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Electronics Systems segment, we recorded no restructuring charges during the three months ended June 29, 2024. We recorded charges of $0.3 million and $0.2 million during the six months ended June 29, 2024, for severance and benefits that were classified as restructuring charges, and other restructuring charges, respectively. Cumulative through the six months ended June 29, 2024, we recorded total charges for severance and benefits that were classified as restructuring charges, accelerated depreciation of property and equipment that was classified as restructuring charges, charges for inventory write down that was classified as cost of sales, and other restructuring of $9.9 million, $0.3 million, $0.3 million, and $0.3 million, respectively.</w:t>
      </w:r>
    </w:p>
    <w:p>
      <w:pPr>
        <w:spacing w:after="0" w:line="48"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In the Structural Systems segment, we recorded $0.8 million and $0.4 million during the three months ended June 29, 2024 for severance and benefits that were classified as restructuring charges and other restructuring charges, respectively. We recorded charges of $1.0 million and $1.1 million during the six months ended June 29, 2024, for severance and benefits that were classified as restructuring charges, and other restructuring charges, respectively.</w:t>
      </w:r>
    </w:p>
    <w:p>
      <w:pPr>
        <w:spacing w:after="0" w:line="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Cumulative through the six months ended June 29, 2024, we recorded total charges for severance and benefits that were classified as restructuring charges, accelerated depreciation of property and equipment/impairment of property and equipment that was classified as restructuring charges, charges for inventory write down that was classified as cost of sales, and other restructuring of $6.9 million, $2.0 million, $1.4 million, and $3.9 million, respectively.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during the six months ended June 29, 2024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Six Months Ended June 29, 2024</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June 29, 2024</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Non-Cash</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Change 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Estimates</w:t>
            </w: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accelerated</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due to restructuring</w:t>
            </w:r>
          </w:p>
        </w:tc>
        <w:tc>
          <w:tcPr>
            <w:tcW w:w="14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write down</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restructuring activities accrual for severance and benefits of $4.5 million as of June 29, 2024 was included as part of accrued and other liabilities and is expected to be paid out through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cash flow hedges consists of forward interest rate swaps to manage our exposure to interest rate movements on a portion of our debt through January 1, 2031. Our forward interest rate swaps hedge forecasted transactions through January 1, 2031.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derivative instruments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June 29,</w:t>
            </w:r>
          </w:p>
        </w:tc>
        <w:tc>
          <w:tcPr>
            <w:tcW w:w="16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on the condensed consolidated balance sheets for derivative instruments: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58"/>
        </w:trPr>
        <w:tc>
          <w:tcPr>
            <w:tcW w:w="5580" w:type="dxa"/>
            <w:vAlign w:val="bottom"/>
          </w:tcPr>
          <w:p>
            <w:pPr>
              <w:spacing w:after="0"/>
              <w:rPr>
                <w:sz w:val="13"/>
                <w:szCs w:val="13"/>
                <w:color w:val="auto"/>
              </w:rPr>
            </w:pPr>
          </w:p>
        </w:tc>
        <w:tc>
          <w:tcPr>
            <w:tcW w:w="3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Balance Sheet Location</w:t>
            </w:r>
          </w:p>
        </w:tc>
        <w:tc>
          <w:tcPr>
            <w:tcW w:w="260" w:type="dxa"/>
            <w:vAlign w:val="bottom"/>
          </w:tcPr>
          <w:p>
            <w:pPr>
              <w:spacing w:after="0"/>
              <w:rPr>
                <w:sz w:val="13"/>
                <w:szCs w:val="13"/>
                <w:color w:val="auto"/>
              </w:rPr>
            </w:pPr>
          </w:p>
        </w:tc>
        <w:tc>
          <w:tcPr>
            <w:tcW w:w="110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color w:val="auto"/>
              </w:rPr>
              <w:t>June 29,</w:t>
            </w:r>
          </w:p>
        </w:tc>
        <w:tc>
          <w:tcPr>
            <w:tcW w:w="160" w:type="dxa"/>
            <w:vAlign w:val="bottom"/>
          </w:tcPr>
          <w:p>
            <w:pPr>
              <w:spacing w:after="0"/>
              <w:rPr>
                <w:sz w:val="13"/>
                <w:szCs w:val="13"/>
                <w:color w:val="auto"/>
              </w:rPr>
            </w:pPr>
          </w:p>
        </w:tc>
        <w:tc>
          <w:tcPr>
            <w:tcW w:w="1080" w:type="dxa"/>
            <w:vAlign w:val="bottom"/>
          </w:tcPr>
          <w:p>
            <w:pPr>
              <w:jc w:val="right"/>
              <w:ind w:right="139"/>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0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2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(losses) associated with our hedging transactions recognized in other comprehensive income are presented in the following table: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3"/>
                <w:szCs w:val="13"/>
                <w:color w:val="auto"/>
              </w:rPr>
            </w:pPr>
          </w:p>
        </w:tc>
        <w:tc>
          <w:tcPr>
            <w:tcW w:w="234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88"/>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49"/>
        </w:trPr>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June 29,</w:t>
            </w:r>
          </w:p>
        </w:tc>
        <w:tc>
          <w:tcPr>
            <w:tcW w:w="2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July 1,</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June 29,</w:t>
            </w:r>
          </w:p>
        </w:tc>
        <w:tc>
          <w:tcPr>
            <w:tcW w:w="260" w:type="dxa"/>
            <w:vAlign w:val="bottom"/>
          </w:tcPr>
          <w:p>
            <w:pPr>
              <w:spacing w:after="0"/>
              <w:rPr>
                <w:sz w:val="12"/>
                <w:szCs w:val="12"/>
                <w:color w:val="auto"/>
              </w:rPr>
            </w:pPr>
          </w:p>
        </w:tc>
        <w:tc>
          <w:tcPr>
            <w:tcW w:w="96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color w:val="auto"/>
              </w:rPr>
              <w:t>July 1,</w:t>
            </w:r>
          </w:p>
        </w:tc>
      </w:tr>
      <w:tr>
        <w:trPr>
          <w:trHeight w:val="193"/>
        </w:trPr>
        <w:tc>
          <w:tcPr>
            <w:tcW w:w="5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in other comprehensive income, net of tax:</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986</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reclassified gains associated with our cash flow hedges from accumulated other comprehensive income to the condensed income statements when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Interest Rate Swaps became effective as of January 1, 2024 and are presented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88"/>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center"/>
              <w:ind w:left="24"/>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49"/>
        </w:trPr>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June 29,</w:t>
            </w:r>
          </w:p>
        </w:tc>
        <w:tc>
          <w:tcPr>
            <w:tcW w:w="900" w:type="dxa"/>
            <w:vAlign w:val="bottom"/>
          </w:tcPr>
          <w:p>
            <w:pPr>
              <w:jc w:val="center"/>
              <w:ind w:left="262"/>
              <w:spacing w:after="0" w:line="149" w:lineRule="exact"/>
              <w:rPr>
                <w:sz w:val="20"/>
                <w:szCs w:val="20"/>
                <w:color w:val="auto"/>
              </w:rPr>
            </w:pPr>
            <w:r>
              <w:rPr>
                <w:rFonts w:ascii="Times New Roman" w:cs="Times New Roman" w:eastAsia="Times New Roman" w:hAnsi="Times New Roman"/>
                <w:sz w:val="14"/>
                <w:szCs w:val="14"/>
                <w:color w:val="auto"/>
              </w:rPr>
              <w:t>July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June 29,</w:t>
            </w:r>
          </w:p>
        </w:tc>
        <w:tc>
          <w:tcPr>
            <w:tcW w:w="260" w:type="dxa"/>
            <w:vAlign w:val="bottom"/>
          </w:tcPr>
          <w:p>
            <w:pPr>
              <w:spacing w:after="0"/>
              <w:rPr>
                <w:sz w:val="12"/>
                <w:szCs w:val="12"/>
                <w:color w:val="auto"/>
              </w:rPr>
            </w:pPr>
          </w:p>
        </w:tc>
        <w:tc>
          <w:tcPr>
            <w:tcW w:w="96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color w:val="auto"/>
              </w:rPr>
              <w:t>July 1,</w:t>
            </w:r>
          </w:p>
        </w:tc>
      </w:tr>
      <w:tr>
        <w:trPr>
          <w:trHeight w:val="193"/>
        </w:trPr>
        <w:tc>
          <w:tcPr>
            <w:tcW w:w="5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0"/>
                <w:szCs w:val="20"/>
                <w:color w:val="auto"/>
              </w:rPr>
            </w:pPr>
          </w:p>
        </w:tc>
        <w:tc>
          <w:tcPr>
            <w:tcW w:w="900" w:type="dxa"/>
            <w:vAlign w:val="bottom"/>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2,698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deferred gains recorded in other comprehensive income that will mature in the next 12 months total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20" w:type="dxa"/>
            <w:vAlign w:val="bottom"/>
            <w:gridSpan w:val="4"/>
          </w:tcPr>
          <w:p>
            <w:pPr>
              <w:jc w:val="right"/>
              <w:ind w:right="117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7400" w:type="dxa"/>
            <w:vAlign w:val="bottom"/>
          </w:tcPr>
          <w:p>
            <w:pPr>
              <w:spacing w:after="0"/>
              <w:rPr>
                <w:sz w:val="13"/>
                <w:szCs w:val="13"/>
                <w:color w:val="auto"/>
              </w:rPr>
            </w:pPr>
          </w:p>
        </w:tc>
        <w:tc>
          <w:tcPr>
            <w:tcW w:w="11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June 29,</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436"/>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74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169,652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174,624</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201,831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199,201</w:t>
            </w:r>
          </w:p>
        </w:tc>
      </w:tr>
      <w:tr>
        <w:trPr>
          <w:trHeight w:val="21"/>
        </w:trPr>
        <w:tc>
          <w:tcPr>
            <w:tcW w:w="7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a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business acquisitions and the transaction values observed and its related control premiums.</w:t>
      </w:r>
    </w:p>
    <w:p>
      <w:pPr>
        <w:spacing w:after="0" w:line="6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No material adverse factors/changes have occurred since the fourth quarter of 2023 that would require us to perform another qualitative or quantitative assessment. As such, for the second quarter of 2024, it was also not more likely than not that the fair values of the reporting units were less than their carrying amounts and thus, the respective goodwill amounts were not deemed to be impaired.</w:t>
      </w:r>
    </w:p>
    <w:p>
      <w:pPr>
        <w:spacing w:after="0" w:line="4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April 2023, we completed the acquisition of BLR. The excess of the purchase price over the aggregate fair values of the net assets was recorded as goodwill. See Note 2 for further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3"/>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Structural</w:t>
            </w:r>
          </w:p>
        </w:tc>
        <w:tc>
          <w:tcPr>
            <w:tcW w:w="1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Systems</w:t>
            </w:r>
          </w:p>
        </w:tc>
        <w:tc>
          <w:tcPr>
            <w:tcW w:w="160" w:type="dxa"/>
            <w:vAlign w:val="bottom"/>
          </w:tcPr>
          <w:p>
            <w:pPr>
              <w:spacing w:after="0"/>
              <w:rPr>
                <w:sz w:val="16"/>
                <w:szCs w:val="16"/>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326,322</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0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244,600</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244,600</w:t>
            </w: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and 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52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7480" w:type="dxa"/>
            <w:vAlign w:val="bottom"/>
          </w:tcPr>
          <w:p>
            <w:pPr>
              <w:spacing w:after="0"/>
              <w:rPr>
                <w:sz w:val="13"/>
                <w:szCs w:val="13"/>
                <w:color w:val="auto"/>
              </w:rPr>
            </w:pPr>
          </w:p>
        </w:tc>
        <w:tc>
          <w:tcPr>
            <w:tcW w:w="11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June 29,</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396"/>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74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18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35,574</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r>
      <w:tr>
        <w:trPr>
          <w:trHeight w:val="22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42,260</w:t>
            </w:r>
          </w:p>
        </w:tc>
      </w:tr>
      <w:tr>
        <w:trPr>
          <w:trHeight w:val="21"/>
        </w:trPr>
        <w:tc>
          <w:tcPr>
            <w:tcW w:w="7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80" w:type="dxa"/>
            <w:vAlign w:val="bottom"/>
            <w:gridSpan w:val="4"/>
          </w:tcPr>
          <w:p>
            <w:pPr>
              <w:jc w:val="right"/>
              <w:ind w:right="1273"/>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58"/>
        </w:trPr>
        <w:tc>
          <w:tcPr>
            <w:tcW w:w="7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20" w:type="dxa"/>
            <w:vAlign w:val="bottom"/>
            <w:gridSpan w:val="2"/>
          </w:tcPr>
          <w:p>
            <w:pPr>
              <w:ind w:left="300"/>
              <w:spacing w:after="0" w:line="159" w:lineRule="exact"/>
              <w:rPr>
                <w:sz w:val="20"/>
                <w:szCs w:val="20"/>
                <w:color w:val="auto"/>
              </w:rPr>
            </w:pPr>
            <w:r>
              <w:rPr>
                <w:rFonts w:ascii="Times New Roman" w:cs="Times New Roman" w:eastAsia="Times New Roman" w:hAnsi="Times New Roman"/>
                <w:sz w:val="14"/>
                <w:szCs w:val="14"/>
                <w:color w:val="auto"/>
              </w:rPr>
              <w:t>June 29,</w:t>
            </w:r>
          </w:p>
        </w:tc>
        <w:tc>
          <w:tcPr>
            <w:tcW w:w="340" w:type="dxa"/>
            <w:vAlign w:val="bottom"/>
          </w:tcPr>
          <w:p>
            <w:pPr>
              <w:spacing w:after="0"/>
              <w:rPr>
                <w:sz w:val="13"/>
                <w:szCs w:val="13"/>
                <w:color w:val="auto"/>
              </w:rPr>
            </w:pPr>
          </w:p>
        </w:tc>
        <w:tc>
          <w:tcPr>
            <w:tcW w:w="1620" w:type="dxa"/>
            <w:vAlign w:val="bottom"/>
          </w:tcPr>
          <w:p>
            <w:pPr>
              <w:jc w:val="right"/>
              <w:ind w:right="493"/>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239,063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242,188</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23,800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23,800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262,863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265,988</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251,925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258,175</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250,896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256,961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5"/>
              <w:spacing w:after="0" w:line="203" w:lineRule="exact"/>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(1) Included as part of other assets.</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represent our credit facilities (“2022 Credit Facilities”).</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required quarterly amortization payments began in the fourth quarter of 2022.</w:t>
      </w:r>
    </w:p>
    <w:p>
      <w:pPr>
        <w:spacing w:after="0" w:line="7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 Interest payments are typically paid on a monthly or quarterly basis, depending on the interest rate selected, on the last business day each month or quarter.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w:t>
      </w:r>
    </w:p>
    <w:p>
      <w:pPr>
        <w:spacing w:after="0" w:line="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our prior credit facilities.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June 29, 2024 and July 1, 2023, we made the required quarterly amortization payments on the 2022 Term Loan of $1.6 million. For each of the six months ended June 29, 2024 and July 1, 2023, we made the required amortization payments on the 2022 Term Loan totaling $3.1 million.</w:t>
      </w:r>
    </w:p>
    <w:p>
      <w:pPr>
        <w:spacing w:after="0" w:line="4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June 29, 2024, we had $176.0 million of unused borrowing capacity under the 2022 Revolving Credit Facility, after deducting $0.2 million for standby letters of credit.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29, 2024, we were in compliance with all covenants required under the 2022 Credit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Term Loan was considered a modification of debt for some lenders and an extinguishment of debt for other lenders, and thus, a loss of</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$0.2 million was recorded related to the extinguishment. In addition, the new fees incurred of $0.8 million were capitalized and will be amortized over the life of the 2022 Term Loan. Further, the remaining debt issuance costs related to the prior term loans of $1.0 million as of the modification date will be amortized over the life of the 2022 Term Loan, using the effective interest method.</w:t>
      </w:r>
    </w:p>
    <w:p>
      <w:pPr>
        <w:spacing w:after="0" w:line="51"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The 2022 Revolving Credit Facility that replaced the prior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prior revolving credit facility that was considered an extinguishment of debt of $0.1 million. In addition, the new fees incurred of $1.7 million as part of the 2022 Revolving Credit Facility were capitalized and will be amortized over the life of the 2022 Revolving Credit Facility. Further, the remaining debt issuance costs related to the prior revolving credit facility of $0.8 million as of the modification date will also be amortized over the life of the 2022 Revolving Credit Facility.</w:t>
      </w:r>
    </w:p>
    <w:p>
      <w:pPr>
        <w:spacing w:after="0" w:line="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5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for further information.</w:t>
      </w:r>
    </w:p>
    <w:p>
      <w:pPr>
        <w:spacing w:after="0" w:line="4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May 2023, we completed a public offering of our common stock resulting in net proceeds of $85.1 million. We utilized the net proceeds plus cash on hand to pay down $85.2 million on the 2022 Revolving Credit Facility. See Note 9 for further information.</w:t>
      </w:r>
    </w:p>
    <w:p>
      <w:pPr>
        <w:spacing w:after="0" w:line="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were not effective until January 1, 2024, we only recorded the changes in fair value of the derivative instruments that were highly effective and that were designated and qualified as cash flow hedges in other comprehensive income through December 31, 2023. See Note 1 and Note 4 for further information.</w:t>
      </w:r>
    </w:p>
    <w:p>
      <w:pPr>
        <w:spacing w:after="0" w:line="70"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were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is 1.7%, as a result of the difference between U.S. dollar-one month LIBOR and one month Term SOFR.</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May 2023, we completed a public offering of 2.3 million shares of our common stock at $40.00 per share, for gross proceeds of $92.0 million. The common stock offering was made under our effective shelf registration statement. We incurred aggregate total out of pocket stock offering related fees of $6.9 million, resulting in net proceeds of $85.1 million. As such, we recorded an increase to common stock at par value of less than $0.1 million with the remaining amount as an increase to additional paid-in capital of $85.1 million. The net proceeds of the public stock offering along with cash on hand were used to pay down $85.2 million on the 2022 Revolving Credit Facility that was drawn on and utilized to complete the acquisition of BLR. See Note 2 and Note 8 for further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Indemnifications</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$2.2 million for the three months ended June 29, 2024 compared to $1.0 million for the three months ended July 1, 2023. The increase in income tax expense for the second quarter of 2024 compared to the second quarter of 2023 was primarily due to higher pre-tax income and higher income tax expense related to non-deductible book compensation expenses in the second quarter of 2024 compared to the second quarter of 2023. The increase in income tax expense was partially offset by higher income tax benefits related to the U.S. Federal research and development credit recognized in the second quarter of 2024 compared to the second quarter of 2023.</w:t>
      </w:r>
    </w:p>
    <w:p>
      <w:pPr>
        <w:spacing w:after="0" w:line="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$4.1 million for the six months ended June 29, 2024 compared to $1.8 million for the six months ended July 1, 2023. The increase in income tax expense for the six months ended June 29, 2024 compared to the six months ended July 1, 2023 was primarily due to higher pre-tax income and higher income tax expense related to non-deductible book compensation expenses in the six months ended June 29, 2024 compared to the six months ended July 1, 2023. The increase in income tax expense was partially offset by higher income tax benefits related to the U.S. Federal research and development credit recognized in the six months ended June 29, 2024 compared to the six months ended July 1, 2023.</w:t>
      </w:r>
    </w:p>
    <w:p>
      <w:pPr>
        <w:spacing w:after="0" w:line="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$4.8 million and $4.5 million as of June 29, 2024 and December 31, 2023, respectively. If recognized, $3.0 million would affect the effective tax rate. We record interest and penalty charges, if any, related to uncertain tax positions as a component of tax expense and unrecognized tax benefits. The amounts accrued for interest and penalty charges as of June 29, 2024 and December 31, 2023 were not significant. As a result of statute of limitations set to expire in the fourth quarter of 2024, we expect decreases to our unrecognized tax benefits of approximately $1.0 million in the next twelve months.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2019 and by state taxing authorities for tax years after 2018.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California’s Wage and Hour Laws Complaint</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alleged violations of California’s wage and hour laws relating to our current and former employees and sought attorney’s fees and penalties. We vigorously refuted and defended against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which remained unchanged as of December 31, 2022 as we were awaiting final court approval of this settlement. Subsequent to final court approval and paying of the $0.9 million in January 2023, during the third quarter of 2023 and upon plaintiff's motion, the court re-opened the settlement agreement to determine whether the class list captured all affected employees. We are appealing this decision and intend to defend our position vigorously. Any amount of additional liability is still undetermined pending the appeal and as such, there is no amount of loss that is probable and reasonably estimable at this time. Thus, no additional accrual was recorded during the three and six months ended June 29,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Groundwater</w:t>
      </w:r>
    </w:p>
    <w:p>
      <w:pPr>
        <w:spacing w:after="0" w:line="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June 29, 2024 and December 31, 2023, which is reflected in other long-term liabilities on our condensed consolidated balance sheets.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Waste Disposal</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June 29, 2024 and December 31, 2023,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Guaymas Performance Center Fire</w:t>
      </w:r>
    </w:p>
    <w:p>
      <w:pPr>
        <w:spacing w:after="0" w:line="106"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comprised of two buildings with an aggregate total of 62,000 square feet, was severely damaged. The loss of production from the Guaymas performance center was absorbed by our other existing performance centers; however, we have reestablished our operations and are in the process of certification with various customers and ramping up our manufacturing capabilities in a different leased facility with 117,000 square feet in Guaymas. A neighboring, non-related manufacturing facility, also suffered fire damage during the same time as the fire that severely damaged our Guaymas performance center, and in November 2023, the occupant of the neighboring facility filed suit against us in U.S. District Court for the Central District of California seeking unspecified amounts for damages relating to the fire. In addition, subsequent to the quarter end, we received a subrogation demand from our landlord’s insurer, which we are currently evaluating. We intend to defend these matters vigorously and believe we have substantial defenses in relation to these claims. As responsibility for the fire is still undetermined, there is no amount of loss that is probable and reasonably estimable at this time. If we are ultimately deemed to be responsible or party responsible, it is possible we could incur a loss in excess of our insurance coverage limits, which could be material to our cash flow, liquidity, or financial results.</w:t>
      </w:r>
    </w:p>
    <w:p>
      <w:pPr>
        <w:spacing w:after="0" w:line="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are not recorded until all contingencies related to our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have been resolved.</w:t>
      </w:r>
    </w:p>
    <w:p>
      <w:pPr>
        <w:spacing w:after="0" w:line="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insurance claim for damages to our operating assets and business interruption was deemed final and closed by our insurance company during the three months ended July 1, 2023. Thus, the final $3.8 million of insurance recoveries were also received and recorded as other income during the three months ended July 1, 2023. In addition, the remaining general insurance recoveries that were received in 2020 of $3.9 million, but recognition was deferred until all the gain contingencies were resolved, such gain contingencies were deemed resolved and thus, recorded as other income during the three months ended July 1, 2023. Cumulatively, as of July 1, 2023, we received insurance recoveries in aggregate total of $23.7 million, with $7.5 million for business interruption and $16.2 million for damages to property and equipment, inventories, and tooling. Further, all insurance recovery amounts received related to this claim have been recognized up to the amount of net book value loss and presented within the same financial statement line item in the condensed consolidated statements of income resulting in no net impact, with the remaining amounts recognized as other income in our condensed consolidated statements of income when the contingencies were deemed resolved.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Structural Systems Performance Center Fire</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April 2023, a fire damaged a relatively small portion of one of our performance centers in our Structural Systems reporting segment. There were no injuries; however, subsequent to the fire, we determined that some property and equipment in this company-owned facility were damaged.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the incident did not otherwise result in significant disruption to customer delivery schedules. Production in this damaged portion resumed later that same quarter. As such, during the three months ended July 1, 2023, we wrote off property and equipment with an aggregate total net book value of $0.2 million. Also during the three months ended July 1, 2023, we received insurance recoveries of $0.3 million (which was net of our deductible of $0.1 million) and thus, such insurance recoveries were also presented within the same financial statement line item in the condensed consolidated statements of income resulting in no net impact. The amount of the insurance recoveries received in excess of the loss on operating assets was deemed a contingent gain, and since the gain contingencies were deemed resolved, the $0.1 million was also recorded as other income during the three months ended July 1, 2023. Finally, during the three months ended December 31, 2023, the insurance claim was deemed final and closed by our insurance company and we received a final payment of $0.3 million, which was recorded as other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Obligations</w:t>
      </w:r>
    </w:p>
    <w:p>
      <w:pPr>
        <w:spacing w:after="0" w:line="10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Real estate obligations, which include legally binding minimum lease payments for an executed lease that had not yet commenced, were $5.8 million as of June 29, 2024, and will be paid over the lease term of 10 years.</w:t>
      </w:r>
    </w:p>
    <w:p>
      <w:pPr>
        <w:spacing w:after="0" w:line="10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Business Segment Information</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operating segment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3"/>
                <w:szCs w:val="13"/>
                <w:color w:val="auto"/>
              </w:rPr>
            </w:pPr>
          </w:p>
        </w:tc>
        <w:tc>
          <w:tcPr>
            <w:tcW w:w="24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June 29,</w:t>
            </w:r>
          </w:p>
        </w:tc>
        <w:tc>
          <w:tcPr>
            <w:tcW w:w="280" w:type="dxa"/>
            <w:vAlign w:val="bottom"/>
          </w:tcPr>
          <w:p>
            <w:pPr>
              <w:spacing w:after="0"/>
              <w:rPr>
                <w:sz w:val="12"/>
                <w:szCs w:val="12"/>
                <w:color w:val="auto"/>
              </w:rPr>
            </w:pPr>
          </w:p>
        </w:tc>
        <w:tc>
          <w:tcPr>
            <w:tcW w:w="11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July 1,</w:t>
            </w:r>
          </w:p>
        </w:tc>
        <w:tc>
          <w:tcPr>
            <w:tcW w:w="260" w:type="dxa"/>
            <w:vAlign w:val="bottom"/>
          </w:tcPr>
          <w:p>
            <w:pPr>
              <w:spacing w:after="0"/>
              <w:rPr>
                <w:sz w:val="12"/>
                <w:szCs w:val="12"/>
                <w:color w:val="auto"/>
              </w:rPr>
            </w:pPr>
          </w:p>
        </w:tc>
        <w:tc>
          <w:tcPr>
            <w:tcW w:w="11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June 29,</w:t>
            </w:r>
          </w:p>
        </w:tc>
        <w:tc>
          <w:tcPr>
            <w:tcW w:w="280" w:type="dxa"/>
            <w:vAlign w:val="bottom"/>
          </w:tcPr>
          <w:p>
            <w:pPr>
              <w:spacing w:after="0"/>
              <w:rPr>
                <w:sz w:val="12"/>
                <w:szCs w:val="12"/>
                <w:color w:val="auto"/>
              </w:rPr>
            </w:pPr>
          </w:p>
        </w:tc>
        <w:tc>
          <w:tcPr>
            <w:tcW w:w="104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July 1,</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155,761</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387,847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368,511</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Segment Operating Income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700" w:hanging="329"/>
        <w:spacing w:after="0" w:line="282"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the three months and six months ended June 29, 2024 include BLR’s results of operations, which have been included in our condensed consolidated statements of income since the date of acquisition as part of the Structural Systems segment. See Note 2.</w:t>
      </w:r>
    </w:p>
    <w:p>
      <w:pPr>
        <w:spacing w:after="0" w:line="40"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include assets directly identifiable to or allocated to each segment. Our segment assets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8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June 29,</w:t>
            </w: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505,371</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Structural Systems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552,641</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173,214</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Structural Systems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237,729</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410,943</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80" w:right="140" w:hanging="329"/>
        <w:spacing w:after="0" w:line="266"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we acquired 100.0% of the outstanding equity interests of BLR for an initial purchase price of $115.0 million, net of cash acquired. We allocated the gross purchase price of $117.0 million to the assets acquired and liabilities assumed at their estimated fair values. The excess of the purchase price over the aggregate fair values of the net assets was recorded as goodwill. See Note 2.</w:t>
      </w:r>
    </w:p>
    <w:p>
      <w:pPr>
        <w:spacing w:after="0" w:line="54" w:lineRule="exact"/>
        <w:rPr>
          <w:rFonts w:ascii="Times New Roman" w:cs="Times New Roman" w:eastAsia="Times New Roman" w:hAnsi="Times New Roman"/>
          <w:sz w:val="18"/>
          <w:szCs w:val="18"/>
          <w:color w:val="auto"/>
        </w:rPr>
      </w:pPr>
    </w:p>
    <w:p>
      <w:pPr>
        <w:ind w:left="580" w:right="120" w:hanging="329"/>
        <w:spacing w:after="0" w:line="282"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its 2023 Annual Report on Form 10-K, The Boeing Company (“Boeing”) indicated that in 2023, global air traffic largely recovered to 2019 levels with domestic travel continuing to be the most robust and international travel has mostly recovered. For 2024, while both major large aircraft manufacturers, Boeing and Airbus SE, have announced either similar or increases in build rates compared to 2023, the ramp up to date has been slower than initially expected and below pre-pandemic levels. In addition, Boeing, one of our largest customers, was notified by the Federal Aviation Administration (“FAA”) in early January 2024 that the FAA had initiated an investigation into Boeing’s quality control system. This notification was followed by the FAA announcing actions to increase its oversight of Boeing as well as not approving production rate increases or additional production lines for the 737 MAX until it is satisfied that Boeing is in full compliance with required quality control procedures. In July 2024, Boeing also pleaded guilty to conspiracy fraud charges, which may result in additional external oversight on its manufacturing and quality control process. Since Boeing is one of our largest customers, if Boeing is unable to meet the full compliance of the FAA’s required quality control procedures, it could have a material adverse impact on our business, results of operations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recap:</w:t>
      </w:r>
    </w:p>
    <w:p>
      <w:pPr>
        <w:spacing w:after="0" w:line="121"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$197.0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$7.7 million, or 3.9% of net revenues, or $0.52 per diluted share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$30.0 million, or 15.2% of net revenues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of 2024 Compared to Second Quarter of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80" w:type="dxa"/>
            <w:vAlign w:val="bottom"/>
            <w:gridSpan w:val="7"/>
          </w:tcPr>
          <w:p>
            <w:pPr>
              <w:jc w:val="center"/>
              <w:ind w:left="59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00" w:type="dxa"/>
            <w:vAlign w:val="bottom"/>
            <w:gridSpan w:val="7"/>
          </w:tcPr>
          <w:p>
            <w:pPr>
              <w:jc w:val="center"/>
              <w:ind w:left="57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Six Months Ended</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June 29,</w:t>
            </w:r>
          </w:p>
        </w:tc>
        <w:tc>
          <w:tcPr>
            <w:tcW w:w="1000" w:type="dxa"/>
            <w:vAlign w:val="bottom"/>
            <w:gridSpan w:val="2"/>
          </w:tcPr>
          <w:p>
            <w:pPr>
              <w:jc w:val="center"/>
              <w:ind w:left="3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July 1,</w:t>
            </w:r>
          </w:p>
        </w:tc>
        <w:tc>
          <w:tcPr>
            <w:tcW w:w="8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color w:val="auto"/>
              </w:rPr>
              <w:t>June 29,</w:t>
            </w:r>
          </w:p>
        </w:tc>
        <w:tc>
          <w:tcPr>
            <w:tcW w:w="1020" w:type="dxa"/>
            <w:vAlign w:val="bottom"/>
            <w:gridSpan w:val="2"/>
          </w:tcPr>
          <w:p>
            <w:pPr>
              <w:jc w:val="center"/>
              <w:ind w:left="1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July 1,</w:t>
            </w:r>
          </w:p>
        </w:tc>
        <w:tc>
          <w:tcPr>
            <w:tcW w:w="9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0" w:type="dxa"/>
            <w:vAlign w:val="bottom"/>
          </w:tcPr>
          <w:p>
            <w:pPr>
              <w:spacing w:after="0"/>
              <w:rPr>
                <w:sz w:val="1"/>
                <w:szCs w:val="1"/>
                <w:color w:val="auto"/>
              </w:rPr>
            </w:pPr>
          </w:p>
        </w:tc>
      </w:tr>
      <w:tr>
        <w:trPr>
          <w:trHeight w:val="193"/>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6"/>
                <w:szCs w:val="16"/>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tcPr>
          <w:p>
            <w:pPr>
              <w:spacing w:after="0"/>
              <w:rPr>
                <w:sz w:val="16"/>
                <w:szCs w:val="16"/>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22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197,000</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187,320</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387,847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368,511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145,761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147,198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289,665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291,622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51,239</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40,122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98,182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76,889</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Pr>
          <w:p>
            <w:pPr>
              <w:spacing w:after="0"/>
              <w:rPr>
                <w:sz w:val="20"/>
                <w:szCs w:val="20"/>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36,061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30,348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69,012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56,573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4,769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8,939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13,924</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5,005</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26,546</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11,377</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(3,975)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(5,735)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(7,858)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(9,954)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7,945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9,949</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18,688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9,368</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7,724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14,573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108"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Net revenues by end-use market and operating segment during the fiscal three and six months ended June 29, 2024 and July 1, 2023,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Three Months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95"/>
              </w:rPr>
              <w:t>Six Months 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6"/>
          </w:tcPr>
          <w:p>
            <w:pPr>
              <w:ind w:left="220"/>
              <w:spacing w:after="0"/>
              <w:rPr>
                <w:sz w:val="20"/>
                <w:szCs w:val="20"/>
                <w:color w:val="auto"/>
              </w:rPr>
            </w:pPr>
            <w:r>
              <w:rPr>
                <w:rFonts w:ascii="Times New Roman" w:cs="Times New Roman" w:eastAsia="Times New Roman" w:hAnsi="Times New Roman"/>
                <w:sz w:val="11"/>
                <w:szCs w:val="11"/>
                <w:color w:val="auto"/>
              </w:rPr>
              <w:t>(Dollars in thousands)</w:t>
            </w:r>
          </w:p>
        </w:tc>
        <w:tc>
          <w:tcPr>
            <w:tcW w:w="1700" w:type="dxa"/>
            <w:vAlign w:val="bottom"/>
            <w:tcBorders>
              <w:top w:val="single" w:sz="8" w:color="auto"/>
            </w:tcBorders>
            <w:gridSpan w:val="3"/>
          </w:tcPr>
          <w:p>
            <w:pPr>
              <w:jc w:val="right"/>
              <w:ind w:right="431"/>
              <w:spacing w:after="0"/>
              <w:rPr>
                <w:sz w:val="20"/>
                <w:szCs w:val="20"/>
                <w:color w:val="auto"/>
              </w:rPr>
            </w:pPr>
            <w:r>
              <w:rPr>
                <w:rFonts w:ascii="Times New Roman" w:cs="Times New Roman" w:eastAsia="Times New Roman" w:hAnsi="Times New Roman"/>
                <w:sz w:val="11"/>
                <w:szCs w:val="11"/>
                <w:color w:val="auto"/>
              </w:rPr>
              <w:t>% of Net Revenues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1"/>
                <w:szCs w:val="11"/>
                <w:color w:val="auto"/>
              </w:rPr>
              <w:t>(Dollars in thousands)</w:t>
            </w:r>
          </w:p>
        </w:tc>
        <w:tc>
          <w:tcPr>
            <w:tcW w:w="1860" w:type="dxa"/>
            <w:vAlign w:val="bottom"/>
            <w:tcBorders>
              <w:top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6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June 29,</w:t>
            </w:r>
          </w:p>
        </w:tc>
        <w:tc>
          <w:tcPr>
            <w:tcW w:w="18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July 1,</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June 29,</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July 1,</w:t>
            </w: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6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June 29,</w:t>
            </w:r>
          </w:p>
        </w:tc>
        <w:tc>
          <w:tcPr>
            <w:tcW w:w="100" w:type="dxa"/>
            <w:vAlign w:val="bottom"/>
          </w:tcPr>
          <w:p>
            <w:pPr>
              <w:spacing w:after="0"/>
              <w:rPr>
                <w:sz w:val="11"/>
                <w:szCs w:val="11"/>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July 1,</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June 29,</w:t>
            </w: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1"/>
                <w:szCs w:val="11"/>
                <w:color w:val="auto"/>
              </w:rPr>
              <w:t>July 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31"/>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rPr>
              <w:t>2024</w:t>
            </w:r>
          </w:p>
        </w:tc>
        <w:tc>
          <w:tcPr>
            <w:tcW w:w="120" w:type="dxa"/>
            <w:vAlign w:val="bottom"/>
          </w:tcPr>
          <w:p>
            <w:pPr>
              <w:spacing w:after="0"/>
              <w:rPr>
                <w:sz w:val="12"/>
                <w:szCs w:val="12"/>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0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 Ducommun</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100,538</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97,370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4"/>
                <w:szCs w:val="14"/>
                <w:color w:val="auto"/>
              </w:rPr>
              <w:t>199,467</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195,040</w:t>
            </w: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76,764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166,560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148,584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13,186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21,820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24,887</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187,320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387,847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368,511</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Systems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920" w:type="dxa"/>
            <w:vAlign w:val="bottom"/>
            <w:tcBorders>
              <w:top w:val="single" w:sz="8" w:color="CCEEFF"/>
            </w:tcBorders>
            <w:gridSpan w:val="3"/>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69,987</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71,772</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69.0 %</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4"/>
                <w:szCs w:val="14"/>
                <w:color w:val="auto"/>
              </w:rPr>
              <w:t>142,492</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145,099</w:t>
            </w: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44,667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13,186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21,820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24,887</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101,440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107,124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208,979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212,750</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Structural Systems</w:t>
            </w:r>
          </w:p>
        </w:tc>
        <w:tc>
          <w:tcPr>
            <w:tcW w:w="9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30,551</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25,598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56,975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49,941</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54,598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121,893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105,820</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68.1 %</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95,560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80,196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178,868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155,761</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June 29, 2024 were $197.0 million, compared to $187.3 million for the three months ended July 1, 2023. The year-over-year increase in our key end-use markets were primarily due to the following:</w:t>
      </w:r>
    </w:p>
    <w:p>
      <w:pPr>
        <w:spacing w:after="0" w:line="40" w:lineRule="exact"/>
        <w:rPr>
          <w:sz w:val="20"/>
          <w:szCs w:val="20"/>
          <w:color w:val="auto"/>
        </w:rPr>
      </w:pPr>
    </w:p>
    <w:p>
      <w:pPr>
        <w:ind w:left="660" w:right="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higher revenues in our commercial aerospace end-use markets due to higher production on selected single-aisle and twin-aisle aircraft, buffer stock build for the Monrovia performance center closure, and growth in regional and business aircraft platforms, partially offset by lower revenues from in-flight entertainment; and</w:t>
      </w:r>
    </w:p>
    <w:p>
      <w:pPr>
        <w:spacing w:after="0" w:line="5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higher revenues in our military and space end-use markets due to higher rates on rotary-wing aircraft and naval platforms, partially offset by lower rates on fixed-wing aircraft platforms.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three months ended June 29, 2024 decreased $3.4 million compared to the three months ended July 1, 2023 mainly due to our selectively pruning non-core business.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revenues for the six months ended June 29, 2024 were $387.8 million, compared to $368.5 million for the six months ended July 1, 2023. The year-over-year increase in our key end-use markets were primarily due to the following:</w:t>
      </w:r>
    </w:p>
    <w:p>
      <w:pPr>
        <w:spacing w:after="0" w:line="27" w:lineRule="exact"/>
        <w:rPr>
          <w:sz w:val="20"/>
          <w:szCs w:val="20"/>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million higher revenues in our commercial aerospace end-use markets due to higher rates on select single-aisle and twin-aisle aircraft, buffer stock for the Monrovia performance center closure, growth in regional and business aircraft platforms, partially offset by lower revenues from in-flight entertainment;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 million higher revenues in our military and space end-use markets due to higher rates on naval and submarine platforms, naval and rotary-wing aircraft platforms, and various radar platforms, partially offset by lower rates on fixed-wing aircraft platforms and various missile platforms.</w:t>
      </w:r>
    </w:p>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six months ended June 29, 2024 decreased $3.1 million compared to the six months ended July 1, 2023 mainly due to our selectively pruning non-core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50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58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Three Months Ended</w:t>
            </w:r>
          </w:p>
        </w:tc>
        <w:tc>
          <w:tcPr>
            <w:tcW w:w="2480" w:type="dxa"/>
            <w:vAlign w:val="bottom"/>
            <w:gridSpan w:val="3"/>
          </w:tcPr>
          <w:p>
            <w:pPr>
              <w:jc w:val="right"/>
              <w:ind w:right="614"/>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23"/>
        </w:trPr>
        <w:tc>
          <w:tcPr>
            <w:tcW w:w="5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r>
      <w:tr>
        <w:trPr>
          <w:trHeight w:val="133"/>
        </w:trPr>
        <w:tc>
          <w:tcPr>
            <w:tcW w:w="5180" w:type="dxa"/>
            <w:vAlign w:val="bottom"/>
          </w:tcPr>
          <w:p>
            <w:pPr>
              <w:spacing w:after="0"/>
              <w:rPr>
                <w:sz w:val="11"/>
                <w:szCs w:val="11"/>
                <w:color w:val="auto"/>
              </w:rPr>
            </w:pPr>
          </w:p>
        </w:tc>
        <w:tc>
          <w:tcPr>
            <w:tcW w:w="1280" w:type="dxa"/>
            <w:vAlign w:val="bottom"/>
            <w:tcBorders>
              <w:top w:val="single" w:sz="8" w:color="auto"/>
            </w:tcBorders>
            <w:gridSpan w:val="2"/>
          </w:tcPr>
          <w:p>
            <w:pPr>
              <w:ind w:left="340"/>
              <w:spacing w:after="0" w:line="133" w:lineRule="exact"/>
              <w:rPr>
                <w:sz w:val="20"/>
                <w:szCs w:val="20"/>
                <w:color w:val="auto"/>
              </w:rPr>
            </w:pPr>
            <w:r>
              <w:rPr>
                <w:rFonts w:ascii="Times New Roman" w:cs="Times New Roman" w:eastAsia="Times New Roman" w:hAnsi="Times New Roman"/>
                <w:sz w:val="14"/>
                <w:szCs w:val="14"/>
                <w:color w:val="auto"/>
              </w:rPr>
              <w:t>June 29,</w:t>
            </w:r>
          </w:p>
        </w:tc>
        <w:tc>
          <w:tcPr>
            <w:tcW w:w="1180" w:type="dxa"/>
            <w:vAlign w:val="bottom"/>
            <w:tcBorders>
              <w:top w:val="single" w:sz="8" w:color="auto"/>
            </w:tcBorders>
          </w:tcPr>
          <w:p>
            <w:pPr>
              <w:jc w:val="right"/>
              <w:ind w:right="314"/>
              <w:spacing w:after="0" w:line="133" w:lineRule="exact"/>
              <w:rPr>
                <w:sz w:val="20"/>
                <w:szCs w:val="20"/>
                <w:color w:val="auto"/>
              </w:rPr>
            </w:pPr>
            <w:r>
              <w:rPr>
                <w:rFonts w:ascii="Times New Roman" w:cs="Times New Roman" w:eastAsia="Times New Roman" w:hAnsi="Times New Roman"/>
                <w:sz w:val="14"/>
                <w:szCs w:val="14"/>
                <w:color w:val="auto"/>
              </w:rPr>
              <w:t>July 1,</w:t>
            </w:r>
          </w:p>
        </w:tc>
        <w:tc>
          <w:tcPr>
            <w:tcW w:w="120" w:type="dxa"/>
            <w:vAlign w:val="bottom"/>
          </w:tcPr>
          <w:p>
            <w:pPr>
              <w:spacing w:after="0"/>
              <w:rPr>
                <w:sz w:val="11"/>
                <w:szCs w:val="11"/>
                <w:color w:val="auto"/>
              </w:rPr>
            </w:pPr>
          </w:p>
        </w:tc>
        <w:tc>
          <w:tcPr>
            <w:tcW w:w="1300" w:type="dxa"/>
            <w:vAlign w:val="bottom"/>
            <w:tcBorders>
              <w:top w:val="single" w:sz="8" w:color="auto"/>
            </w:tcBorders>
            <w:gridSpan w:val="2"/>
          </w:tcPr>
          <w:p>
            <w:pPr>
              <w:ind w:left="360"/>
              <w:spacing w:after="0" w:line="133" w:lineRule="exact"/>
              <w:rPr>
                <w:sz w:val="20"/>
                <w:szCs w:val="20"/>
                <w:color w:val="auto"/>
              </w:rPr>
            </w:pPr>
            <w:r>
              <w:rPr>
                <w:rFonts w:ascii="Times New Roman" w:cs="Times New Roman" w:eastAsia="Times New Roman" w:hAnsi="Times New Roman"/>
                <w:sz w:val="14"/>
                <w:szCs w:val="14"/>
                <w:color w:val="auto"/>
              </w:rPr>
              <w:t>June 29,</w:t>
            </w:r>
          </w:p>
        </w:tc>
        <w:tc>
          <w:tcPr>
            <w:tcW w:w="1180" w:type="dxa"/>
            <w:vAlign w:val="bottom"/>
            <w:tcBorders>
              <w:top w:val="single" w:sz="8" w:color="auto"/>
            </w:tcBorders>
          </w:tcPr>
          <w:p>
            <w:pPr>
              <w:jc w:val="right"/>
              <w:ind w:right="314"/>
              <w:spacing w:after="0" w:line="133" w:lineRule="exact"/>
              <w:rPr>
                <w:sz w:val="20"/>
                <w:szCs w:val="20"/>
                <w:color w:val="auto"/>
              </w:rPr>
            </w:pPr>
            <w:r>
              <w:rPr>
                <w:rFonts w:ascii="Times New Roman" w:cs="Times New Roman" w:eastAsia="Times New Roman" w:hAnsi="Times New Roman"/>
                <w:sz w:val="14"/>
                <w:szCs w:val="14"/>
                <w:color w:val="auto"/>
              </w:rPr>
              <w:t>July 1,</w:t>
            </w:r>
          </w:p>
        </w:tc>
      </w:tr>
      <w:tr>
        <w:trPr>
          <w:trHeight w:val="193"/>
        </w:trPr>
        <w:tc>
          <w:tcPr>
            <w:tcW w:w="51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 Corporation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 Inc.</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top ten customers </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r>
    </w:tbl>
    <w:p>
      <w:pPr>
        <w:spacing w:after="0" w:line="238" w:lineRule="exact"/>
        <w:rPr>
          <w:sz w:val="20"/>
          <w:szCs w:val="20"/>
          <w:color w:val="auto"/>
        </w:rPr>
      </w:pPr>
    </w:p>
    <w:p>
      <w:pPr>
        <w:ind w:left="340" w:right="20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Boeing Company (“Boeing”), Lockheed Martin Corporation (“Lockheed”), Northrop Grumman Corporation (“Northrop”), RTX Corporation (“RTX”), Spirit AeroSystems Holdings, Inc. (“Spirit”), and Viasat, Inc. (“Viasat”) for the three and six months ended June 29, 2024 and July 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Lockheed, Northrop, RTX, Spirit, and Viasat represented the following percentages of total accounts receivable: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June 29,</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86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1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net revenues and accounts receivable from Boeing, Lockheed, Northrop, RTX, Spirit, and Viasat are diversified over a number of commercial, military and space programs and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increased year-over-year with the three months ended June 29, 2024 of 26.0%, compared to the three months ended July 1, 2023 of 21.4% primarily due to higher manufacturing volume and favorable product mix, partially offset by higher other manufacturing costs.</w:t>
      </w:r>
    </w:p>
    <w:p>
      <w:pPr>
        <w:spacing w:after="0" w:line="58"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Gross profit as a percentage of net revenues increased year-over-year with the six months ended June 29, 2024 of 25.3%, compared to the six months ended July 1, 2023 of 20.9% primarily due to higher manufacturing volume and favorable product mix, partially offset by higher other manufacturing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SG&amp;A expenses increased $5.7 million year-over-year in the three months ended June 29, 2024 compared to the three months ended July 1, 2023 primarily due to higher professional services fees of $2.9 million, of which $1.4 million was related to the unsolicited non-binding offer to acquire all common stock outstanding of Ducommun Incorporated, and BLR SG&amp;A expenses of $1.3 million which did not exist until the acquisition of BLR was completed at the end of April 2023.</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SG&amp;A expenses increased $12.4 million year-over-year in the six months ended June 29, 2024 compared to the six months ended July 1, 2023 primarily due to BLR SG&amp;A expenses of $6.8 million which did not exist until the acquisition of BLR was completed at the end of April 2023, higher professional services fees of $2.2 million, of which $1.4 million was related to the unsolicited non-binding offer to acquire all common stock outstanding of Ducommun Incorporated, and higher compensation and benefits expense of $1.8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Restructuring charges decreased $2.7 million and $5.5 million (including $0.9 million recorded as cost of sales in both periods) year-over-year in the three and six months ended June 29, 2024, compared to the three and six months ended July 1, 2023,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primarily due to the winding down of the previously disclosed restructuring plan that was approved and commenced in April 2022. See Note 3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Interest expense decreased $1.8 million and $2.1 million year-over-year in the three and six months ended June 29, 2024, compared to the three and six months ended July 1, 2023, respectively, primarily due to the interest rate swaps that became effective as of January 1, 2024, along with a lower debt balance.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$2.2 million for the three months ended June 29, 2024 compared to $1.0 million for the three months ended July 1, 2023. The increase in income tax expense for the second quarter of 2024 compared to the second quarter of 2023 was primarily due to higher pre-tax income and higher income tax expense related to non-deductible book compensation expenses in the second quarter of 2024 compared to the second quarter of 2023. The increase in income tax expense was partially offset by higher income tax benefits related to the U.S. Federal research and development credit recognized in the second quarter of 2024 compared to the second quarter of 2023.</w:t>
      </w:r>
    </w:p>
    <w:p>
      <w:pPr>
        <w:spacing w:after="0" w:line="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$4.1 million for the six months ended June 29, 2024 compared to $1.8 million for the six months ended July 1, 2023. The increase in income tax expense for the six months ended June 29, 2024 compared to the six months ended July 1, 2023 was primarily due to higher pre-tax income and higher income tax expense related to non-deductible book compensation expenses in the six months ended June 29, 2024 compared to the six months ended July 1, 2023. The increase in income tax expense was partially offset by higher income tax benefits related to the U.S. Federal research and development credit recognized in the six months ended June 29, 2024 compared to the six months ended July 1, 2023.</w:t>
      </w:r>
    </w:p>
    <w:p>
      <w:pPr>
        <w:spacing w:after="0" w:line="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$4.8 million and $4.5 million as of June 29, 2024 and December 31, 2023, respectively. If recognized, $3.0 million would affect the effective tax rate. We record interest and penalty charges, if any, related to uncertain tax positions as a component of tax expense and unrecognized tax benefits. The amounts accrued for interest and penalty charges as of June 29, 2024 and December 31, 2023 were not significant. As a result of statute of limitations set to expire in the fourth quarter of 2024, we expect decreases to our unrecognized tax benefits of approximately $1.0 million in the next twelve months.</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2019 and by state taxing authorities for tax years after 2018.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Net income and earnings per share for the three months ended June 29, 2024 were $7.7 million, or 3.9% of revenues, or $0.52 per diluted share, compared to $2.4 million, or 1.3% of revenues, or $0.17 per diluted share, for the three months ended July 1, 2023. The increase in net income for the three months ended June 29, 2024 compared to the three months ended July 1, 2023 was primarily due to higher gross profit of $11.1 million and lower restructuring charges of $2.7 million ($0.9 million was recorded as cost of sales), partially offset by higher SG&amp;A expenses of $5.7 million and lower other income of $4.1 million. A portion of the higher SG&amp;A expenses were due to BLR SG&amp;A expenses of $1.3 million which did not exist until the end of April 2023.</w:t>
      </w:r>
    </w:p>
    <w:p>
      <w:pPr>
        <w:spacing w:after="0" w:line="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income and earnings per share for the six months ended June 29, 2024 were $14.6 million, or 3.8% of revenues, or $0.97 per diluted share, compared to $7.6 million, or 2.1% of revenues, or $0.58 per diluted share, for the six months ended July 1, 2023. The increase in net income for the six months ended June 29, 2024 compared to the six months ended July 1, 2023 was primarily due to higher gross profit of $21.3 million and lower restructuring charges of $5.5 million ($0.9 million was recorded as cost of sales), partially offset by higher SG&amp;A expenses of $12.4 million and lower other income of $7.9 million. A portion of the higher SG&amp;A expenses were due to BLR SG&amp;A expenses of $6.8 million which did not exist until the end of April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six months ended June 29, 2024 and July 1, 2023: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Three Months Ended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Six Months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56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6"/>
          </w:tcPr>
          <w:p>
            <w:pPr>
              <w:ind w:left="180"/>
              <w:spacing w:after="0"/>
              <w:rPr>
                <w:sz w:val="20"/>
                <w:szCs w:val="20"/>
                <w:color w:val="auto"/>
              </w:rPr>
            </w:pPr>
            <w:r>
              <w:rPr>
                <w:rFonts w:ascii="Times New Roman" w:cs="Times New Roman" w:eastAsia="Times New Roman" w:hAnsi="Times New Roman"/>
                <w:sz w:val="11"/>
                <w:szCs w:val="11"/>
                <w:color w:val="auto"/>
              </w:rPr>
              <w:t>(Dollars in thousands)</w:t>
            </w:r>
          </w:p>
        </w:tc>
        <w:tc>
          <w:tcPr>
            <w:tcW w:w="1540" w:type="dxa"/>
            <w:vAlign w:val="bottom"/>
            <w:tcBorders>
              <w:top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1"/>
                <w:szCs w:val="11"/>
                <w:color w:val="auto"/>
              </w:rPr>
              <w:t>% of Net Revenues</w:t>
            </w:r>
          </w:p>
        </w:tc>
        <w:tc>
          <w:tcPr>
            <w:tcW w:w="120" w:type="dxa"/>
            <w:vAlign w:val="bottom"/>
          </w:tcPr>
          <w:p>
            <w:pPr>
              <w:spacing w:after="0"/>
              <w:rPr>
                <w:sz w:val="11"/>
                <w:szCs w:val="11"/>
                <w:color w:val="auto"/>
              </w:rPr>
            </w:pPr>
          </w:p>
        </w:tc>
        <w:tc>
          <w:tcPr>
            <w:tcW w:w="56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6"/>
          </w:tcPr>
          <w:p>
            <w:pPr>
              <w:ind w:left="200"/>
              <w:spacing w:after="0"/>
              <w:rPr>
                <w:sz w:val="20"/>
                <w:szCs w:val="20"/>
                <w:color w:val="auto"/>
              </w:rPr>
            </w:pPr>
            <w:r>
              <w:rPr>
                <w:rFonts w:ascii="Times New Roman" w:cs="Times New Roman" w:eastAsia="Times New Roman" w:hAnsi="Times New Roman"/>
                <w:sz w:val="11"/>
                <w:szCs w:val="11"/>
                <w:color w:val="auto"/>
              </w:rPr>
              <w:t>(Dollars in thousands)</w:t>
            </w:r>
          </w:p>
        </w:tc>
        <w:tc>
          <w:tcPr>
            <w:tcW w:w="1600" w:type="dxa"/>
            <w:vAlign w:val="bottom"/>
            <w:tcBorders>
              <w:top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Change</w:t>
            </w:r>
          </w:p>
        </w:tc>
        <w:tc>
          <w:tcPr>
            <w:tcW w:w="14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June 29,</w:t>
            </w:r>
          </w:p>
        </w:tc>
        <w:tc>
          <w:tcPr>
            <w:tcW w:w="16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July 1,</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June 29,</w:t>
            </w: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1"/>
                <w:szCs w:val="11"/>
                <w:color w:val="auto"/>
              </w:rPr>
              <w:t>July 1,</w:t>
            </w:r>
          </w:p>
        </w:tc>
        <w:tc>
          <w:tcPr>
            <w:tcW w:w="120" w:type="dxa"/>
            <w:vAlign w:val="bottom"/>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Change</w:t>
            </w:r>
          </w:p>
        </w:tc>
        <w:tc>
          <w:tcPr>
            <w:tcW w:w="16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June 29,</w:t>
            </w:r>
          </w:p>
        </w:tc>
        <w:tc>
          <w:tcPr>
            <w:tcW w:w="100" w:type="dxa"/>
            <w:vAlign w:val="bottom"/>
          </w:tcPr>
          <w:p>
            <w:pPr>
              <w:spacing w:after="0"/>
              <w:rPr>
                <w:sz w:val="11"/>
                <w:szCs w:val="11"/>
                <w:color w:val="auto"/>
              </w:rPr>
            </w:pP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July 1,</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June 29,</w:t>
            </w: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1"/>
                <w:szCs w:val="11"/>
                <w:color w:val="auto"/>
              </w:rPr>
              <w:t>July 1,</w:t>
            </w:r>
          </w:p>
        </w:tc>
        <w:tc>
          <w:tcPr>
            <w:tcW w:w="0" w:type="dxa"/>
            <w:vAlign w:val="bottom"/>
          </w:tcPr>
          <w:p>
            <w:pPr>
              <w:spacing w:after="0"/>
              <w:rPr>
                <w:sz w:val="1"/>
                <w:szCs w:val="1"/>
                <w:color w:val="auto"/>
              </w:rPr>
            </w:pPr>
          </w:p>
        </w:tc>
      </w:tr>
      <w:tr>
        <w:trPr>
          <w:trHeight w:val="140"/>
        </w:trPr>
        <w:tc>
          <w:tcPr>
            <w:tcW w:w="28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98"/>
              <w:spacing w:after="0"/>
              <w:rPr>
                <w:sz w:val="20"/>
                <w:szCs w:val="20"/>
                <w:color w:val="auto"/>
              </w:rPr>
            </w:pPr>
            <w:r>
              <w:rPr>
                <w:rFonts w:ascii="Times New Roman" w:cs="Times New Roman" w:eastAsia="Times New Roman" w:hAnsi="Times New Roman"/>
                <w:sz w:val="11"/>
                <w:szCs w:val="1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19"/>
              <w:spacing w:after="0"/>
              <w:rPr>
                <w:sz w:val="20"/>
                <w:szCs w:val="20"/>
                <w:color w:val="auto"/>
              </w:rPr>
            </w:pPr>
            <w:r>
              <w:rPr>
                <w:rFonts w:ascii="Times New Roman" w:cs="Times New Roman" w:eastAsia="Times New Roman" w:hAnsi="Times New Roman"/>
                <w:sz w:val="11"/>
                <w:szCs w:val="11"/>
                <w:color w:val="auto"/>
              </w:rPr>
              <w:t>2024</w:t>
            </w:r>
          </w:p>
        </w:tc>
        <w:tc>
          <w:tcPr>
            <w:tcW w:w="120" w:type="dxa"/>
            <w:vAlign w:val="bottom"/>
          </w:tcPr>
          <w:p>
            <w:pPr>
              <w:spacing w:after="0"/>
              <w:rPr>
                <w:sz w:val="12"/>
                <w:szCs w:val="12"/>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22"/>
        </w:trPr>
        <w:tc>
          <w:tcPr>
            <w:tcW w:w="2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101,440</w:t>
            </w:r>
          </w:p>
        </w:tc>
        <w:tc>
          <w:tcPr>
            <w:tcW w:w="120" w:type="dxa"/>
            <w:vAlign w:val="bottom"/>
          </w:tcPr>
          <w:p>
            <w:pPr>
              <w:spacing w:after="0"/>
              <w:rPr>
                <w:sz w:val="16"/>
                <w:szCs w:val="16"/>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208,979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53.9 %</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57.7 %</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95,560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80,196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48.5 %</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178,868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155,761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46.1 %</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42.3 %</w:t>
            </w:r>
          </w:p>
        </w:tc>
        <w:tc>
          <w:tcPr>
            <w:tcW w:w="0" w:type="dxa"/>
            <w:vAlign w:val="bottom"/>
          </w:tcPr>
          <w:p>
            <w:pPr>
              <w:spacing w:after="0"/>
              <w:rPr>
                <w:sz w:val="1"/>
                <w:szCs w:val="1"/>
                <w:color w:val="auto"/>
              </w:rPr>
            </w:pPr>
          </w:p>
        </w:tc>
      </w:tr>
      <w:tr>
        <w:trPr>
          <w:trHeight w:val="169"/>
        </w:trPr>
        <w:tc>
          <w:tcPr>
            <w:tcW w:w="2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Net Revenues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197,000</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187,320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387,847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368,511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16,806</w:t>
            </w:r>
          </w:p>
        </w:tc>
        <w:tc>
          <w:tcPr>
            <w:tcW w:w="120" w:type="dxa"/>
            <w:vAlign w:val="bottom"/>
          </w:tcPr>
          <w:p>
            <w:pPr>
              <w:spacing w:after="0"/>
              <w:rPr>
                <w:sz w:val="16"/>
                <w:szCs w:val="16"/>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35,775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17.1 %</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820" w:type="dxa"/>
            <w:vAlign w:val="bottom"/>
            <w:shd w:val="clear" w:color="auto" w:fill="CCEEFF"/>
          </w:tcPr>
          <w:p>
            <w:pPr>
              <w:ind w:left="360"/>
              <w:spacing w:after="0" w:line="141" w:lineRule="exact"/>
              <w:rPr>
                <w:sz w:val="20"/>
                <w:szCs w:val="20"/>
                <w:color w:val="auto"/>
              </w:rPr>
            </w:pPr>
            <w:r>
              <w:rPr>
                <w:rFonts w:ascii="Times New Roman" w:cs="Times New Roman" w:eastAsia="Times New Roman" w:hAnsi="Times New Roman"/>
                <w:sz w:val="14"/>
                <w:szCs w:val="14"/>
                <w:color w:val="auto"/>
              </w:rPr>
              <w:t>Corporate General and</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Administrative Expenses </w:t>
            </w:r>
            <w:r>
              <w:rPr>
                <w:rFonts w:ascii="Times New Roman" w:cs="Times New Roman" w:eastAsia="Times New Roman" w:hAnsi="Times New Roman"/>
                <w:sz w:val="9"/>
                <w:szCs w:val="9"/>
                <w:color w:val="auto"/>
              </w:rPr>
              <w:t>(1)</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69"/>
        </w:trPr>
        <w:tc>
          <w:tcPr>
            <w:tcW w:w="2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Operating Income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13,924</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26,546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Income</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Depreciation and</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Compensation Expense</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20" w:type="dxa"/>
            <w:vAlign w:val="bottom"/>
          </w:tcPr>
          <w:p>
            <w:pPr>
              <w:ind w:left="680"/>
              <w:spacing w:after="0"/>
              <w:rPr>
                <w:sz w:val="20"/>
                <w:szCs w:val="20"/>
                <w:color w:val="auto"/>
              </w:rPr>
            </w:pPr>
            <w:r>
              <w:rPr>
                <w:rFonts w:ascii="Times New Roman" w:cs="Times New Roman" w:eastAsia="Times New Roman" w:hAnsi="Times New Roman"/>
                <w:sz w:val="9"/>
                <w:szCs w:val="9"/>
                <w:color w:val="auto"/>
              </w:rPr>
              <w:t>(2)</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20,559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20.3 %</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14.5 %</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43,699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Depreciation and</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Compensation Expense</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20" w:type="dxa"/>
            <w:vAlign w:val="bottom"/>
          </w:tcPr>
          <w:p>
            <w:pPr>
              <w:ind w:left="680"/>
              <w:spacing w:after="0"/>
              <w:rPr>
                <w:sz w:val="20"/>
                <w:szCs w:val="20"/>
                <w:color w:val="auto"/>
              </w:rPr>
            </w:pPr>
            <w:r>
              <w:rPr>
                <w:rFonts w:ascii="Times New Roman" w:cs="Times New Roman" w:eastAsia="Times New Roman" w:hAnsi="Times New Roman"/>
                <w:sz w:val="9"/>
                <w:szCs w:val="9"/>
                <w:color w:val="auto"/>
              </w:rPr>
              <w:t>(3)</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Guaymas Fire Related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Expenses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Other Fire Related</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Expenses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Inventory Purchase</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Accounting Adjustments</w:t>
            </w: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18.4 %</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19.4 %</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18.4 %</w:t>
            </w:r>
          </w:p>
        </w:tc>
        <w:tc>
          <w:tcPr>
            <w:tcW w:w="0" w:type="dxa"/>
            <w:vAlign w:val="bottom"/>
          </w:tcPr>
          <w:p>
            <w:pPr>
              <w:spacing w:after="0"/>
              <w:rPr>
                <w:sz w:val="1"/>
                <w:szCs w:val="1"/>
                <w:color w:val="auto"/>
              </w:rPr>
            </w:pPr>
          </w:p>
        </w:tc>
      </w:tr>
      <w:tr>
        <w:trPr>
          <w:trHeight w:val="135"/>
        </w:trPr>
        <w:tc>
          <w:tcPr>
            <w:tcW w:w="282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Corporate General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Administrative Expenses </w:t>
            </w:r>
            <w:r>
              <w:rPr>
                <w:rFonts w:ascii="Times New Roman" w:cs="Times New Roman" w:eastAsia="Times New Roman" w:hAnsi="Times New Roman"/>
                <w:sz w:val="9"/>
                <w:szCs w:val="9"/>
                <w:color w:val="auto"/>
              </w:rPr>
              <w:t>(1)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Depreciation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Amortization</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680"/>
              <w:spacing w:after="0" w:line="135" w:lineRule="exact"/>
              <w:rPr>
                <w:sz w:val="20"/>
                <w:szCs w:val="20"/>
                <w:color w:val="auto"/>
              </w:rPr>
            </w:pPr>
            <w:r>
              <w:rPr>
                <w:rFonts w:ascii="Times New Roman" w:cs="Times New Roman" w:eastAsia="Times New Roman" w:hAnsi="Times New Roman"/>
                <w:sz w:val="14"/>
                <w:szCs w:val="14"/>
                <w:color w:val="auto"/>
              </w:rPr>
              <w:t>Compensation Expense</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9"/>
                <w:szCs w:val="9"/>
                <w:color w:val="auto"/>
              </w:rPr>
              <w:t>(4)</w:t>
            </w: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3,867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4,816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7,959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7,663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Professional Fees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CEEFF"/>
          </w:tcPr>
          <w:p>
            <w:pPr>
              <w:ind w:left="680"/>
              <w:spacing w:after="0" w:line="139" w:lineRule="exact"/>
              <w:rPr>
                <w:sz w:val="20"/>
                <w:szCs w:val="20"/>
                <w:color w:val="auto"/>
              </w:rPr>
            </w:pPr>
            <w:r>
              <w:rPr>
                <w:rFonts w:ascii="Times New Roman" w:cs="Times New Roman" w:eastAsia="Times New Roman" w:hAnsi="Times New Roman"/>
                <w:sz w:val="14"/>
                <w:szCs w:val="14"/>
                <w:color w:val="auto"/>
              </w:rPr>
              <w:t>Related to Unsolicited</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Non-Binding</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Acquisition Offer</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8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(8,164)</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(4,948)</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Adjusted EBITDA</w:t>
            </w: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29,973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15.2 %</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13.9 %</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57,367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49,189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14.8 %</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Administration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820" w:type="dxa"/>
            <w:vAlign w:val="bottom"/>
          </w:tcPr>
          <w:p>
            <w:pPr>
              <w:ind w:left="680"/>
              <w:spacing w:after="0" w:line="115" w:lineRule="exact"/>
              <w:rPr>
                <w:sz w:val="20"/>
                <w:szCs w:val="20"/>
                <w:color w:val="auto"/>
              </w:rPr>
            </w:pPr>
            <w:r>
              <w:rPr>
                <w:rFonts w:ascii="Times New Roman" w:cs="Times New Roman" w:eastAsia="Times New Roman" w:hAnsi="Times New Roman"/>
                <w:sz w:val="13"/>
                <w:szCs w:val="13"/>
                <w:color w:val="auto"/>
              </w:rPr>
              <w:t>Total Capital</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Expenditures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3,219</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63" w:lineRule="exact"/>
        <w:rPr>
          <w:rFonts w:ascii="Times New Roman" w:cs="Times New Roman" w:eastAsia="Times New Roman" w:hAnsi="Times New Roman"/>
          <w:sz w:val="18"/>
          <w:szCs w:val="18"/>
          <w:color w:val="auto"/>
        </w:rPr>
      </w:pPr>
    </w:p>
    <w:p>
      <w:pPr>
        <w:ind w:left="580" w:right="100" w:hanging="329"/>
        <w:spacing w:after="0" w:line="266" w:lineRule="auto"/>
        <w:tabs>
          <w:tab w:leader="none" w:pos="5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six months ended June 29, 2024 each included less than $0.1 million of stock-based compensation expense recorded as cost of sales. The three and six months ended July 1, 2023 included less than $0.1 million and $0.1 million, respectively, of stock-based compensation expense recorded as cost of sales.</w:t>
      </w:r>
    </w:p>
    <w:p>
      <w:pPr>
        <w:spacing w:after="0" w:line="13" w:lineRule="exact"/>
        <w:rPr>
          <w:rFonts w:ascii="Times New Roman" w:cs="Times New Roman" w:eastAsia="Times New Roman" w:hAnsi="Times New Roman"/>
          <w:sz w:val="18"/>
          <w:szCs w:val="18"/>
          <w:color w:val="auto"/>
        </w:rPr>
      </w:pPr>
    </w:p>
    <w:p>
      <w:pPr>
        <w:ind w:left="580" w:right="80" w:hanging="329"/>
        <w:spacing w:after="0" w:line="266" w:lineRule="auto"/>
        <w:tabs>
          <w:tab w:leader="none" w:pos="5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six months ended June 29, 2024 included less than $0.1 million and $0.1 million, respectively, of stock-based compensation expense recorded as cost of sales. The three and six months ended July 1, 2023 each included less than $0.1 million of stock-based compensation expense recorded as cost of sales.</w:t>
      </w:r>
    </w:p>
    <w:p>
      <w:pPr>
        <w:spacing w:after="0" w:line="13" w:lineRule="exact"/>
        <w:rPr>
          <w:rFonts w:ascii="Times New Roman" w:cs="Times New Roman" w:eastAsia="Times New Roman" w:hAnsi="Times New Roman"/>
          <w:sz w:val="18"/>
          <w:szCs w:val="18"/>
          <w:color w:val="auto"/>
        </w:rPr>
      </w:pPr>
    </w:p>
    <w:p>
      <w:pPr>
        <w:ind w:left="580" w:hanging="329"/>
        <w:spacing w:after="0" w:line="261" w:lineRule="auto"/>
        <w:tabs>
          <w:tab w:leader="none" w:pos="5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six months ended June 29, 2024 included $0.5 million and $1.9 million, respectively, of stock-based compensation expense for awards with both performance and market conditions that will be settled in cash. The three and six months ended July 1, 2023 included $0.8 million and $1.2 million, respectively, of stock-based compensation expense for awards with both performance and market conditions that will be settled in cash.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9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three months ended June 29, 2024 compared to the three months ended July 1, 2023 decreased $5.7 million primarily due to the following in our key end-use markets:</w:t>
      </w:r>
    </w:p>
    <w:p>
      <w:pPr>
        <w:spacing w:after="0" w:line="40" w:lineRule="exact"/>
        <w:rPr>
          <w:sz w:val="20"/>
          <w:szCs w:val="20"/>
          <w:color w:val="auto"/>
        </w:rPr>
      </w:pPr>
    </w:p>
    <w:p>
      <w:pPr>
        <w:ind w:left="660" w:right="4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lower revenues in our military and space end-use markets due to lower rates on fixed-wing aircraft platforms, partially offset by higher rates on naval and submarine platforms and rotary-wing aircraft platforms; and</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lower revenues in our commercial aerospace end-use markets due to lower in-flight entertainment revenues, partially offset by higher rates on regional and business aircraft and selected single-aisle and twin-aisle aircraft platforms.</w:t>
      </w:r>
    </w:p>
    <w:p>
      <w:pPr>
        <w:spacing w:after="0" w:line="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three months ended June 29, 2024 decreased $3.4 million compared to the three months ended July 1, 2023 mainly due to our selectively pruning non-core business.</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six months ended June 29, 2024 compared to the six months ended July 1, 2023 decreased $3.8 million primarily due to the following in our key end-use markets:</w:t>
      </w:r>
    </w:p>
    <w:p>
      <w:pPr>
        <w:spacing w:after="0" w:line="40" w:lineRule="exact"/>
        <w:rPr>
          <w:sz w:val="20"/>
          <w:szCs w:val="20"/>
          <w:color w:val="auto"/>
        </w:rPr>
      </w:pPr>
    </w:p>
    <w:p>
      <w:pPr>
        <w:ind w:left="660" w:right="4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lower revenues in our military and space end-use markets due to lower rates on fixed-wing aircraft platforms, partially offset by higher rates on naval and submarine platforms, various radar platforms, and rotary-wing platforms; partially offset by</w:t>
      </w:r>
    </w:p>
    <w:p>
      <w:pPr>
        <w:spacing w:after="0" w:line="40"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higher revenues in our commercial aerospace end-use markets due to higher rates on select single-aisle and twin-aisle aircraft and growth in regional and business aircraft platforms, partially offset by lower revenues from in-flight entertainment.</w:t>
      </w:r>
    </w:p>
    <w:p>
      <w:pPr>
        <w:spacing w:after="0" w:line="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six months ended June 29, 2024 decreased $3.1 million compared to the six months ended July 1, 2023 mainly due to our selectively pruning non-core business.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three months ended June 29, 2024 compared to the three months ended July 1, 2023 increased $7.3 million primarily due to higher manufacturing volume, favorable product mix, and lower restructuring charges.</w:t>
      </w:r>
    </w:p>
    <w:p>
      <w:pPr>
        <w:spacing w:after="0" w:line="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six months ended June 29, 2024 compared to the six months ended July 1, 2023 increased $16.2 million primarily due to favorable product mix, higher manufacturing volume, and lower restructuring charges.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9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three months ended June 29, 2024 compared to the three months ended July 1, 2023 increased $15.4 million primarily due to the following:</w:t>
      </w:r>
    </w:p>
    <w:p>
      <w:pPr>
        <w:spacing w:after="0" w:line="40" w:lineRule="exact"/>
        <w:rPr>
          <w:sz w:val="20"/>
          <w:szCs w:val="20"/>
          <w:color w:val="auto"/>
        </w:rPr>
      </w:pPr>
    </w:p>
    <w:p>
      <w:pPr>
        <w:ind w:left="660" w:right="5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million higher revenues in our commercial aerospace end-use markets due to higher production on selected single-aisle and twin-aisle aircraft, buffer stock build for the Monrovia performance center closure, and growth in various business jet platforms;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higher revenues in our military and space end-use markets due to higher rates on fixed-wing and rotary-wing aircraft platforms.</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six months ended June 29, 2024 compared to the six months ended July 1, 2023 increased $23.1 million primarily due to the following:</w:t>
      </w:r>
    </w:p>
    <w:p>
      <w:pPr>
        <w:spacing w:after="0" w:line="27" w:lineRule="exact"/>
        <w:rPr>
          <w:sz w:val="20"/>
          <w:szCs w:val="20"/>
          <w:color w:val="auto"/>
        </w:rPr>
      </w:pPr>
    </w:p>
    <w:p>
      <w:pPr>
        <w:ind w:left="660" w:right="3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million higher revenues in our commercial aerospace end-use markets due to higher rates on selected single-aisle and twin-aisle aircraft, buffer stock build, partially offset by lower rates on in-flight entertainment; and</w:t>
      </w:r>
    </w:p>
    <w:p>
      <w:pPr>
        <w:spacing w:after="0" w:line="4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higher revenues in our military and space end-use markets due to higher rates on fixed-wing and rotary-wing aircraft platforms, and naval and submarine platforms, partially offset by lower rates on missile platforms.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Structural Systems segment operating income in the three months ended June 29, 2024 compared to the three months ended July 1, 2023 increased $5.2 million primarily due to higher manufacturing volume, favorable product mix, and lower Guaymas fire related expenses.</w:t>
      </w:r>
    </w:p>
    <w:p>
      <w:pPr>
        <w:spacing w:after="0" w:line="4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Structural Systems segment operating income in the six months ended June 29, 2024 compared to the six months ended July 1, 2023 increased $3.3 million primarily due to higher manufacturing volume, favorable product mix, lower Guaymas fire related expenses, and lower restructuring charges, partially offset by higher costs associated with the wind down of our Monrovia performance center.</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April 2023, we acquired 100.0% of BLR Aerospace L.L.C. (“BLR”). The initial purchase price for BLR was $115.0 million, net of cash acquired, all payable in cash. We paid a gross aggregate of $117.0 million in cash upon the closing of the transaction. BLR’s results of operations have been included in our condensed consolidated statements of income since the date of acquisition and is a part of the Structural Systems segment. See Note 2 to our condensed consolidated financial statements included in Part I, Item 1 of this Form 10-Q for further information.</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We have insurance coverage and up to a capped amount, expect these items will be covered, less our deductible. The full financial impact cannot be estimated at this time as we are currently working with our insurance carriers to determine the cause of the fire. The loss of production from the Guaymas performance center was absorbed by our other existing performance centers, however, we have reestablished and are in the process of certification with various customers and ramping up our manufacturing capabilities in a different leased facility in Guaymas. A neighboring, non-related manufacturing facility, also suffered fire damage during the same time as the fire that severely damaged our Guaymas performance center. In addition, subsequent to the quarter end, we received a subrogation demand from our landlord’s insurer, which we are currently evaluating. As responsibility for the fire is still undetermined,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12 to our condensed consolidated financial statements included in Part I, Item 1 of this Form 10-Q.</w:t>
      </w:r>
    </w:p>
    <w:p>
      <w:pPr>
        <w:spacing w:after="0" w:line="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April 2023, a fire damaged a relatively small portion of one of our performance centers in our Structural Systems reporting segment.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the incident did not otherwise result in significant disruption to customer delivery schedules. Production in this damaged portion resumed during the three months ended July 1, 2023. See Note 12 to our condensed consolidated financial statements included in Part I, Item 1 of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CG&amp;A expenses increased $3.5 million for the three months ended June 29, 2024 compared to the three months ended July 1, 2023 primarily due to higher professional services fees of $2.9 million, of which $1.4 million was related to the unsolicited non-binding offer to acquire all common stock outstanding of Ducommun Incorporated.</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CG&amp;A expenses increased $4.4 million for the six months ended June 29, 2024 compared to the six months ended July 1, 2023 primarily due to higher professional services fees of $2.1 million, of which $1.4 million was related to the unsolicited non-binding offer to acquire all common stock outstanding of Ducommun Incorporated, and higher compensation and benefits expense of $1.5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professional fees related to unsolicited non-binding acquisition offer, Guaymas fire related expenses, insurance recoveries related to loss on operating assets, and inventory purchase accounting adjustments (“Adjusted EBITDA”) were $30.0 million and $26.1 million for the three months ended June 29, 2024 and July 1, 2023, respectively.</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7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the significant interest expense or the cash requirements necessary to service interest or principal payments on our debt;</w:t>
      </w:r>
    </w:p>
    <w:p>
      <w:pPr>
        <w:spacing w:after="0" w:line="128" w:lineRule="exact"/>
        <w:rPr>
          <w:rFonts w:ascii="Times New Roman" w:cs="Times New Roman" w:eastAsia="Times New Roman" w:hAnsi="Times New Roman"/>
          <w:sz w:val="17"/>
          <w:szCs w:val="17"/>
          <w:color w:val="auto"/>
        </w:rPr>
      </w:pPr>
    </w:p>
    <w:p>
      <w:pPr>
        <w:ind w:left="1300" w:right="16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of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1300" w:right="20" w:hanging="644"/>
        <w:spacing w:after="0" w:line="266"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right="44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related to unsolicited non-binding acquisition offer may be useful to our investors in evaluating our core operating performance;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loss on operating assets (property and equipment, inventories, and other assets) may be useful to our investors in evaluating our core operating performance;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business interruption may be useful to our investors in evaluating our core operating performance; and</w:t>
      </w:r>
    </w:p>
    <w:p>
      <w:pPr>
        <w:spacing w:after="0" w:line="117"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6"/>
                <w:szCs w:val="16"/>
                <w:color w:val="auto"/>
              </w:rPr>
            </w:pPr>
          </w:p>
        </w:tc>
        <w:tc>
          <w:tcPr>
            <w:tcW w:w="22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6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7"/>
                <w:szCs w:val="17"/>
                <w:color w:val="auto"/>
              </w:rPr>
            </w:pPr>
          </w:p>
        </w:tc>
        <w:tc>
          <w:tcPr>
            <w:tcW w:w="228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63"/>
        </w:trPr>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June 29,</w:t>
            </w:r>
          </w:p>
        </w:tc>
        <w:tc>
          <w:tcPr>
            <w:tcW w:w="26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 1,</w:t>
            </w:r>
          </w:p>
        </w:tc>
        <w:tc>
          <w:tcPr>
            <w:tcW w:w="2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June 29,</w:t>
            </w:r>
          </w:p>
        </w:tc>
        <w:tc>
          <w:tcPr>
            <w:tcW w:w="26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July 1,</w:t>
            </w:r>
          </w:p>
        </w:tc>
      </w:tr>
      <w:tr>
        <w:trPr>
          <w:trHeight w:val="193"/>
        </w:trPr>
        <w:tc>
          <w:tcPr>
            <w:tcW w:w="6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7,605</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9,954</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1,763</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7,672</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8,271</w:t>
            </w: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8,117</w:t>
            </w: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8,939</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related to unsolicited non-binding acquisition offer</w:t>
            </w:r>
          </w:p>
        </w:tc>
        <w:tc>
          <w:tcPr>
            <w:tcW w:w="2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3,348</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fire related expenses</w:t>
            </w: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loss on operating assets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(5,563)</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business interruption</w:t>
            </w: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(2,160)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766</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29,973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26,109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57,367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49,189</w:t>
            </w: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as a % of net revenues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4"/>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 as a % of net revenues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r>
    </w:tbl>
    <w:p>
      <w:pPr>
        <w:spacing w:after="0" w:line="179" w:lineRule="exact"/>
        <w:rPr>
          <w:sz w:val="20"/>
          <w:szCs w:val="20"/>
          <w:color w:val="auto"/>
        </w:rPr>
      </w:pPr>
    </w:p>
    <w:p>
      <w:pPr>
        <w:ind w:left="260" w:right="120" w:hanging="252"/>
        <w:spacing w:after="0" w:line="258" w:lineRule="auto"/>
        <w:tabs>
          <w:tab w:leader="none" w:pos="2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six months ended June 29, 2024 included $0.5 million and $1.9 million, respectively, of stock-based compensation expense for awards with both performance and market conditions that will be settled in cash. The three and six months ended July 1, 2023 included $0.8 million and $1.2 million, respectively, of stock-based compensation expense for awards with both performance and market conditions that will be settled in cash. The three and six months ended June 29, 2024 each included $0.1 million of stock-based compensation expense recorded as cost of sales. The three and six months ended July 1, 2023 each included $0.2 million of stock-based compensation expense recorded as cost of sales.</w:t>
      </w:r>
    </w:p>
    <w:p>
      <w:pPr>
        <w:spacing w:after="0" w:line="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six months ended June 29, 2024 each included $0.9 million of restructuring charges that were recorded as cost of sales.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increase in backlog was primarily in the military and space end-use markets and commercial aerospace end-use markets. $668.0 million of total backlog is expected to be delivered over the next 12 months. The following table summarizes our backlog as of June 29, 2024 and December 31,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3"/>
                <w:szCs w:val="13"/>
                <w:color w:val="auto"/>
              </w:rPr>
            </w:pPr>
          </w:p>
        </w:tc>
        <w:tc>
          <w:tcPr>
            <w:tcW w:w="124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color w:val="auto"/>
              </w:rPr>
              <w:t>June 29,</w:t>
            </w:r>
          </w:p>
        </w:tc>
        <w:tc>
          <w:tcPr>
            <w:tcW w:w="220" w:type="dxa"/>
            <w:vAlign w:val="bottom"/>
          </w:tcPr>
          <w:p>
            <w:pPr>
              <w:spacing w:after="0"/>
              <w:rPr>
                <w:sz w:val="13"/>
                <w:szCs w:val="13"/>
                <w:color w:val="auto"/>
              </w:rPr>
            </w:pPr>
          </w:p>
        </w:tc>
        <w:tc>
          <w:tcPr>
            <w:tcW w:w="1220" w:type="dxa"/>
            <w:vAlign w:val="bottom"/>
          </w:tcPr>
          <w:p>
            <w:pPr>
              <w:jc w:val="right"/>
              <w:ind w:right="233"/>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right="213"/>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680" w:type="dxa"/>
            <w:vAlign w:val="bottom"/>
            <w:tcBorders>
              <w:top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65,333</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592,476</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527,143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36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29,</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December 31,</w:t>
            </w:r>
          </w:p>
        </w:tc>
      </w:tr>
      <w:tr>
        <w:trPr>
          <w:trHeight w:val="203"/>
        </w:trPr>
        <w:tc>
          <w:tcPr>
            <w:tcW w:w="7320" w:type="dxa"/>
            <w:vAlign w:val="bottom"/>
          </w:tcPr>
          <w:p>
            <w:pPr>
              <w:spacing w:after="0"/>
              <w:rPr>
                <w:sz w:val="17"/>
                <w:szCs w:val="17"/>
                <w:color w:val="auto"/>
              </w:rPr>
            </w:pP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3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266.0</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7.53 %</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interest rate</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176.0</w:t>
            </w:r>
          </w:p>
        </w:tc>
      </w:tr>
    </w:tbl>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represent our new credit facilities (“2022 Credit Facilities”). In conjunction with the closing of the 2022 Credit Facilities, we utilized the entire $250.0 million of proceeds from the 2022 Term Loan plus our existing cash on hand to pay off our entire debt balance outstanding of $254.2 million under our prior credit facilities. At the same leverage ratio, the interest rate spread in the 2022 Credit Facilities is lower than the interest rate spread under our prior credit facilities.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Further,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 As of June 29, 2024, we were in compliance with all covenants required under the 2022 Credit Facilities. See Note 8 to our condensed consolidated financial statements included in Part I, Item 1 of this Form 10-Q for further information.</w:t>
      </w:r>
    </w:p>
    <w:p>
      <w:pPr>
        <w:spacing w:after="0" w:line="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June 29, 2024 and July 1, 2023, we made the required quarterly amortization payments on the 2022 Term Loan of $1.6 million. For each of the six months ended June 29, 2024 and July 1, 2023, we made the required amortization payments on the 2022 Term Loan of $3.1 million. We made no voluntary prepayments on our term loans during each of the three and six months ended June 29, 2024 and July 1, 2023.</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June 29, 2024, we estimate the remaining amount of charges related to this initiative will be $3.0 million to $4.0 million in total pre-tax restructuring charges through early 2025 for employee separation and other facility consolidation related expense. The restructuring accrual for severance and benefits of $4.5 million as of June 29, 2024 are expected to be paid out through 2024. On an annualized basis, we anticipate these restructuring actions will result in total cost savings of $11.0 million to $13.0 million. See Note 3 to our condensed consolidated financial statements included in Part I, Item 1 of this Form 10-Q for further information.</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Note 4, and Note 8 to our condensed consolidated financial statements included in Part I, Item 1 of this Form 10-Q for further information.</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is 1.7%, as a result of the difference between U.S. dollar-one month LIBOR and one month Term SOFR. See Note 1, Note 4, and Note 8 to our condensed consolidated financial statements included in Part I, Item 1 of this Form 10-Q for further information.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to our condensed consolidated financial statements included in Part I, Item 1 of this Form 10-Q for further information.</w:t>
      </w:r>
    </w:p>
    <w:p>
      <w:pPr>
        <w:spacing w:after="0" w:line="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2023, we completed a public offering of our common stock resulting in net proceeds of $85.1 million. The net proceeds of the public stock offering along with cash on hand were used to pay down $85.2 million on the 2022 Revolving Credit Facility that was drawn on and utilized to complete the acquisition of BLR. See Note 2, Note 8, and Note 9 to our condensed consolidated financial statements included in Part I, Item 1 of this Form 10-Q for further information.</w:t>
      </w:r>
    </w:p>
    <w:p>
      <w:pPr>
        <w:spacing w:after="0" w:line="5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expect to spend a total of $23.0 million to $25.0 million for capital expenditures in 2024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29, 2024 was $1.8 million, compared to a net cash used of $9.7 million for the six months ended July 1, 2023. The higher net cash provided by operating activities during the first six months of 2024 was mainly due to higher net income and higher accounts payable, partially offset by higher contract assets.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$8.3 million for the six months ended June 29, 2024, compared to $125.3 million in the six months ended July 1, 2023. The lower net cash used in investing activities during the first six months of 2024 compared to the prior year period was mainly due to no acquisitions in the first six months of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$7.0 million for the six months ended June 29, 2024, compared to a net cash provided by financing activities of $111.6 million for the six months ended July 1, 2023. The higher net cash used in financing activities during the first six months of 2024 was mainly due to the issuance of common stock in a public offering in the first six months of 2023 that did not recur in 2024 and lower net borrowings in the first six months of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2023 Annual Report on Form 10-K. There have been no material changes in any of our critical accounting policies during the three months ended June 29,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U.S. interest rates on our outstanding long-term debt. At June 29, 2024, we had total borrowings of $262.9 million under our 2022 Credit Facilities.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4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(“CEO”) and chief financial officer (“CFO”) have conducted an evaluation of the Company’s disclosure controls and procedures (as defined in Rules 13a-15(e) and 15d-15(e) of the Securities Exchange Act of 1934) as of June 29, 2024. The Company had previously reported a material weakness in internal control over financial reporting related to not designing and maintaining effective controls over the accuracy of contract terms and the reasonableness of gross margin assumptions used to recognize revenue. Specifically, the Company did not verify that amendments to purchase orders and gross margin percentage assumptions used in the Company’s revenue recognition analysis were properly reviewed at a sufficient level of precision, which was described in Item 9A in the Management’s Report on Internal Control Over Financial Reporting in the Company’s Annual Report on Form 10-K for the year ended December 31, 2023. As a result of the material weakness in the Company’s internal control over financial reporting, which was not remediated as of June 29, 2024, the CEO and CFO concluded the Company’s disclosure controls and procedures were not effective as of June 29,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implemented remediation steps to address the material weakness described above to improve our internal control over verification of amendments to purchase orders and the gross margin percentage assumptions used to recognize revenue.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taken:</w:t>
      </w:r>
    </w:p>
    <w:p>
      <w:pPr>
        <w:spacing w:after="0" w:line="104" w:lineRule="exact"/>
        <w:rPr>
          <w:sz w:val="20"/>
          <w:szCs w:val="20"/>
          <w:color w:val="auto"/>
        </w:rPr>
      </w:pPr>
    </w:p>
    <w:p>
      <w:pPr>
        <w:ind w:left="660" w:right="3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redesigned our existing controls to expand the selection criteria for contracts requiring an estimate at completion (“EAC”) analysis to support the gross margin percentage used for revenue recognition.</w:t>
      </w:r>
    </w:p>
    <w:p>
      <w:pPr>
        <w:spacing w:after="0" w:line="26"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rigor and review of the EAC process, including standardization of the analysis and related documentation and verification of the contract value utilized to the underlying customer purchase order.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additional analytical procedures to ensure the accuracy of gross margin assumptions.</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significant progress has been made to enhance our internal control over financial reporting relating to the material weakness, additional time will be required to assess and ensure the sustainability of these processes and procedures. We expect to complete the assessment and ensure sustainability of these processes and procedures during 2024; however, we cannot make any assurances that such actions will be completed during 2024. Until the remediation steps set forth above are fully implemented and concluded to be operating effectively, the material weakness described above will continue to exist.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Except as otherwise discussed above under “Remediation of Material Weakness,” there were no other changes in our internal control over financial reporting during the three months ended June 29, 2024 that have materially affected, or are reasonably likely to materially affect, our internal control over financial reporting.</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our condensed consolidated financial statements included in Part I, Item 1 of this Form 10-Q for a description of our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Part I, Item 1A of our Annual Report on Form 10-K (“Form 10-K”) for the year ended December 31, 2023 for a discussion of our risk factors. Other than the risk factor below, there have been no material changes during the three months ended June 29, 2024 to the risk factors disclosed in our Form 10-K for the year ended December 31, 2023.</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99" w:lineRule="exact"/>
        <w:rPr>
          <w:sz w:val="20"/>
          <w:szCs w:val="20"/>
          <w:color w:val="auto"/>
        </w:rPr>
      </w:pPr>
    </w:p>
    <w:p>
      <w:pPr>
        <w:ind w:left="340" w:right="180" w:hanging="323"/>
        <w:spacing w:after="0" w:line="282"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3.3 Amended and Restated Bylaws of Ducommun Incorporated, dated as of June 28, 2024.</w:t>
      </w:r>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*10.1 2024 Employee Stock Incentive Plan. Incorporated by reference to Exhibit 10.1 to Form 8-K filed on April 25, 2024.</w:t>
        </w:r>
      </w:hyperlink>
    </w:p>
    <w:p>
      <w:pPr>
        <w:spacing w:after="0" w:line="117" w:lineRule="exact"/>
        <w:rPr>
          <w:sz w:val="20"/>
          <w:szCs w:val="20"/>
          <w:color w:val="auto"/>
        </w:rPr>
      </w:pPr>
    </w:p>
    <w:p>
      <w:pPr>
        <w:ind w:left="500" w:right="20" w:hanging="485"/>
        <w:spacing w:after="0" w:line="282"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*10.2 Key Executive Severance Agreement, dated May 9, 2024, between Ducommun Incorporated and Stephen G. Oswald. Incorporated by reference to</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Exhibit 99.1 to Form 8-K filed on May 10, 2024.</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*10.3 Form of Key Executive Severance Agreement between Ducommun Incorporated and each of its executive officers (except Stephen G. Oswald).</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Incorporated by reference to Exhibit 99.2 to Form 8-K filed on May 10, 2024.</w:t>
        </w:r>
      </w:hyperlink>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*10.4 Form of Performance Stock Unit Agreement for 2024 and after.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*10.5 Form of Cash-Based Long-Term Incentive Award Agreement for 2024 and after.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*10.6 Form of Revenue Performance Stock Unit Agreement for 2024 and after.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*10.7 Form of Revenue Performance Cash-Based Long-Term Incentive Award Agreement for 2024 and after.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*10.8 Form of Restricted Stock Unit Agreement (for NQDCP Participants) for 2024 and after.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*10.9 Form of Stock Option Agreement for 2024 and after.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31.1 Certification of Principal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31.2 Certification of Principal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90" w:lineRule="exact"/>
        <w:rPr>
          <w:sz w:val="20"/>
          <w:szCs w:val="20"/>
          <w:color w:val="auto"/>
        </w:rPr>
      </w:pPr>
    </w:p>
    <w:p>
      <w:pPr>
        <w:ind w:left="660" w:right="2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101.INS</w:t>
        <w:tab/>
        <w:t>Inline XBRL Instance Document with Embedded Linkbase Documents - the instance document does not appear in the Interactive Data File because its XBRL tags are embedded within the Inline XBRL</w:t>
      </w:r>
    </w:p>
    <w:p>
      <w:pPr>
        <w:spacing w:after="0" w:line="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DUCOMMUN INCORPORATED</w:t>
            </w:r>
          </w:p>
        </w:tc>
      </w:tr>
      <w:tr>
        <w:trPr>
          <w:trHeight w:val="228"/>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7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30"/>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Suman B. Mookerji</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Suman B. Mookerji</w:t>
            </w:r>
          </w:p>
        </w:tc>
      </w:tr>
      <w:tr>
        <w:trPr>
          <w:trHeight w:val="229"/>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117" w:right="3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color w:val="auto"/>
        </w:rPr>
        <w:t>Exhibit 3.3</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 of June 28, 2024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 OF</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DUCOMMUN INCORPORATED</w:t>
      </w:r>
    </w:p>
    <w:p>
      <w:pPr>
        <w:spacing w:after="0" w:line="224" w:lineRule="exact"/>
        <w:rPr>
          <w:sz w:val="20"/>
          <w:szCs w:val="20"/>
          <w:color w:val="auto"/>
        </w:rPr>
      </w:pPr>
    </w:p>
    <w:p>
      <w:pPr>
        <w:ind w:right="420" w:firstLine="648"/>
        <w:spacing w:after="0" w:line="257" w:lineRule="auto"/>
        <w:rPr>
          <w:sz w:val="20"/>
          <w:szCs w:val="20"/>
          <w:color w:val="auto"/>
        </w:rPr>
      </w:pPr>
      <w:r>
        <w:rPr>
          <w:rFonts w:ascii="Times New Roman" w:cs="Times New Roman" w:eastAsia="Times New Roman" w:hAnsi="Times New Roman"/>
          <w:sz w:val="22"/>
          <w:szCs w:val="22"/>
          <w:color w:val="auto"/>
        </w:rPr>
        <w:t>Ducommun Incorporated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pursuant to the provisions of Section 109 of the Delaware General Corporation Law, hereby adopts these Amended and Restated Bylaws, which restate, amend and supersede the Bylaws of the Corporation, as previously amended, in their entirety as described below: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OFFICES</w:t>
      </w:r>
    </w:p>
    <w:p>
      <w:pPr>
        <w:spacing w:after="0" w:line="224"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the Corporation in the State of Delaware shall be at 2711 Centerville Road, Suite 400, in the City of Wilmington 19808, County of New Castle, and the name of the Registered Agent in charge thereof shall be Corporation Service Company.</w:t>
      </w:r>
    </w:p>
    <w:p>
      <w:pPr>
        <w:spacing w:after="0" w:line="173" w:lineRule="exact"/>
        <w:rPr>
          <w:sz w:val="20"/>
          <w:szCs w:val="20"/>
          <w:color w:val="auto"/>
        </w:rPr>
      </w:pPr>
    </w:p>
    <w:p>
      <w:pPr>
        <w:jc w:val="both"/>
        <w:ind w:right="26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for the transaction of business of the Corporation shall be 600 Anton Blvd., Suite 1100, in the City of Costa Mesa, County of Orange, State of California. The Board of Directors has full power and authority to change said principal office from one location to another, whether within or outside said City, County or State, by amendment of this Section 2.</w:t>
      </w:r>
    </w:p>
    <w:p>
      <w:pPr>
        <w:spacing w:after="0" w:line="176"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also have an office or offices at such other place or places, either within or without the State of Delaware, as the Board of Directors may from time to time determine as the business of the Corporation may require.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STOCKHOLDERS</w:t>
      </w:r>
    </w:p>
    <w:p>
      <w:pPr>
        <w:spacing w:after="0" w:line="224"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Annual Meetings</w:t>
      </w:r>
      <w:r>
        <w:rPr>
          <w:rFonts w:ascii="Times New Roman" w:cs="Times New Roman" w:eastAsia="Times New Roman" w:hAnsi="Times New Roman"/>
          <w:sz w:val="21"/>
          <w:szCs w:val="21"/>
          <w:color w:val="auto"/>
        </w:rPr>
        <w:t>. The Annual Meeting of Stockholders shall be held each year on such day, other than a legal holiday, and at such time and place, or by virtual platform, as may be designated by the Board of Directors and stated in the notice of the meeting or in a duly executed waiver of notice thereof, for the purpose of electing Directors and for the transaction of such other business as may be brought before the meeting. If such annual meeting is not held, or the Directors are not elected thereat, Directors may be elected at a special meeting held for that purpose, and it shall be the duty of the Chairman of the Board of Directors, the Chief Executive Officer, the President, any Executive Vice President, any Senior Vice President, any Vice President or the Secretary, upon the demand of any stockholder entitled to vote, to call such special meeting.</w:t>
      </w:r>
    </w:p>
    <w:p>
      <w:pPr>
        <w:sectPr>
          <w:pgSz w:w="11900" w:h="16838" w:orient="portrait"/>
          <w:cols w:equalWidth="0" w:num="1">
            <w:col w:w="11240"/>
          </w:cols>
          <w:pgMar w:left="320" w:top="1422" w:right="339" w:bottom="1440" w:gutter="0" w:footer="0" w:header="0"/>
        </w:sectPr>
      </w:pPr>
    </w:p>
    <w:bookmarkStart w:id="44" w:name="page45"/>
    <w:bookmarkEnd w:id="44"/>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stockholders for any purpose or purposes may be called at any time by the Board of Directors or by a majority of the members of the Board of Directors.</w:t>
      </w:r>
    </w:p>
    <w:p>
      <w:pPr>
        <w:spacing w:after="0" w:line="158"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Notice of Meetings</w:t>
      </w:r>
      <w:r>
        <w:rPr>
          <w:rFonts w:ascii="Times New Roman" w:cs="Times New Roman" w:eastAsia="Times New Roman" w:hAnsi="Times New Roman"/>
          <w:sz w:val="21"/>
          <w:szCs w:val="21"/>
          <w:color w:val="auto"/>
        </w:rPr>
        <w:t>. Except as otherwise required by law, notice of meetings of stockholders, annual or special, shall be given to stockholders entitled to vote thereat by the Secretary or an Assistant Secretary or other person charged with that duty not less than ten (10) nor more than sixty (60) days before the date of any such meeting. Such notice may be printed, typewritten, or in handwriting, and may be given to any stockholder either personally or by sending a copy of the notice through the mail, or by telegram, charges prepaid, to his address appearing on the books of the Corporation or supplied by him to the Corporation for the purpose of notice. Except as otherwise expressly required by law, no publication of any notice of a meeting of the stockholders shall be required. Every notice of a meeting of the stockholders shall state the place, date and hour of the meeting, and in the case of a special meeting, the purpose or purposes for which the meeting is called.</w:t>
      </w:r>
    </w:p>
    <w:p>
      <w:pPr>
        <w:spacing w:after="0" w:line="170"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All meetings of the stockholders shall be held at the principal office of the Corporation in the State of California or at such other place within or without the State of Delaware as the Board of Directors may from time to time designate.</w:t>
      </w:r>
    </w:p>
    <w:p>
      <w:pPr>
        <w:spacing w:after="0" w:line="173"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A quorum at any meeting of the stockholders shall consist of stockholders holding a majority of the voting power of the shares of this Corporation outstanding and entitled to vote thereat, represented either in person or by proxy, except as otherwise specifically provided by law or in the Certificate of Incorporation. In the absence of a quorum, any meeting of stockholders may be adjourned from time to time by the vote of a majority of the voting stock, the holders of which are either present in person or represented by proxy thereat. The stockholders present at a meeting at which a quorum is present may continue to do business until adjournment, notwithstanding the withdrawal of enough stockholders to leave less than a quorum.</w:t>
      </w:r>
    </w:p>
    <w:p>
      <w:pPr>
        <w:spacing w:after="0" w:line="182"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Adjournments</w:t>
      </w:r>
      <w:r>
        <w:rPr>
          <w:rFonts w:ascii="Times New Roman" w:cs="Times New Roman" w:eastAsia="Times New Roman" w:hAnsi="Times New Roman"/>
          <w:sz w:val="22"/>
          <w:szCs w:val="22"/>
          <w:color w:val="auto"/>
        </w:rPr>
        <w:t>. When a meeting is adjourned for thirty (30) days or more, notice of the adjourned meeting shall be given as in the case of the original meeting, but when a meeting is adjourned for less than thirty (30) days it is not necessary to give any notice of the time and place of the adjourned meeting or of the business to be transacted thereat other than by announcement at the meeting at which the adjournment is taken. At any such adjourned meeting at which a quorum shall be present, any business may be transacted which might have been transacted at the meeting as originally noticed.</w:t>
      </w:r>
    </w:p>
    <w:p>
      <w:pPr>
        <w:spacing w:after="0" w:line="19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The Chairman of the Board of Directors, or, in his absence, the Chief Executive Officer, or in the absence of the Chairman of the Board of Directors and the Chief Executive Officer, the President, the Executive Vice President, a Senior Vice President or a Vice President shall call meetings of stockholders to order, and shall act as Chairman of such meetings. In the absence of the Chairman of the Board of Directors, the Chief Executive Officer, the President, the Executive Vice President, any Senior Vice President and the Vice Presidents, the stockholders shall appoint a Chairman for such meeting. The Secretary of the Corporation shall act as Secretary at all meetings of the stockholders, but in the absence of the Secretary at</w:t>
      </w:r>
    </w:p>
    <w:p>
      <w:pPr>
        <w:sectPr>
          <w:pgSz w:w="11900" w:h="16838" w:orient="portrait"/>
          <w:cols w:equalWidth="0" w:num="1">
            <w:col w:w="11240"/>
          </w:cols>
          <w:pgMar w:left="320" w:top="142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any meeting of the stockholders, the presiding officer may appoint any person to act as Secretary of the meeting.</w:t>
      </w:r>
    </w:p>
    <w:p>
      <w:pPr>
        <w:spacing w:after="0" w:line="22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19"/>
          <w:szCs w:val="19"/>
          <w:u w:val="single" w:color="auto"/>
          <w:color w:val="auto"/>
        </w:rPr>
        <w:t>Voting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right="300" w:firstLine="644"/>
        <w:spacing w:after="0" w:line="263" w:lineRule="auto"/>
        <w:tabs>
          <w:tab w:leader="none" w:pos="17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stockholder shall, at each meeting of the stockholders, be entitled to vote in person or by proxy each share or fractional share of the stock of the Corporation having voting rights on the matter in question and which shall have been held by him and registered in his name on the books of the Corporation:</w:t>
      </w:r>
    </w:p>
    <w:p>
      <w:pPr>
        <w:spacing w:after="0" w:line="167" w:lineRule="exact"/>
        <w:rPr>
          <w:rFonts w:ascii="Times New Roman" w:cs="Times New Roman" w:eastAsia="Times New Roman" w:hAnsi="Times New Roman"/>
          <w:sz w:val="22"/>
          <w:szCs w:val="22"/>
          <w:color w:val="auto"/>
        </w:rPr>
      </w:pPr>
    </w:p>
    <w:p>
      <w:pPr>
        <w:ind w:left="1300" w:right="860" w:firstLine="652"/>
        <w:spacing w:after="0" w:line="271" w:lineRule="auto"/>
        <w:tabs>
          <w:tab w:leader="none" w:pos="236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fixed pursuant to Article II, Section 11 of these Bylaws as the record date for the determination of stockholders entitled to notice of and to vote at such meeting, or</w:t>
      </w:r>
    </w:p>
    <w:p>
      <w:pPr>
        <w:spacing w:after="0" w:line="157" w:lineRule="exact"/>
        <w:rPr>
          <w:rFonts w:ascii="Times New Roman" w:cs="Times New Roman" w:eastAsia="Times New Roman" w:hAnsi="Times New Roman"/>
          <w:sz w:val="22"/>
          <w:szCs w:val="22"/>
          <w:color w:val="auto"/>
        </w:rPr>
      </w:pPr>
    </w:p>
    <w:p>
      <w:pPr>
        <w:ind w:left="1300" w:right="40" w:firstLine="652"/>
        <w:spacing w:after="0" w:line="263" w:lineRule="auto"/>
        <w:tabs>
          <w:tab w:leader="none" w:pos="242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such record date shall have been so fixed, then (a) at the close of business on the day next preceding the day on which notice of the meeting shall be given, or (b) if notice of the meeting shall be waived, at the close of business on the day next preceding the day on which the meeting shall be held.</w:t>
      </w:r>
    </w:p>
    <w:p>
      <w:pPr>
        <w:spacing w:after="0" w:line="167" w:lineRule="exact"/>
        <w:rPr>
          <w:rFonts w:ascii="Times New Roman" w:cs="Times New Roman" w:eastAsia="Times New Roman" w:hAnsi="Times New Roman"/>
          <w:sz w:val="22"/>
          <w:szCs w:val="22"/>
          <w:color w:val="auto"/>
        </w:rPr>
      </w:pPr>
    </w:p>
    <w:p>
      <w:pPr>
        <w:ind w:left="660" w:firstLine="644"/>
        <w:spacing w:after="0" w:line="249" w:lineRule="auto"/>
        <w:tabs>
          <w:tab w:leader="none" w:pos="177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its own stock belonging to the Corporation shall not be entitled to vote. Persons holding in a fiduciary capacity stock of the Corporation shall be entitled to vote such stock so held. A person whose stock is pledged shall be entitled to vote such stock, unless in the transfer by the pledger on the books of the Corporation he shall have expressly empowered the pledgee to vote thereon, in which case only the pledgee, or his proxy, may represent such stock and vote thereon. 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 General Corporation Law of the State of Delaware.</w:t>
      </w:r>
    </w:p>
    <w:p>
      <w:pPr>
        <w:spacing w:after="0" w:line="181" w:lineRule="exact"/>
        <w:rPr>
          <w:rFonts w:ascii="Times New Roman" w:cs="Times New Roman" w:eastAsia="Times New Roman" w:hAnsi="Times New Roman"/>
          <w:sz w:val="22"/>
          <w:szCs w:val="22"/>
          <w:color w:val="auto"/>
        </w:rPr>
      </w:pPr>
    </w:p>
    <w:p>
      <w:pPr>
        <w:ind w:left="660" w:firstLine="644"/>
        <w:spacing w:after="0" w:line="248" w:lineRule="auto"/>
        <w:tabs>
          <w:tab w:leader="none" w:pos="175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voting rights may be exercised by the stockholder entitled thereto in person or by his proxy appointed by an instrument in writing or by a transmission permitted by law, including Rule 14a-19 promulgated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subscribed by such stockholder or by his attorney thereunto authorized and delivered to the Secretary of the meeting; provided, however, that no proxy shall be voted or acted upon after three years from its date unless said proxy shall provide for a longer period. The attendance at any meeting of a stockholder who may theretofore have given a proxy shall not have the effect of revoking the same unless he shall in writing so notify the Secretary of the meeting prior to the voting of the proxy. At any meeting of the stockholders all matters other than the election of Directors, except as otherwise provided in the Certificate of Incorporation, these Bylaws or by law, shall be decided by the vote of majority in voting interest of the stockholders present in person or by proxy and entitled to vote thereat and thereon, a quorum being present. The vote at any meeting of the stockholders on any question need not be by ballot, unless so directed by the Chairman of the meeting. On a</w:t>
      </w:r>
    </w:p>
    <w:p>
      <w:pPr>
        <w:sectPr>
          <w:pgSz w:w="11900" w:h="16838" w:orient="portrait"/>
          <w:cols w:equalWidth="0" w:num="1">
            <w:col w:w="11200"/>
          </w:cols>
          <w:pgMar w:left="320" w:top="1422" w:right="379" w:bottom="1440" w:gutter="0" w:footer="0" w:header="0"/>
        </w:sectPr>
      </w:pPr>
    </w:p>
    <w:bookmarkStart w:id="46" w:name="page47"/>
    <w:bookmarkEnd w:id="46"/>
    <w:p>
      <w:pPr>
        <w:ind w:left="660" w:right="360"/>
        <w:spacing w:after="0" w:line="256" w:lineRule="auto"/>
        <w:rPr>
          <w:sz w:val="20"/>
          <w:szCs w:val="20"/>
          <w:color w:val="auto"/>
        </w:rPr>
      </w:pPr>
      <w:r>
        <w:rPr>
          <w:rFonts w:ascii="Times New Roman" w:cs="Times New Roman" w:eastAsia="Times New Roman" w:hAnsi="Times New Roman"/>
          <w:sz w:val="22"/>
          <w:szCs w:val="22"/>
          <w:color w:val="auto"/>
        </w:rPr>
        <w:t>vote by ballot each ballot shall be signed by the stockholder voting, or by his proxy, if there be such proxy, and it shall state the number of shares voted. Except as otherwise provided in the Certificate of Incorporation, Directors shall be elected by a plurality of the votes cast by the holders of the shares present in person or represented by proxy at the meeting and entitled to vote for the election of such Directors.</w:t>
      </w:r>
    </w:p>
    <w:p>
      <w:pPr>
        <w:spacing w:after="0" w:line="176"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Inspectors of Election</w:t>
      </w:r>
      <w:r>
        <w:rPr>
          <w:rFonts w:ascii="Times New Roman" w:cs="Times New Roman" w:eastAsia="Times New Roman" w:hAnsi="Times New Roman"/>
          <w:sz w:val="21"/>
          <w:szCs w:val="21"/>
          <w:color w:val="auto"/>
        </w:rPr>
        <w:t>. In advance of any meeting of stockholders, the Board of Directors may appoint inspectors of election to act at such meeting or any adjournment thereof. If inspectors of election be not so appointed, the Chairman of any such meeting may make such appointment at the meeting. The number of inspectors shall be either one or three.</w:t>
      </w:r>
    </w:p>
    <w:p>
      <w:pPr>
        <w:spacing w:after="0" w:line="155"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Consent of Absentees</w:t>
      </w:r>
      <w:r>
        <w:rPr>
          <w:rFonts w:ascii="Times New Roman" w:cs="Times New Roman" w:eastAsia="Times New Roman" w:hAnsi="Times New Roman"/>
          <w:sz w:val="22"/>
          <w:szCs w:val="22"/>
          <w:color w:val="auto"/>
        </w:rPr>
        <w:t>. The transactions of any meeting of stockholders, either annual or special, however called and noticed, shall be as valid as though had at a meeting duly held after regular call and notice, if a quorum be present either in person or by proxy, and if, either before or after the meeting, each of the stockholders entitled to vote, not present in person or by proxy, signs a written waiver of notice. All such waivers shall be filed with the corporate records or made a part of the minutes of the meeting. Attendance of a person at a meeting of stockholders shall constitute a waiver of notice of such meeting, except when the stockholder attends the meeting for the express purpose of objecting, at the beginning of the meeting, to the transaction of any business because the meeting is not lawfully called or convened.</w:t>
      </w:r>
    </w:p>
    <w:p>
      <w:pPr>
        <w:spacing w:after="0" w:line="19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Record Date and Closing Stock Books</w:t>
      </w:r>
      <w:r>
        <w:rPr>
          <w:rFonts w:ascii="Times New Roman" w:cs="Times New Roman" w:eastAsia="Times New Roman" w:hAnsi="Times New Roman"/>
          <w:sz w:val="22"/>
          <w:szCs w:val="22"/>
          <w:color w:val="auto"/>
        </w:rPr>
        <w:t>. The Board of Directors may fix a record date for the determination of the stockholders entitled to notice of and to vote at any meeting of stockholders, or for the determination of the stockholders entitled to receive any dividend or distribution or any allotment of rights, or to exercise rights in respect to any change, conversion or exchange of shares. The record date so fixed shall not be more than sixty (60) nor less than ten (10) days before the date of any such meeting, nor more than sixty (60) days prior to any other action. When a record date is so fixed, only stockholders who are such of record on that date are entitled to notice of and to vote at the meeting or to receive the dividend, distribution, or allotment of rights, or to exercise the rights, as the case may be, notwithstanding any transfer of any shares on the books of the Corporation after the record date. The Board of Directors may close the books of the Corporation against transfers of shares during the whole or any part of a period not more than sixty (60) days prior to the date of a stockholders’ meeting, the date when the right to any dividend, distribution, or allotment of rights vests, or the effective date of any change, conversion or exchange of shares. A determination of stockholders entitled to notice of or to vote at a meeting of stockholders shall apply to any adjournment of such meeting; provided, however, that the Board of Directors may fix a new record date for the adjourned meeting.</w:t>
      </w:r>
    </w:p>
    <w:p>
      <w:pPr>
        <w:spacing w:after="0" w:line="19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Conduct of Meetings</w:t>
      </w:r>
      <w:r>
        <w:rPr>
          <w:rFonts w:ascii="Times New Roman" w:cs="Times New Roman" w:eastAsia="Times New Roman" w:hAnsi="Times New Roman"/>
          <w:sz w:val="22"/>
          <w:szCs w:val="22"/>
          <w:color w:val="auto"/>
        </w:rPr>
        <w:t>. The Chairman of the Board of Directors shall have complete authority to establish rules of conduct governing all meetings of stockholders. These rules may include, but shall not be limited to, rules related to attendance, questions from the audience and similar matters. Notwithstanding the above, the nomination at any meeting of stockholders of any person to serve as a Director shall not be valid unless (i) the nomination of such person has been approved by resolution of the Board of Directors of the Corporation, or (ii)</w:t>
      </w:r>
    </w:p>
    <w:p>
      <w:pPr>
        <w:sectPr>
          <w:pgSz w:w="11900" w:h="16838" w:orient="portrait"/>
          <w:cols w:equalWidth="0" w:num="1">
            <w:col w:w="11240"/>
          </w:cols>
          <w:pgMar w:left="320" w:top="1422" w:right="339" w:bottom="1440" w:gutter="0" w:footer="0" w:header="0"/>
        </w:sectPr>
      </w:pPr>
    </w:p>
    <w:bookmarkStart w:id="47" w:name="page48"/>
    <w:bookmarkEnd w:id="47"/>
    <w:p>
      <w:pPr>
        <w:ind w:right="700"/>
        <w:spacing w:after="0" w:line="271" w:lineRule="auto"/>
        <w:rPr>
          <w:sz w:val="20"/>
          <w:szCs w:val="20"/>
          <w:color w:val="auto"/>
        </w:rPr>
      </w:pPr>
      <w:r>
        <w:rPr>
          <w:rFonts w:ascii="Times New Roman" w:cs="Times New Roman" w:eastAsia="Times New Roman" w:hAnsi="Times New Roman"/>
          <w:sz w:val="22"/>
          <w:szCs w:val="22"/>
          <w:color w:val="auto"/>
        </w:rPr>
        <w:t>notice of the nomination of such person has been delivered to the Secretary of the Corporation in full compliance with the procedures set forth in Article II, Section 13 hereof.</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right="40" w:firstLine="644"/>
        <w:spacing w:after="0" w:line="266" w:lineRule="auto"/>
        <w:tabs>
          <w:tab w:leader="none" w:pos="176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properly brought before the annual meeting of stockholders, business must be either (i) specified in the notice of annual meeting (or any supplement or amendment thereto) given by or at the direction of the Board of Directors,</w:t>
      </w:r>
    </w:p>
    <w:p>
      <w:pPr>
        <w:spacing w:after="0" w:line="1" w:lineRule="exact"/>
        <w:rPr>
          <w:rFonts w:ascii="Times New Roman" w:cs="Times New Roman" w:eastAsia="Times New Roman" w:hAnsi="Times New Roman"/>
          <w:sz w:val="21"/>
          <w:szCs w:val="21"/>
          <w:color w:val="auto"/>
        </w:rPr>
      </w:pPr>
    </w:p>
    <w:p>
      <w:pPr>
        <w:ind w:left="660" w:right="60" w:hanging="4"/>
        <w:spacing w:after="0" w:line="246" w:lineRule="auto"/>
        <w:tabs>
          <w:tab w:leader="none" w:pos="97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brought before the annual meeting by or at the direction of the Board of Directors, (iii) brought before the meeting in accordance with Rule 14a-8 under the Exchange Act, or (iv) otherwise properly brought before the annual meeting by a stockholder of record of the Corporation at the time the notice provided for in this Section 13(b) is delivered to the Secretary of the Corporation, who is entitled to vote at the annual meeting and who complies with the notice procedures set forth in this Section 13(b). No business (including nominations) shall be conducted at the annual meeting except in accordance with the procedures set forth in this Article II, Section 13. The officer of the Corporation presiding at an annual meeting shall, if the facts warrant, determine and declare to the annual meeting that business (including nominations) was not properly brought before the annual meeting in accordance with the provisions of this Article II, Section 13, and if he should so determine, he shall so declare to the annual meeting and any such business (including nominations) not properly brought before the meeting shall not be transacted.</w:t>
      </w:r>
    </w:p>
    <w:p>
      <w:pPr>
        <w:spacing w:after="0" w:line="190" w:lineRule="exact"/>
        <w:rPr>
          <w:rFonts w:ascii="Times New Roman" w:cs="Times New Roman" w:eastAsia="Times New Roman" w:hAnsi="Times New Roman"/>
          <w:sz w:val="22"/>
          <w:szCs w:val="22"/>
          <w:color w:val="auto"/>
        </w:rPr>
      </w:pPr>
    </w:p>
    <w:p>
      <w:pPr>
        <w:ind w:left="660" w:firstLine="644"/>
        <w:spacing w:after="0" w:line="260" w:lineRule="auto"/>
        <w:tabs>
          <w:tab w:leader="none" w:pos="177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nominations or other business to be properly brought before an annual meeting by a stockholder pursuant to clause (iv) of Section 13(a), the stockholder must have given timely notice thereof in writing to the Secretary of the Corporation and any such nominations or proposed business must constitute a proper matter for stockholder action. To be timely, a stockholder’s notice must be delivered to, or mailed to and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five (35) days before or more than seventy (70)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advanced or delayed annual meeting is less than one hundred (100) days prior to the date of such annual meeting, the tenth (10th) day following the day on which public announcement of the date of such meeting is first made by the Corporation). In no event shall the adjournment or postponement of an annual meeting or the announcement thereof commence a new time period (or extend any time period) for the giving of a stockholder’s notice as described above. Such stockholder’s notice shall: (i) as to each person whom the stockholder proposes to nominate for election as a director, set forth (1) all information relating to such person that is required to be disclosed in solicitations of</w:t>
      </w:r>
    </w:p>
    <w:p>
      <w:pPr>
        <w:sectPr>
          <w:pgSz w:w="11900" w:h="16838" w:orient="portrait"/>
          <w:cols w:equalWidth="0" w:num="1">
            <w:col w:w="11240"/>
          </w:cols>
          <w:pgMar w:left="320" w:top="1422" w:right="339" w:bottom="1440" w:gutter="0" w:footer="0" w:header="0"/>
        </w:sectPr>
      </w:pPr>
    </w:p>
    <w:bookmarkStart w:id="48" w:name="page49"/>
    <w:bookmarkEnd w:id="48"/>
    <w:p>
      <w:pPr>
        <w:spacing w:after="0" w:line="246" w:lineRule="auto"/>
        <w:rPr>
          <w:sz w:val="20"/>
          <w:szCs w:val="20"/>
          <w:color w:val="auto"/>
        </w:rPr>
      </w:pPr>
      <w:r>
        <w:rPr>
          <w:rFonts w:ascii="Times New Roman" w:cs="Times New Roman" w:eastAsia="Times New Roman" w:hAnsi="Times New Roman"/>
          <w:sz w:val="22"/>
          <w:szCs w:val="22"/>
          <w:color w:val="auto"/>
        </w:rPr>
        <w:t>proxies for election of directors in an election contest, or is otherwise required, in each case pursuant to Regulation 14A under the Exchange Act (and such person’s written consent to being named in the proxy statement and accompanying proxy card as a nominee and affirmation of such person’s intent to serve as a director for the full term if elected) and (2) a description of all direct and indirect compensation and other material monetary agreements, arrangements and understandings during the past three years, and any other material relationships, between or among such stockholder or beneficial owner, if any,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if any, were the “registrant” for purposes of such rule and the nominee were a director or executive officer of such registrant; (ii) as to any other business that the stockholder proposes to bring before the meeting, set forth (1)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(2) a description of all agreements, arrangements and understandings between such stockholder and beneficial owner, if any, and any other person or persons (including their names) in connection with the proposal of such business by such stockholder; (iii) as to the stockholder giving the notice and the beneficial owner, if any, on whose behalf the nomination or proposal is made, set forth (1) the name and address of such stockholder, as they appear on the Corporation’s books, and of such beneficial owner, (2) the class and number of shares of capital stock of the Corporation which are owned beneficially and of record by such stockholder and such beneficial owner, (3) a representation (I) that the stockholder is a holder of record of stock of the Corporation entitled to vote at such meeting and intends to appear in person or by proxy at the meeting to propose such business or nomination and (II) whether the stockholder or such beneficial owner, if any, intends or is part of a group which intends (x) to deliver a proxy statement and/or form of proxy to holders of at least the percentage of the Corporation’s outstanding capital stock required to approve or adopt the proposal or elect the nominee and/or (y) otherwise to solicit proxies from stockholders in support of such proposal or nomination, (4) any derivative positions held or beneficially held, directly or indirectly, by or on behalf of such stockholder or beneficial owner and whether and the extent to which any hedging or other transaction or series of transactions has been entered into or any other agreement, arrangement or understanding (including any short position, profit interest, option or any borrowing or lending of shares) has been made, directly or indirectly, by or on behalf of such stockholder or beneficial owner, the effect or intent of which is to mitigate loss to or manage or share risk or benefit of changes in the value or price of shares of the capital stock of the Corporation for, or to increase or decrease the voting power or economic interest of, such stockholder or any such beneficial owner with respect to any share of capital stock of the Corporation, (5) a description of any proxy, contract, arrangement, understanding or relationship pursuant to</w:t>
      </w:r>
    </w:p>
    <w:p>
      <w:pPr>
        <w:sectPr>
          <w:pgSz w:w="11900" w:h="16838" w:orient="portrait"/>
          <w:cols w:equalWidth="0" w:num="1">
            <w:col w:w="10560"/>
          </w:cols>
          <w:pgMar w:left="980" w:top="1422" w:right="359" w:bottom="1440" w:gutter="0" w:footer="0" w:header="0"/>
        </w:sectPr>
      </w:pPr>
    </w:p>
    <w:bookmarkStart w:id="49" w:name="page50"/>
    <w:bookmarkEnd w:id="49"/>
    <w:p>
      <w:pPr>
        <w:ind w:right="20"/>
        <w:spacing w:after="0" w:line="248" w:lineRule="auto"/>
        <w:rPr>
          <w:sz w:val="20"/>
          <w:szCs w:val="20"/>
          <w:color w:val="auto"/>
        </w:rPr>
      </w:pPr>
      <w:r>
        <w:rPr>
          <w:rFonts w:ascii="Times New Roman" w:cs="Times New Roman" w:eastAsia="Times New Roman" w:hAnsi="Times New Roman"/>
          <w:sz w:val="22"/>
          <w:szCs w:val="22"/>
          <w:color w:val="auto"/>
        </w:rPr>
        <w:t>which such stockholder or any such beneficial owner has a right to vote any shares of capital stock of the Corporation or influence the voting over any such shares; (6) any rights to dividends on the shares of the Corporation owned beneficially, directly or indirectly, by such stockholder or any such beneficial owner that are separated or separable from the underlying shares of capital stock of the Corporation; (7) any performance-related fees (other than an asset-based fee) that such stockholder or any such beneficial owner is entitled to based on any increase or decrease in the value of shares of capital stock of the Corporation or any derivative position; and (8) to the extent known by such stockholder or beneficial owner giving the notice, the name and address of any other stockholder or beneficial owner supporting the nomination or proposal of other business on the date of such stockholder’s or beneficial owner’s notice, if any, as of the date of such notice, including without limitation any such interests referred to in the foregoing clauses (1) through (8) held by members of such stockholder’s or any such beneficial owner’s immediate family sharing the same household; and (iv) with respect to each nominee for election as a director, include a completed and signed questionnaire, representation and agreement required by Section 13 of Article III of these Bylaws. The Corporation may require any proposed nominee to furnish such other information as it may reasonably require to determine the eligibility of such proposed nominee to serve as a director of the Corporation, including any information that could be material to a reasonable stockholder’s understanding of the independence, or lack thereof, of such nominee.</w:t>
      </w:r>
    </w:p>
    <w:p>
      <w:pPr>
        <w:spacing w:after="0" w:line="183" w:lineRule="exact"/>
        <w:rPr>
          <w:sz w:val="20"/>
          <w:szCs w:val="20"/>
          <w:color w:val="auto"/>
        </w:rPr>
      </w:pPr>
    </w:p>
    <w:p>
      <w:pPr>
        <w:ind w:firstLine="644"/>
        <w:spacing w:after="0" w:line="249" w:lineRule="auto"/>
        <w:tabs>
          <w:tab w:leader="none" w:pos="109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business proposed to be brought before a meeting, including with respect to nominations of directors, shall, in order for such notice to be considered timely, further update and supplement such notice, if necessary, so that the information provided or required to be provided in such notice under this Section 13 shall be true and correct as of the record date for the meeting and as of the date that is ten (10) business days prior to the date of the meeting or any adjournment or postponement thereof, and such update and supplement shall be delivered in writing to the Secretary at the principal executive offices of the Corporation not later than ten (10)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w:t>
      </w:r>
    </w:p>
    <w:p>
      <w:pPr>
        <w:spacing w:after="0" w:line="183" w:lineRule="exact"/>
        <w:rPr>
          <w:rFonts w:ascii="Times New Roman" w:cs="Times New Roman" w:eastAsia="Times New Roman" w:hAnsi="Times New Roman"/>
          <w:sz w:val="22"/>
          <w:szCs w:val="22"/>
          <w:color w:val="auto"/>
        </w:rPr>
      </w:pPr>
    </w:p>
    <w:p>
      <w:pPr>
        <w:ind w:right="40" w:firstLine="644"/>
        <w:spacing w:after="0" w:line="250" w:lineRule="auto"/>
        <w:tabs>
          <w:tab w:leader="none" w:pos="111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requirements of this Section 13 with respect to any nomination proposed to be made at a meeting, each stockholder providing notice as to nominations pursuant to this Section 13 shall comply with all applicable requirements of the Exchange Act with respect to any such nominations. Notwithstanding the foregoing provisions of this Section 13, unless otherwise required by law, (i) no such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 and (ii) if such</w:t>
      </w:r>
    </w:p>
    <w:p>
      <w:pPr>
        <w:sectPr>
          <w:pgSz w:w="11900" w:h="16838" w:orient="portrait"/>
          <w:cols w:equalWidth="0" w:num="1">
            <w:col w:w="10560"/>
          </w:cols>
          <w:pgMar w:left="980" w:top="1422" w:right="359" w:bottom="1440" w:gutter="0" w:footer="0" w:header="0"/>
        </w:sectPr>
      </w:pPr>
    </w:p>
    <w:bookmarkStart w:id="50" w:name="page51"/>
    <w:bookmarkEnd w:id="50"/>
    <w:p>
      <w:pPr>
        <w:ind w:left="660" w:right="20"/>
        <w:spacing w:after="0" w:line="250" w:lineRule="auto"/>
        <w:rPr>
          <w:sz w:val="20"/>
          <w:szCs w:val="20"/>
          <w:color w:val="auto"/>
        </w:rPr>
      </w:pPr>
      <w:r>
        <w:rPr>
          <w:rFonts w:ascii="Times New Roman" w:cs="Times New Roman" w:eastAsia="Times New Roman" w:hAnsi="Times New Roman"/>
          <w:sz w:val="22"/>
          <w:szCs w:val="22"/>
          <w:color w:val="auto"/>
        </w:rPr>
        <w:t>stockholder (1) provides notice pursuant to Rule 14a-19(b) promulgated under the Exchange Act and (2) subsequently fails to comply with the requirements of Rule 14a-19(a)(2) and Rule 14a-19(a)(3) promulgated under the Exchange Act, including the provision to the Corporation of notices required thereunder in a timely manner, then the Corporation shall disregard any proxies or votes solicited for such stockholder’s director nominees. Upon request by the Corporation, if any such stockholder provides notice pursuant to Rule 14a-19(b) promulgated under the Exchange Act, such stockholder shall deliver to the Corporation, no later than five (5) business days prior to the applicable meeting, reasonable evidence that it has met the requirements of Rule 14a-19(a)(3) promulgated under the Exchange Act.</w:t>
      </w:r>
    </w:p>
    <w:p>
      <w:pPr>
        <w:spacing w:after="0" w:line="180" w:lineRule="exact"/>
        <w:rPr>
          <w:sz w:val="20"/>
          <w:szCs w:val="20"/>
          <w:color w:val="auto"/>
        </w:rPr>
      </w:pPr>
    </w:p>
    <w:p>
      <w:pPr>
        <w:ind w:left="660" w:firstLine="644"/>
        <w:spacing w:after="0" w:line="267" w:lineRule="auto"/>
        <w:tabs>
          <w:tab w:leader="none" w:pos="1764"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these Bylaws, (i) “public announcement”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 w:lineRule="exact"/>
        <w:rPr>
          <w:rFonts w:ascii="Times New Roman" w:cs="Times New Roman" w:eastAsia="Times New Roman" w:hAnsi="Times New Roman"/>
          <w:sz w:val="21"/>
          <w:szCs w:val="21"/>
          <w:color w:val="auto"/>
        </w:rPr>
      </w:pPr>
    </w:p>
    <w:p>
      <w:pPr>
        <w:ind w:left="660" w:right="20" w:hanging="4"/>
        <w:spacing w:after="0" w:line="246" w:lineRule="auto"/>
        <w:tabs>
          <w:tab w:leader="none" w:pos="97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 shall mean, when used with respect to securities of the Corporation owned by any stockholder, (1) any beneficial owner of any securities of the Corporation owned of record or beneficially by such stockholder, including any of such person’s associates or affiliates, (2) any person acting in concert (pursuant to any agreement, arrangement, understanding or otherwise, whether written or oral) with such stockholder or (3) any person directly or indirectly controlling, controlled by or under common control with such stockholder and (iii) “derivative position” shall mean any option, warrant, convertible security, stock appreciation right, swap or similar right or agreement, arrangement or understanding with an exercise or conversion privilege or a settlement payment or mechanism at a price related to any class or series of capital stock of the Corporation or with a value derived in whole or in part from the value of any class or series of capital stock of the Corporation, or which is intended to increase or decrease (or has the effect of increasing or decreasing) the voting power of any person with respect to the shares of any class or series of capital stock of the Corporation, whether or not such instrument or right or agreement shall be subject to settlement in the underlying class or series of capital stock of the Corporation or otherwise.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23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1(a).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corporate powers, business and property of this Corporation shall be exercised, conducted and controlled by a Board of Directors. In addition to the powers and authorities expressly conferred upon it by these Bylaws, the Board may exercise all such powers and do all such lawful acts and things as are not by statute or by these Bylaws directed or required to be exercised or done by the stockholders.</w:t>
      </w:r>
    </w:p>
    <w:p>
      <w:pPr>
        <w:spacing w:after="0" w:line="179"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1(b). </w:t>
      </w:r>
      <w:r>
        <w:rPr>
          <w:rFonts w:ascii="Times New Roman" w:cs="Times New Roman" w:eastAsia="Times New Roman" w:hAnsi="Times New Roman"/>
          <w:sz w:val="22"/>
          <w:szCs w:val="22"/>
          <w:u w:val="single" w:color="auto"/>
          <w:color w:val="auto"/>
        </w:rPr>
        <w:t>Minimum and Maximum Number</w:t>
      </w:r>
      <w:r>
        <w:rPr>
          <w:rFonts w:ascii="Times New Roman" w:cs="Times New Roman" w:eastAsia="Times New Roman" w:hAnsi="Times New Roman"/>
          <w:sz w:val="22"/>
          <w:szCs w:val="22"/>
          <w:color w:val="auto"/>
        </w:rPr>
        <w:t>. The authorized number of Directors of this Corporation shall not be less than six (6) nor more than nine (9) until changed by an amendment of this Bylaw; the exact number of Directors shall be fixed, within the limits</w:t>
      </w:r>
    </w:p>
    <w:p>
      <w:pPr>
        <w:sectPr>
          <w:pgSz w:w="11900" w:h="16838" w:orient="portrait"/>
          <w:cols w:equalWidth="0" w:num="1">
            <w:col w:w="11220"/>
          </w:cols>
          <w:pgMar w:left="320" w:top="1422" w:right="359" w:bottom="1440" w:gutter="0" w:footer="0" w:header="0"/>
        </w:sectPr>
      </w:pPr>
    </w:p>
    <w:bookmarkStart w:id="51" w:name="page52"/>
    <w:bookmarkEnd w:id="51"/>
    <w:p>
      <w:pPr>
        <w:ind w:right="440"/>
        <w:spacing w:after="0" w:line="271" w:lineRule="auto"/>
        <w:rPr>
          <w:sz w:val="20"/>
          <w:szCs w:val="20"/>
          <w:color w:val="auto"/>
        </w:rPr>
      </w:pPr>
      <w:r>
        <w:rPr>
          <w:rFonts w:ascii="Times New Roman" w:cs="Times New Roman" w:eastAsia="Times New Roman" w:hAnsi="Times New Roman"/>
          <w:sz w:val="22"/>
          <w:szCs w:val="22"/>
          <w:color w:val="auto"/>
        </w:rPr>
        <w:t>specified in this Section 1(b), from time to time solely by resolution adopted by the affirmative vote of a majority of the total number of Directors then authorized.</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In case of a vacancy in the Directors through death, resignation, disqualification, or other cause, the remaining Directors, though less than a quorum, by affirmative vote of a majority thereof, or the sole remaining Director, may elect a successor or successors to hold office for the unexpired portion of the term of the Director whose place shall be vacant, and until the election of his successor.</w:t>
      </w:r>
    </w:p>
    <w:p>
      <w:pPr>
        <w:spacing w:after="0" w:line="176" w:lineRule="exact"/>
        <w:rPr>
          <w:sz w:val="20"/>
          <w:szCs w:val="20"/>
          <w:color w:val="auto"/>
        </w:rPr>
      </w:pPr>
    </w:p>
    <w:p>
      <w:pPr>
        <w:jc w:val="both"/>
        <w:ind w:right="600"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Place of Meeting</w:t>
      </w:r>
      <w:r>
        <w:rPr>
          <w:rFonts w:ascii="Times New Roman" w:cs="Times New Roman" w:eastAsia="Times New Roman" w:hAnsi="Times New Roman"/>
          <w:sz w:val="21"/>
          <w:szCs w:val="21"/>
          <w:color w:val="auto"/>
        </w:rPr>
        <w:t>. The Directors may hold their meetings and have an office and keep the books of the Corporation in such place or places within or without the State of Delaware as the Board may from time to time determine.</w:t>
      </w:r>
    </w:p>
    <w:p>
      <w:pPr>
        <w:spacing w:after="0" w:line="149" w:lineRule="exact"/>
        <w:rPr>
          <w:sz w:val="20"/>
          <w:szCs w:val="20"/>
          <w:color w:val="auto"/>
        </w:rPr>
      </w:pPr>
    </w:p>
    <w:p>
      <w:pPr>
        <w:ind w:left="100" w:right="380" w:firstLine="352"/>
        <w:spacing w:after="0" w:line="250" w:lineRule="auto"/>
        <w:rPr>
          <w:sz w:val="20"/>
          <w:szCs w:val="20"/>
          <w:color w:val="auto"/>
        </w:rPr>
      </w:pPr>
      <w:r>
        <w:rPr>
          <w:rFonts w:ascii="Times New Roman" w:cs="Times New Roman" w:eastAsia="Times New Roman" w:hAnsi="Times New Roman"/>
          <w:sz w:val="22"/>
          <w:szCs w:val="22"/>
          <w:color w:val="auto"/>
        </w:rPr>
        <w:t xml:space="preserve">Section 4(a).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By resolution and notice thereof to all the Directors at the time in office, the Board of Directors may provide that regular meetings of said Board shall be held at stated intervals and at a place to be fixed in such resolution. In case such regular meetings are provided for, it shall not be necessary to give notice of any such meetings, or of the business to be transacted. A meeting of the Board of Directors may be held without notice immediately after the Annual Meeting of Stockholders.</w:t>
      </w:r>
    </w:p>
    <w:p>
      <w:pPr>
        <w:spacing w:after="0" w:line="181" w:lineRule="exact"/>
        <w:rPr>
          <w:sz w:val="20"/>
          <w:szCs w:val="20"/>
          <w:color w:val="auto"/>
        </w:rPr>
      </w:pPr>
    </w:p>
    <w:p>
      <w:pPr>
        <w:ind w:left="100" w:right="140" w:firstLine="352"/>
        <w:spacing w:after="0" w:line="249" w:lineRule="auto"/>
        <w:rPr>
          <w:sz w:val="20"/>
          <w:szCs w:val="20"/>
          <w:color w:val="auto"/>
        </w:rPr>
      </w:pPr>
      <w:r>
        <w:rPr>
          <w:rFonts w:ascii="Times New Roman" w:cs="Times New Roman" w:eastAsia="Times New Roman" w:hAnsi="Times New Roman"/>
          <w:sz w:val="22"/>
          <w:szCs w:val="22"/>
          <w:color w:val="auto"/>
        </w:rPr>
        <w:t xml:space="preserve">Section 4(b).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the Chairman of the Board of Directors, the Chief Executive Officer, any two Vice Presidents, any two Directors, or by the sole remaining Director. Written notice of the time and place of special meetings shall be delivered personally to each Director or sent to each Director by email, mail or other form of written communication, charges prepaid, addressed at his business address or his residence address, as either may be shown upon the records of the Corporation, or if not so shown, or not readily ascertainable, at the principal office of the Corporation. In case such notice is delivered personally it shall be delivered at least twenty-four hours prior to the time of the holding of the meeting. In case such notice is sent by telegram, facsimile or e-mail, it shall be transmitted at least twenty-four hours prior to the time of the holding of the meeting. In case such notice is mailed, it shall be deposited in the United States mail at least sixty hours prior to the time of the holding of the meeting. Except where otherwise required by law or by these Bylaws, notice of the purpose of a special meeting need not be given. Notice of any meeting of the Board of Directors shall not be required to be given to any Director who shall have waived such notice and such notice shall be deemed to have been waived by any Director who is present at such meeting.</w:t>
      </w:r>
    </w:p>
    <w:p>
      <w:pPr>
        <w:spacing w:after="0" w:line="18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 majority of the authorized number of Directors shall constitute a quorum for the transaction of business, but if at any meeting of the Board there shall be less than a quorum present, a majority of those present may adjourn the meeting from time to time. Every act or decision done or made by a majority of the Directors present at a meeting duly held at which a quorum is present shall be regarded as the act of the Board of Directors, unless a greater number be required by law or by the Certificate of Incorporation.</w:t>
      </w:r>
    </w:p>
    <w:p>
      <w:pPr>
        <w:spacing w:after="0" w:line="194" w:lineRule="exact"/>
        <w:rPr>
          <w:sz w:val="20"/>
          <w:szCs w:val="20"/>
          <w:color w:val="auto"/>
        </w:rPr>
      </w:pPr>
    </w:p>
    <w:p>
      <w:pPr>
        <w:ind w:right="5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Action Without Meeting</w:t>
      </w:r>
      <w:r>
        <w:rPr>
          <w:rFonts w:ascii="Times New Roman" w:cs="Times New Roman" w:eastAsia="Times New Roman" w:hAnsi="Times New Roman"/>
          <w:sz w:val="22"/>
          <w:szCs w:val="22"/>
          <w:color w:val="auto"/>
        </w:rPr>
        <w:t>. Any action required or permitted to be taken by the Board of Directors may be taken without a meeting if all members of the Board shall</w:t>
      </w:r>
    </w:p>
    <w:p>
      <w:pPr>
        <w:sectPr>
          <w:pgSz w:w="11900" w:h="16838" w:orient="portrait"/>
          <w:cols w:equalWidth="0" w:num="1">
            <w:col w:w="11240"/>
          </w:cols>
          <w:pgMar w:left="320" w:top="1422" w:right="339" w:bottom="1440" w:gutter="0" w:footer="0" w:header="0"/>
        </w:sectPr>
      </w:pPr>
    </w:p>
    <w:bookmarkStart w:id="52" w:name="page53"/>
    <w:bookmarkEnd w:id="52"/>
    <w:p>
      <w:pPr>
        <w:jc w:val="both"/>
        <w:ind w:right="140"/>
        <w:spacing w:after="0" w:line="257" w:lineRule="auto"/>
        <w:rPr>
          <w:sz w:val="20"/>
          <w:szCs w:val="20"/>
          <w:color w:val="auto"/>
        </w:rPr>
      </w:pPr>
      <w:r>
        <w:rPr>
          <w:rFonts w:ascii="Times New Roman" w:cs="Times New Roman" w:eastAsia="Times New Roman" w:hAnsi="Times New Roman"/>
          <w:sz w:val="22"/>
          <w:szCs w:val="22"/>
          <w:color w:val="auto"/>
        </w:rPr>
        <w:t>individually or collectively consent in writing to such action and such written consent or consents shall be filed with the minutes of the proceedings of the Board. Such action by written consent shall have the same force and effect as a unanimous vote of the Directors.</w:t>
      </w:r>
    </w:p>
    <w:p>
      <w:pPr>
        <w:spacing w:after="0" w:line="18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Compensation of Directors</w:t>
      </w:r>
      <w:r>
        <w:rPr>
          <w:rFonts w:ascii="Times New Roman" w:cs="Times New Roman" w:eastAsia="Times New Roman" w:hAnsi="Times New Roman"/>
          <w:sz w:val="22"/>
          <w:szCs w:val="22"/>
          <w:color w:val="auto"/>
        </w:rPr>
        <w:t>. Unless otherwise provided by the Certificate of Incorporation, the Board of Directors shall have authority to fix the compensation of Directors. Directors may be paid a fixed sum for attendance at each meeting of the Board of Directors and may be paid a stated compensation for serving as Directors. Directors may also be paid their expenses, if any, for attending each meeting of the Board of Directors. No payments to Directors shall preclude any Director from serving the Corporation in any other capacity and receiving compensation therefor.</w:t>
      </w:r>
    </w:p>
    <w:p>
      <w:pPr>
        <w:spacing w:after="0" w:line="194"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Lead Director</w:t>
      </w:r>
      <w:r>
        <w:rPr>
          <w:rFonts w:ascii="Times New Roman" w:cs="Times New Roman" w:eastAsia="Times New Roman" w:hAnsi="Times New Roman"/>
          <w:sz w:val="22"/>
          <w:szCs w:val="22"/>
          <w:color w:val="auto"/>
        </w:rPr>
        <w:t>. The Board of Directors may elect a Lead Director to preside at all meetings of the Board of Directors at which the Chairman of the Board is not present and to perform such other duties and responsibilities as the Board of Directors may determine.</w:t>
      </w:r>
    </w:p>
    <w:p>
      <w:pPr>
        <w:spacing w:after="0" w:line="173"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Presiding Officers</w:t>
      </w:r>
      <w:r>
        <w:rPr>
          <w:rFonts w:ascii="Times New Roman" w:cs="Times New Roman" w:eastAsia="Times New Roman" w:hAnsi="Times New Roman"/>
          <w:sz w:val="22"/>
          <w:szCs w:val="22"/>
          <w:color w:val="auto"/>
        </w:rPr>
        <w:t>. At all meetings of the Board of Directors, the Chairman of the Board of Directors, or, in his absence, the Lead Director of the Corporation, or in the absence of the Chairman of the Board of Directors and the Lead Director, a Chairman chosen by the Directors present shall preside.</w:t>
      </w:r>
    </w:p>
    <w:p>
      <w:pPr>
        <w:spacing w:after="0" w:line="186"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Election of Officers</w:t>
      </w:r>
      <w:r>
        <w:rPr>
          <w:rFonts w:ascii="Times New Roman" w:cs="Times New Roman" w:eastAsia="Times New Roman" w:hAnsi="Times New Roman"/>
          <w:sz w:val="22"/>
          <w:szCs w:val="22"/>
          <w:color w:val="auto"/>
        </w:rPr>
        <w:t>. At the first meeting of the Board of Directors each year (at which a quorum shall be present) held next after the Annual Meeting of Stockholders, the Board of Directors shall proceed to the election of the Officers of the Corporation.</w:t>
      </w:r>
    </w:p>
    <w:p>
      <w:pPr>
        <w:spacing w:after="0" w:line="17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Committees of the Board of Directors</w:t>
      </w:r>
      <w:r>
        <w:rPr>
          <w:rFonts w:ascii="Times New Roman" w:cs="Times New Roman" w:eastAsia="Times New Roman" w:hAnsi="Times New Roman"/>
          <w:sz w:val="22"/>
          <w:szCs w:val="22"/>
          <w:color w:val="auto"/>
        </w:rPr>
        <w:t>. The Board of Directors may by resolution appoint an Executive Committee and other committees. Such Executive Committee and other committees shall be composed of two or more members of this Board of Directors and shall have such powers as may be expressly delegated to them by resolution of the Board of Directors, except that no such committee shall have the power to amend the Certificate of Incorporation, to adopt an agreement of merger or consolidation, to recommend to the stockholders the sale, lease or exchange of all or substantially all of the Corporation’s property and assets, to recommend to the stockholders the dissolution of the Corporation or a revocation of a dissolution, or to adopt, amend or repeal Bylaws. The Executive Committee, if there shall be one, shall have the right and authority to declare dividends. The Board of Directors shall have the authority to fix the compensation of members of the committees for attending committee meetings.</w:t>
      </w:r>
    </w:p>
    <w:p>
      <w:pPr>
        <w:spacing w:after="0" w:line="18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Advisory Directors</w:t>
      </w:r>
      <w:r>
        <w:rPr>
          <w:rFonts w:ascii="Times New Roman" w:cs="Times New Roman" w:eastAsia="Times New Roman" w:hAnsi="Times New Roman"/>
          <w:sz w:val="22"/>
          <w:szCs w:val="22"/>
          <w:color w:val="auto"/>
        </w:rPr>
        <w:t>. The Board of Directors may elect one or more Advisory Directors who shall have such powers and perform such duties as the Directors shall assign to them. Advisory Directors shall, upon election, serve until the next Annual Meeting of Stockholders. Advisory Directors shall receive notice of all meetings of the Board of Directors in the same manner and at the same time as the Directors. They shall attend such meetings in an advisory capacity, but shall not cast a vote or be counted to determine a quorum. Any Advisory Director may be removed, either with or without cause, by a majority of the Directors. The</w:t>
      </w:r>
    </w:p>
    <w:p>
      <w:pPr>
        <w:sectPr>
          <w:pgSz w:w="11900" w:h="16838" w:orient="portrait"/>
          <w:cols w:equalWidth="0" w:num="1">
            <w:col w:w="11240"/>
          </w:cols>
          <w:pgMar w:left="320" w:top="1422" w:right="339" w:bottom="1440" w:gutter="0" w:footer="0" w:header="0"/>
        </w:sectPr>
      </w:pPr>
    </w:p>
    <w:bookmarkStart w:id="53" w:name="page54"/>
    <w:bookmarkEnd w:id="53"/>
    <w:p>
      <w:pPr>
        <w:ind w:right="220"/>
        <w:spacing w:after="0" w:line="256" w:lineRule="auto"/>
        <w:rPr>
          <w:sz w:val="20"/>
          <w:szCs w:val="20"/>
          <w:color w:val="auto"/>
        </w:rPr>
      </w:pPr>
      <w:r>
        <w:rPr>
          <w:rFonts w:ascii="Times New Roman" w:cs="Times New Roman" w:eastAsia="Times New Roman" w:hAnsi="Times New Roman"/>
          <w:sz w:val="22"/>
          <w:szCs w:val="22"/>
          <w:color w:val="auto"/>
        </w:rPr>
        <w:t>Advisory Directors shall not receive any stated compensation for their services as Advisory Directors, but by resolution of the Board of Directors a fixed fee and expenses of attendance may be allowed for attendance at each meeting. Nothing herein shall be construed to preclude any Advisory Director from serving the Corporation in any other capacity as an officer, agent or otherwise, and receiving compensation therefor.</w:t>
      </w:r>
    </w:p>
    <w:p>
      <w:pPr>
        <w:spacing w:after="0" w:line="17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Director Qualifications</w:t>
      </w:r>
      <w:r>
        <w:rPr>
          <w:rFonts w:ascii="Times New Roman" w:cs="Times New Roman" w:eastAsia="Times New Roman" w:hAnsi="Times New Roman"/>
          <w:sz w:val="22"/>
          <w:szCs w:val="22"/>
          <w:color w:val="auto"/>
        </w:rPr>
        <w:t>. To be eligible to be a nominee for election or reelection as a Director of the Corporation, the prospective nominee (whether nominated by or at the direction of the Board of Directors or by a stockholder), or someone acting on such prospective nominee’s behalf, must deliver (in the case of nominees proposed by a stockholder, in accordance with any applicable time periods prescribed for delivery of notice under Section 13 of Article II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in the form provided by the Corporation, which form shall be provided by the Secretary upon written request). The prospective nominee must also provide a written representation and agreement (which written representation and agreement shall be in the form provided by the Corporation, which form shall be provided by the Secretary upon written request) that such prospective nominee: (i)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w:t>
      </w:r>
      <w:r>
        <w:rPr>
          <w:rFonts w:ascii="Times New Roman" w:cs="Times New Roman" w:eastAsia="Times New Roman" w:hAnsi="Times New Roman"/>
          <w:sz w:val="22"/>
          <w:szCs w:val="22"/>
          <w:u w:val="single" w:color="auto"/>
          <w:color w:val="auto"/>
        </w:rPr>
        <w:t>Voting Commitment</w:t>
      </w:r>
      <w:r>
        <w:rPr>
          <w:rFonts w:ascii="Times New Roman" w:cs="Times New Roman" w:eastAsia="Times New Roman" w:hAnsi="Times New Roman"/>
          <w:sz w:val="22"/>
          <w:szCs w:val="22"/>
          <w:color w:val="auto"/>
        </w:rPr>
        <w:t>”) that has not been disclosed to the Corporation or (2) any Voting Commitment that could limit or interfere with such prospective nominee’s ability to comply, if elected as a director of the Corporation, with such prospective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in such person’s individual capacity and on behalf of any beneficial owner on whose behalf the nomination is being made, would be in compliance if elected as a Director of the Corporation, and will comply with all applicable corporate governance, code of business conduct and ethics, conflict of interest, confidentiality and stock ownership and trading policies and guidelines of the Corporation. Directors need not be stockholders. For purposes of this Section 13, a “nominee” shall include any person being considered to fill a vacancy on the Board of Directors.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22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 The Officers of the Corporation shall be a Chief Executive Officer, a President, a Secretary and a Treasurer, who shall be elected by the Directors at their first meeting after the Annual Meeting of Stockholders, and who shall hold office until their successors are elected and qualify. The Board of Directors may also elect at its discretion a Chairman of the Board (who may or may not be an officer), one or more Executive Vice</w:t>
      </w:r>
    </w:p>
    <w:p>
      <w:pPr>
        <w:sectPr>
          <w:pgSz w:w="11900" w:h="16838" w:orient="portrait"/>
          <w:cols w:equalWidth="0" w:num="1">
            <w:col w:w="11220"/>
          </w:cols>
          <w:pgMar w:left="320" w:top="1422" w:right="359" w:bottom="1440" w:gutter="0" w:footer="0" w:header="0"/>
        </w:sectPr>
      </w:pPr>
    </w:p>
    <w:bookmarkStart w:id="54" w:name="page55"/>
    <w:bookmarkEnd w:id="54"/>
    <w:p>
      <w:pPr>
        <w:ind w:right="40"/>
        <w:spacing w:after="0" w:line="256" w:lineRule="auto"/>
        <w:rPr>
          <w:sz w:val="20"/>
          <w:szCs w:val="20"/>
          <w:color w:val="auto"/>
        </w:rPr>
      </w:pPr>
      <w:r>
        <w:rPr>
          <w:rFonts w:ascii="Times New Roman" w:cs="Times New Roman" w:eastAsia="Times New Roman" w:hAnsi="Times New Roman"/>
          <w:sz w:val="22"/>
          <w:szCs w:val="22"/>
          <w:color w:val="auto"/>
        </w:rPr>
        <w:t>Presidents, one or more Senior Vice Presidents, one or more Vice Presidents, one or more Assistant Secretaries, one or more Assistant Treasurers, and such other Officers as the business of the Corporation may require. The Chairman of the Board, if there shall be such an officer, and the Chief Executive Officer must be members of the Board of Directors. So far as is permitted by law any two or more offices may be held by the same person.</w:t>
      </w:r>
    </w:p>
    <w:p>
      <w:pPr>
        <w:spacing w:after="0" w:line="176"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2(a)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Chairman of the Board of Directors, if there shall be such an officer, shall preside at meetings of the stockholders and of the Board of Directors, and shall perform such other duties, in major policy areas or otherwise, consistent with his office, as may be assigned to him by the Board of Directors.</w:t>
      </w:r>
    </w:p>
    <w:p>
      <w:pPr>
        <w:spacing w:after="0" w:line="17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2(b). </w:t>
      </w:r>
      <w:r>
        <w:rPr>
          <w:rFonts w:ascii="Times New Roman" w:cs="Times New Roman" w:eastAsia="Times New Roman" w:hAnsi="Times New Roman"/>
          <w:sz w:val="22"/>
          <w:szCs w:val="22"/>
          <w:u w:val="single" w:color="auto"/>
          <w:color w:val="auto"/>
        </w:rPr>
        <w:t>Vice Chairman of the Board</w:t>
      </w:r>
      <w:r>
        <w:rPr>
          <w:rFonts w:ascii="Times New Roman" w:cs="Times New Roman" w:eastAsia="Times New Roman" w:hAnsi="Times New Roman"/>
          <w:sz w:val="22"/>
          <w:szCs w:val="22"/>
          <w:color w:val="auto"/>
        </w:rPr>
        <w:t>. The Vice Chairman of the Board of Directors, if there shall be such an officer, shall, during any period when so requested by the Chairman of the Board of Directors or during the absence of the Chairman of the Board of Directors or his inability to act, have the powers and perform the duties of the Chairman. The Vice Chairman shall perform such other duties consistent with his office as from time to time may be assigned to him by the Board of Directors.</w:t>
      </w:r>
    </w:p>
    <w:p>
      <w:pPr>
        <w:spacing w:after="0" w:line="17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shall be the chief executive officer of the Corporation. Subject to the control of the Board of Directors, he shall have general executive powers concerning, and active management and supervision over, the property, business and affairs of the Corporation and its several officers. He shall have the powers and shall perform the duties usually incident to the office of Chief Executive Officer and, during any period when so requested by the Chairman of the Board of Directors, or during the absence of the Chairman and the Vice Chairman of the Board of Directors or the inability of both to act, shall also have the powers and perform the duties of the Chairman of the Board of Directors. The Chief Executive Officer shall perform such other duties consistent with his office as from time to time may be assigned to him by the Board of Directors.</w:t>
      </w:r>
    </w:p>
    <w:p>
      <w:pPr>
        <w:spacing w:after="0" w:line="187"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be the chief operating officer of the Corporation. The President shall exercise general supervision over and have executive control of the operations of the Corporation’s business and shall have such powers as may be assigned to him from time to time by the Board of Directors. He shall exercise the functions of the Chief Executive Officer during the absence or disability of the Chief Executive Officer.</w:t>
      </w:r>
    </w:p>
    <w:p>
      <w:pPr>
        <w:spacing w:after="0" w:line="19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5(a) </w:t>
      </w:r>
      <w:r>
        <w:rPr>
          <w:rFonts w:ascii="Times New Roman" w:cs="Times New Roman" w:eastAsia="Times New Roman" w:hAnsi="Times New Roman"/>
          <w:sz w:val="22"/>
          <w:szCs w:val="22"/>
          <w:u w:val="single" w:color="auto"/>
          <w:color w:val="auto"/>
        </w:rPr>
        <w:t>Executive Vice President</w:t>
      </w:r>
      <w:r>
        <w:rPr>
          <w:rFonts w:ascii="Times New Roman" w:cs="Times New Roman" w:eastAsia="Times New Roman" w:hAnsi="Times New Roman"/>
          <w:sz w:val="22"/>
          <w:szCs w:val="22"/>
          <w:color w:val="auto"/>
        </w:rPr>
        <w:t>. The Executive Vice President(s), if there shall be such an officer, shall, subject to such powers as shall be assigned to him from time to time by the Board of Directors or by the President, have such managerial responsibility and authority and shall exercise such supervisory powers as shall be assigned to him from time to time by the Board of Directors or by the President. He shall exercise the functions of the President during the absence or disability of the President.</w:t>
      </w:r>
    </w:p>
    <w:p>
      <w:pPr>
        <w:spacing w:after="0" w:line="181"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5(b). </w:t>
      </w:r>
      <w:r>
        <w:rPr>
          <w:rFonts w:ascii="Times New Roman" w:cs="Times New Roman" w:eastAsia="Times New Roman" w:hAnsi="Times New Roman"/>
          <w:sz w:val="22"/>
          <w:szCs w:val="22"/>
          <w:u w:val="single" w:color="auto"/>
          <w:color w:val="auto"/>
        </w:rPr>
        <w:t>Senior Vice President</w:t>
      </w:r>
      <w:r>
        <w:rPr>
          <w:rFonts w:ascii="Times New Roman" w:cs="Times New Roman" w:eastAsia="Times New Roman" w:hAnsi="Times New Roman"/>
          <w:sz w:val="22"/>
          <w:szCs w:val="22"/>
          <w:color w:val="auto"/>
        </w:rPr>
        <w:t>. The Senior Vice President(s) shall exercise general supervision over and have executive control of such departments of the Corporation’s business and shall have such powers and discharge such duties as may be assigned to him from time to time by the Board of Directors. The Senior Vice President, as designated by the Board of</w:t>
      </w:r>
    </w:p>
    <w:p>
      <w:pPr>
        <w:sectPr>
          <w:pgSz w:w="11900" w:h="16838" w:orient="portrait"/>
          <w:cols w:equalWidth="0" w:num="1">
            <w:col w:w="11220"/>
          </w:cols>
          <w:pgMar w:left="320" w:top="1422" w:right="359" w:bottom="1440" w:gutter="0" w:footer="0" w:header="0"/>
        </w:sectPr>
      </w:pPr>
    </w:p>
    <w:bookmarkStart w:id="55" w:name="page56"/>
    <w:bookmarkEnd w:id="55"/>
    <w:p>
      <w:pPr>
        <w:ind w:right="340"/>
        <w:spacing w:after="0" w:line="271" w:lineRule="auto"/>
        <w:rPr>
          <w:sz w:val="20"/>
          <w:szCs w:val="20"/>
          <w:color w:val="auto"/>
        </w:rPr>
      </w:pPr>
      <w:r>
        <w:rPr>
          <w:rFonts w:ascii="Times New Roman" w:cs="Times New Roman" w:eastAsia="Times New Roman" w:hAnsi="Times New Roman"/>
          <w:sz w:val="22"/>
          <w:szCs w:val="22"/>
          <w:color w:val="auto"/>
        </w:rPr>
        <w:t>Directors, shall exercise the functions of the President during the absence or disability of the President and the Executive Vice President.</w:t>
      </w:r>
    </w:p>
    <w:p>
      <w:pPr>
        <w:spacing w:after="0" w:line="15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5(c).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The Vice Presidents shall exercise general supervision over and have executive control of such departments of the Corporation’s business and shall have such powers and discharge such duties as may be assigned to each of them from time to time by the Board of Directors. The Vice Presidents in order of their rank, or if not ranked, as designated by the Board of Directors, shall exercise the functions of the President during the absence or disability of the President, the Executive Vice President and the Senior Vice President.</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issue due notice to stockholders and Directors in accordance with these Bylaws and as required by law, shall record all the proceedings of the meetings of the stockholders and Directors in a book to be kept for that purpose, shall have charge of the corporate seal, shall keep or cause to be kept a share register of stockholders of the Corporation, and shall make such reports and perform such other duties as are incident to his office, or assigned to him by the Board of Directors.</w:t>
      </w:r>
    </w:p>
    <w:p>
      <w:pPr>
        <w:spacing w:after="0" w:line="179"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Assistant Secretary</w:t>
      </w:r>
      <w:r>
        <w:rPr>
          <w:rFonts w:ascii="Times New Roman" w:cs="Times New Roman" w:eastAsia="Times New Roman" w:hAnsi="Times New Roman"/>
          <w:sz w:val="22"/>
          <w:szCs w:val="22"/>
          <w:color w:val="auto"/>
        </w:rPr>
        <w:t>. The Assistant Secretaries shall, in the absence or disability of the Secretary, perform the duties and exercise the power of the Secretary.</w:t>
      </w:r>
    </w:p>
    <w:p>
      <w:pPr>
        <w:spacing w:after="0" w:line="17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the custody of all monies and securities of the Corporation and shall keep regular books of account. He shall disburse the funds of the Corporation in payment of the just demands against the Corporation, or as may be ordered by the Board of Directors, taking proper vouchers for such disbursements, and shall render to the Board of Directors from time to time, as may be required of him, an account of all his transactions as Treasurer and of the financial condition of the Corporation.</w:t>
      </w:r>
    </w:p>
    <w:p>
      <w:pPr>
        <w:spacing w:after="0" w:line="194"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Assistant Treasurer</w:t>
      </w:r>
      <w:r>
        <w:rPr>
          <w:rFonts w:ascii="Times New Roman" w:cs="Times New Roman" w:eastAsia="Times New Roman" w:hAnsi="Times New Roman"/>
          <w:sz w:val="22"/>
          <w:szCs w:val="22"/>
          <w:color w:val="auto"/>
        </w:rPr>
        <w:t>. The Assistant Treasurer shall, in the absence or disability of the Treasurer, perform the duties and exercise the powers of the Treasurer.</w:t>
      </w:r>
    </w:p>
    <w:p>
      <w:pPr>
        <w:spacing w:after="0" w:line="158"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General Counse</w:t>
      </w:r>
      <w:r>
        <w:rPr>
          <w:rFonts w:ascii="Times New Roman" w:cs="Times New Roman" w:eastAsia="Times New Roman" w:hAnsi="Times New Roman"/>
          <w:sz w:val="22"/>
          <w:szCs w:val="22"/>
          <w:color w:val="auto"/>
        </w:rPr>
        <w:t>l. The General Counsel shall provide legal advice to the Corporation, render legal opinions as necessary in connection with the business of the Corporation, exercise general supervision over the legal affairs of the Corporation and perform such other duties as assigned to him by the Board of Directors.</w:t>
      </w:r>
    </w:p>
    <w:p>
      <w:pPr>
        <w:spacing w:after="0" w:line="186" w:lineRule="exact"/>
        <w:rPr>
          <w:sz w:val="20"/>
          <w:szCs w:val="20"/>
          <w:color w:val="auto"/>
        </w:rPr>
      </w:pPr>
    </w:p>
    <w:p>
      <w:pPr>
        <w:jc w:val="both"/>
        <w:ind w:right="28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Except as otherwise provided in this Section, the said Officers shall have all the usual powers and shall perform all the usual duties incident to their respective offices and shall, in addition, perform such other duties as shall be assigned to them from time to time by the Board of Directors.</w:t>
      </w:r>
    </w:p>
    <w:p>
      <w:pPr>
        <w:spacing w:after="0" w:line="17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In the absence or disability of any Officer of the Corporation, the Board of Directors may, subject to the provisions of this Section, delegate his powers and duties to any other Executive Officer, or to any Director, during such absence or disability, and the person so delegated shall, for the time being, be the Officer whose powers and duties he so assumes.</w:t>
      </w:r>
    </w:p>
    <w:p>
      <w:pPr>
        <w:sectPr>
          <w:pgSz w:w="11900" w:h="16838" w:orient="portrait"/>
          <w:cols w:equalWidth="0" w:num="1">
            <w:col w:w="11240"/>
          </w:cols>
          <w:pgMar w:left="320" w:top="1422" w:right="339" w:bottom="1440" w:gutter="0" w:footer="0" w:header="0"/>
        </w:sectPr>
      </w:pPr>
    </w:p>
    <w:bookmarkStart w:id="56" w:name="page57"/>
    <w:bookmarkEnd w:id="56"/>
    <w:p>
      <w:pPr>
        <w:ind w:right="5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vacancy in any office existing at any time may be filled by the Directors at any regular or special meeting.</w:t>
      </w:r>
    </w:p>
    <w:p>
      <w:pPr>
        <w:spacing w:after="0" w:line="158" w:lineRule="exact"/>
        <w:rPr>
          <w:sz w:val="20"/>
          <w:szCs w:val="20"/>
          <w:color w:val="auto"/>
        </w:rPr>
      </w:pPr>
    </w:p>
    <w:p>
      <w:pPr>
        <w:ind w:right="4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Other Officers</w:t>
      </w:r>
      <w:r>
        <w:rPr>
          <w:rFonts w:ascii="Times New Roman" w:cs="Times New Roman" w:eastAsia="Times New Roman" w:hAnsi="Times New Roman"/>
          <w:sz w:val="22"/>
          <w:szCs w:val="22"/>
          <w:color w:val="auto"/>
        </w:rPr>
        <w:t>. The Board of Directors may appoint such other Officers and agents as it shall deem necessary or expedient, who shall hold their offices for such terms and shall exercise such powers and perform such duties as shall be determined from time to time by the Board of Directors.</w:t>
      </w:r>
    </w:p>
    <w:p>
      <w:pPr>
        <w:spacing w:after="0" w:line="16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u w:val="single" w:color="auto"/>
          <w:color w:val="auto"/>
        </w:rPr>
        <w:t>Salaries</w:t>
      </w:r>
      <w:r>
        <w:rPr>
          <w:rFonts w:ascii="Times New Roman" w:cs="Times New Roman" w:eastAsia="Times New Roman" w:hAnsi="Times New Roman"/>
          <w:sz w:val="21"/>
          <w:szCs w:val="21"/>
          <w:color w:val="auto"/>
        </w:rPr>
        <w:t>. The salaries of all Officers of the Corporation shall be approved by the Board of Directors.</w:t>
      </w:r>
    </w:p>
    <w:p>
      <w:pPr>
        <w:spacing w:after="0" w:line="220"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Bonds</w:t>
      </w:r>
      <w:r>
        <w:rPr>
          <w:rFonts w:ascii="Times New Roman" w:cs="Times New Roman" w:eastAsia="Times New Roman" w:hAnsi="Times New Roman"/>
          <w:sz w:val="22"/>
          <w:szCs w:val="22"/>
          <w:color w:val="auto"/>
        </w:rPr>
        <w:t>. The Board of Directors may require any and all Officers, respectively, to give a bond for the faithful performance of their respective duties in such sum as said Board of Directors may determine, such bond to be executed by a reliable surety company, but the expense of obtaining the same shall be borne by the Corporation.</w:t>
      </w:r>
    </w:p>
    <w:p>
      <w:pPr>
        <w:spacing w:after="0" w:line="167"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Representation of Shares of Other Corporations</w:t>
      </w:r>
      <w:r>
        <w:rPr>
          <w:rFonts w:ascii="Times New Roman" w:cs="Times New Roman" w:eastAsia="Times New Roman" w:hAnsi="Times New Roman"/>
          <w:sz w:val="22"/>
          <w:szCs w:val="22"/>
          <w:color w:val="auto"/>
        </w:rPr>
        <w:t>. The Chief Executive Officer, the President or any Vice President and the Secretary or any Assistant Secretary of this Corporation are authorized to vote, represent and exercise on behalf of this Corporation all rights incident to any and all shares of any other corporation or corporations standing in the name of this Corporation. The authority herein granted to said Officers to vote or represent on behalf of this Corporation any and all shares held by this Corporation in any other corporation or corporations may be exercised either by such Officers in person or by any person authorized so to do by proxy or power of attorney duly executed by said Officers.</w:t>
      </w:r>
    </w:p>
    <w:p>
      <w:pPr>
        <w:spacing w:after="0" w:line="181"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Removal of Officers</w:t>
      </w:r>
      <w:r>
        <w:rPr>
          <w:rFonts w:ascii="Times New Roman" w:cs="Times New Roman" w:eastAsia="Times New Roman" w:hAnsi="Times New Roman"/>
          <w:sz w:val="22"/>
          <w:szCs w:val="22"/>
          <w:color w:val="auto"/>
        </w:rPr>
        <w:t>. Any Officer may be removed at any time by the affirmative vote of a majority of the Board of Directors.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CERTIFICATES OF STOCK</w:t>
      </w:r>
    </w:p>
    <w:p>
      <w:pPr>
        <w:spacing w:after="0" w:line="23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Form and Execution of Certificate</w:t>
      </w:r>
      <w:r>
        <w:rPr>
          <w:rFonts w:ascii="Times New Roman" w:cs="Times New Roman" w:eastAsia="Times New Roman" w:hAnsi="Times New Roman"/>
          <w:sz w:val="22"/>
          <w:szCs w:val="22"/>
          <w:color w:val="auto"/>
        </w:rPr>
        <w:t>. The certificates of shares of stock of the Corporation shall be in such form as shall be approved by the Board of Directors. All certificates shall be signed by the Chief Executive Officer, the President or a Vice President, and by the Secretary or an Assistant Secretary or by the Treasurer or an Assistant Treasurer; provided, however, that if any such certificate is countersigned by a transfer agent other than the Corporation or its employee, or by a registrar other than the Corporation or its employee, the signatures of such Chief Executive Officer, President or Vice President and of such Secretary or Assistant Secretary or Treasurer or Assistant Treasurer may be facsimiles.</w:t>
      </w:r>
    </w:p>
    <w:p>
      <w:pPr>
        <w:spacing w:after="0" w:line="181"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Certificates to be Entered</w:t>
      </w:r>
      <w:r>
        <w:rPr>
          <w:rFonts w:ascii="Times New Roman" w:cs="Times New Roman" w:eastAsia="Times New Roman" w:hAnsi="Times New Roman"/>
          <w:sz w:val="22"/>
          <w:szCs w:val="22"/>
          <w:color w:val="auto"/>
        </w:rPr>
        <w:t>. All certificates shall be consecutively numbered and the names in which they are issued, the number of shares and the date of issue shall be entered in the Corporation’s books.</w:t>
      </w:r>
    </w:p>
    <w:p>
      <w:pPr>
        <w:sectPr>
          <w:pgSz w:w="11900" w:h="16838" w:orient="portrait"/>
          <w:cols w:equalWidth="0" w:num="1">
            <w:col w:w="11240"/>
          </w:cols>
          <w:pgMar w:left="320" w:top="1422" w:right="339" w:bottom="1440" w:gutter="0" w:footer="0" w:header="0"/>
        </w:sectPr>
      </w:pPr>
    </w:p>
    <w:bookmarkStart w:id="57" w:name="page58"/>
    <w:bookmarkEnd w:id="57"/>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Transfer of Shares</w:t>
      </w:r>
      <w:r>
        <w:rPr>
          <w:rFonts w:ascii="Times New Roman" w:cs="Times New Roman" w:eastAsia="Times New Roman" w:hAnsi="Times New Roman"/>
          <w:sz w:val="22"/>
          <w:szCs w:val="22"/>
          <w:color w:val="auto"/>
        </w:rPr>
        <w:t>. Shares shall be transferred only on the books of the Corporation by the holder thereof, in person or by his attorney, upon the surrender and cancellation of certificates for a like number of shares.</w:t>
      </w:r>
    </w:p>
    <w:p>
      <w:pPr>
        <w:spacing w:after="0" w:line="15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The Board of Directors shall have power and authority to make all such rules and regulations as it may deem expedient concerning the issue, transfer and registration of certificates of stock, and may appoint a transfer agent or transfer agents and a registrar or registrars of transfers, and may require all stock certificates to bear the signature of any such transfer agent and registrar of transfers.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SEAL</w:t>
      </w:r>
    </w:p>
    <w:p>
      <w:pPr>
        <w:spacing w:after="0" w:line="237"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The Board of Directors shall provide a corporate seal, which shall be in the form of a circle and shall bear the name of the Corporation in words and figures showing that it was incorporated in the State of Delaware in the year 1970.</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2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Indemnification of Directors and Officers</w:t>
      </w:r>
      <w:r>
        <w:rPr>
          <w:rFonts w:ascii="Times New Roman" w:cs="Times New Roman" w:eastAsia="Times New Roman" w:hAnsi="Times New Roman"/>
          <w:sz w:val="22"/>
          <w:szCs w:val="22"/>
          <w:color w:val="auto"/>
        </w:rPr>
        <w:t xml:space="preserve">. The Corporation shall, to the fullest extent permitted by law, indemnify any person who was or is a party or is threatened to be made a party to any threatened, pending or completed action, suit or proceeding, whether civil, criminal, administrative or investigative (including without limitation any action by or in the right of the Corporation) by reason of the fact that he is or was a Director or Officer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that he had reasonable cause to believe that his conduct was unlawful. The right of indemnity provided herein shall not be exclusive, and the Corporation may provide indemnification to any person, by agreement or otherwise, on such terms and conditions as the Board of Directors may approve. Any agreement for indemnification of any Director, Officer, employee or other person may provide indemnification rights which are broader or otherwise different from those set forth herein.</w:t>
      </w:r>
    </w:p>
    <w:p>
      <w:pPr>
        <w:spacing w:after="0" w:line="195"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purchase and maintain insurance on behalf of any person who is or was a Director, Officer, employee or agent of the Corporation, or</w:t>
      </w:r>
    </w:p>
    <w:p>
      <w:pPr>
        <w:sectPr>
          <w:pgSz w:w="11900" w:h="16838" w:orient="portrait"/>
          <w:cols w:equalWidth="0" w:num="1">
            <w:col w:w="11220"/>
          </w:cols>
          <w:pgMar w:left="320" w:top="1422" w:right="359" w:bottom="1440" w:gutter="0" w:footer="0" w:header="0"/>
        </w:sectPr>
      </w:pPr>
    </w:p>
    <w:bookmarkStart w:id="58" w:name="page59"/>
    <w:bookmarkEnd w:id="58"/>
    <w:p>
      <w:pPr>
        <w:spacing w:after="0" w:line="256" w:lineRule="auto"/>
        <w:rPr>
          <w:sz w:val="20"/>
          <w:szCs w:val="20"/>
          <w:color w:val="auto"/>
        </w:rPr>
      </w:pPr>
      <w:r>
        <w:rPr>
          <w:rFonts w:ascii="Times New Roman" w:cs="Times New Roman" w:eastAsia="Times New Roman" w:hAnsi="Times New Roman"/>
          <w:sz w:val="22"/>
          <w:szCs w:val="22"/>
          <w:color w:val="auto"/>
        </w:rPr>
        <w:t>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VII.</w:t>
      </w:r>
    </w:p>
    <w:p>
      <w:pPr>
        <w:spacing w:after="0" w:line="1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6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u w:val="single" w:color="auto"/>
          <w:color w:val="auto"/>
        </w:rPr>
        <w:t>FISCAL YEAR</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fiscal year of the Corporation shall commence on January 1, and end on December 31 of each year.</w:t>
      </w: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224" w:lineRule="exact"/>
        <w:rPr>
          <w:sz w:val="20"/>
          <w:szCs w:val="20"/>
          <w:color w:val="auto"/>
        </w:rPr>
      </w:pPr>
    </w:p>
    <w:p>
      <w:pPr>
        <w:ind w:right="340" w:firstLine="648"/>
        <w:spacing w:after="0" w:line="257" w:lineRule="auto"/>
        <w:rPr>
          <w:sz w:val="20"/>
          <w:szCs w:val="20"/>
          <w:color w:val="auto"/>
        </w:rPr>
      </w:pPr>
      <w:r>
        <w:rPr>
          <w:rFonts w:ascii="Times New Roman" w:cs="Times New Roman" w:eastAsia="Times New Roman" w:hAnsi="Times New Roman"/>
          <w:sz w:val="22"/>
          <w:szCs w:val="22"/>
          <w:color w:val="auto"/>
        </w:rPr>
        <w:t>These Bylaws may be adopted, amended or repealed by the vote of stockholders as set forth in the Certificate of Incorporation. Subject to the right of stockholders to adopt, amend or repeal Bylaws, Bylaws may be adopted, amended or repealed by the Board of Directors.</w:t>
      </w:r>
    </w:p>
    <w:p>
      <w:pPr>
        <w:sectPr>
          <w:pgSz w:w="11900" w:h="16838" w:orient="portrait"/>
          <w:cols w:equalWidth="0" w:num="1">
            <w:col w:w="10920"/>
          </w:cols>
          <w:pgMar w:left="320" w:top="1422" w:right="659" w:bottom="1440" w:gutter="0" w:footer="0" w:header="0"/>
        </w:sectPr>
      </w:pPr>
    </w:p>
    <w:bookmarkStart w:id="59" w:name="page60"/>
    <w:bookmarkEnd w:id="59"/>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PERFORMANCE STOCK UNIT AGREEMENT</w:t>
      </w:r>
    </w:p>
    <w:p>
      <w:pPr>
        <w:spacing w:after="0" w:line="200" w:lineRule="exact"/>
        <w:rPr>
          <w:sz w:val="20"/>
          <w:szCs w:val="20"/>
          <w:color w:val="auto"/>
        </w:rPr>
      </w:pPr>
    </w:p>
    <w:p>
      <w:pPr>
        <w:spacing w:after="0" w:line="2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performance stock unit agreement is made as of May __,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between Ducommun Incorporated,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and ________ (“</w:t>
      </w:r>
      <w:r>
        <w:rPr>
          <w:rFonts w:ascii="Times New Roman" w:cs="Times New Roman" w:eastAsia="Times New Roman" w:hAnsi="Times New Roman"/>
          <w:sz w:val="22"/>
          <w:szCs w:val="22"/>
          <w:u w:val="single" w:color="auto"/>
          <w:color w:val="auto"/>
        </w:rPr>
        <w:t>Award Holder</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performance stock unit agreement is pursuant to the 2024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220" w:lineRule="exact"/>
        <w:rPr>
          <w:sz w:val="20"/>
          <w:szCs w:val="20"/>
          <w:color w:val="auto"/>
        </w:rPr>
      </w:pPr>
    </w:p>
    <w:p>
      <w:pPr>
        <w:jc w:val="both"/>
        <w:ind w:firstLine="656"/>
        <w:spacing w:after="0" w:line="251" w:lineRule="auto"/>
        <w:tabs>
          <w:tab w:leader="none" w:pos="105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Corporation hereby grants to the Award Holder an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with a target (if the Corporation achieves the target level performance goals described in Exhibit A) of </w:t>
      </w:r>
      <w:r>
        <w:rPr>
          <w:rFonts w:ascii="Times New Roman" w:cs="Times New Roman" w:eastAsia="Times New Roman" w:hAnsi="Times New Roman"/>
          <w:sz w:val="22"/>
          <w:szCs w:val="22"/>
          <w:b w:val="1"/>
          <w:bCs w:val="1"/>
          <w:color w:val="auto"/>
        </w:rPr>
        <w:t>x,xxx</w:t>
      </w:r>
      <w:r>
        <w:rPr>
          <w:rFonts w:ascii="Times New Roman" w:cs="Times New Roman" w:eastAsia="Times New Roman" w:hAnsi="Times New Roman"/>
          <w:sz w:val="22"/>
          <w:szCs w:val="22"/>
          <w:color w:val="auto"/>
        </w:rPr>
        <w:t xml:space="preserve"> performance stock units (the “</w:t>
      </w:r>
      <w:r>
        <w:rPr>
          <w:rFonts w:ascii="Times New Roman" w:cs="Times New Roman" w:eastAsia="Times New Roman" w:hAnsi="Times New Roman"/>
          <w:sz w:val="22"/>
          <w:szCs w:val="22"/>
          <w:u w:val="single" w:color="auto"/>
          <w:color w:val="auto"/>
        </w:rPr>
        <w:t>Target Units</w:t>
      </w:r>
      <w:r>
        <w:rPr>
          <w:rFonts w:ascii="Times New Roman" w:cs="Times New Roman" w:eastAsia="Times New Roman" w:hAnsi="Times New Roman"/>
          <w:sz w:val="22"/>
          <w:szCs w:val="22"/>
          <w:color w:val="auto"/>
        </w:rPr>
        <w:t>”), and a maximum of up to two hundred fifty percent (250%) of the Target Units (if Corporation achieves the maximum level performance goals described in Exhibit A), in each case subject to certain adjustments as described herein. Each performance stock unit represents the right to receive one share of Common Stock, subject to the conditions set forth in this performance stock unit agreement and the Plan.</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05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performance stock unit agreement, shall have the meanings set forth in this Section 2.</w:t>
      </w:r>
    </w:p>
    <w:p>
      <w:pPr>
        <w:spacing w:after="0" w:line="167" w:lineRule="exact"/>
        <w:rPr>
          <w:sz w:val="20"/>
          <w:szCs w:val="20"/>
          <w:color w:val="auto"/>
        </w:rPr>
      </w:pPr>
    </w:p>
    <w:p>
      <w:pPr>
        <w:ind w:left="660" w:right="20" w:hanging="134"/>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$.01 par value, of the Corporation or such other class of shares or other securities as may be applicable pursuant to the provisions of Section 6 of this performance stock unit agreement.</w:t>
      </w:r>
    </w:p>
    <w:p>
      <w:pPr>
        <w:spacing w:after="0" w:line="158" w:lineRule="exact"/>
        <w:rPr>
          <w:sz w:val="20"/>
          <w:szCs w:val="20"/>
          <w:color w:val="auto"/>
        </w:rPr>
      </w:pPr>
    </w:p>
    <w:p>
      <w:pPr>
        <w:jc w:val="both"/>
        <w:ind w:left="660" w:hanging="53"/>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167" w:lineRule="exact"/>
        <w:rPr>
          <w:sz w:val="20"/>
          <w:szCs w:val="20"/>
          <w:color w:val="auto"/>
        </w:rPr>
      </w:pPr>
    </w:p>
    <w:p>
      <w:pPr>
        <w:ind w:left="660" w:hanging="134"/>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of Directors of the Corporation, or if there is no such committee acting, the Board of Directors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1" w:lineRule="exact"/>
        <w:rPr>
          <w:sz w:val="20"/>
          <w:szCs w:val="20"/>
          <w:color w:val="auto"/>
        </w:rPr>
      </w:pPr>
    </w:p>
    <w:p>
      <w:pPr>
        <w:jc w:val="both"/>
        <w:ind w:firstLine="237"/>
        <w:spacing w:after="0" w:line="261" w:lineRule="auto"/>
        <w:tabs>
          <w:tab w:leader="none" w:pos="621"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The Award shall vest at the end of the 3-year performance period, beginning as of January 1, 202_ and ending on December 31, 202_ (the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The vesting of the Award shall be subject to the Corporation achieving during the Performance Period the Diluted Earnings Per Share and Relative Total Shareholder Return, as provided in Exhibit A attached hereto. Following the end of each fiscal year of the Performance Period and the collection of relevant data necessary to determine the extent to which the performance goals set forth in Exhibit A have been satisfied, the Committee will determine: (a) the amount of Diluted Earnings Per Share that was achieved by the Corporation for each fiscal year of the Performance Period, and</w:t>
      </w:r>
    </w:p>
    <w:p>
      <w:pPr>
        <w:jc w:val="both"/>
        <w:ind w:firstLine="8"/>
        <w:spacing w:after="0" w:line="245"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 and number of the Target Units for each fiscal year (for each such fiscal year, the “</w:t>
      </w:r>
      <w:r>
        <w:rPr>
          <w:rFonts w:ascii="Times New Roman" w:cs="Times New Roman" w:eastAsia="Times New Roman" w:hAnsi="Times New Roman"/>
          <w:sz w:val="22"/>
          <w:szCs w:val="22"/>
          <w:u w:val="single" w:color="auto"/>
          <w:color w:val="auto"/>
        </w:rPr>
        <w:t>Earned Units</w:t>
      </w:r>
      <w:r>
        <w:rPr>
          <w:rFonts w:ascii="Times New Roman" w:cs="Times New Roman" w:eastAsia="Times New Roman" w:hAnsi="Times New Roman"/>
          <w:sz w:val="22"/>
          <w:szCs w:val="22"/>
          <w:color w:val="auto"/>
        </w:rPr>
        <w:t>”) that will become Vested Units (as defined in Exhibit A) as of the last day of the Performance Period or earlier as provided in Section 5(b). Following the end of the Performance Period and collection of relevant data necessary to determine the extent to which the performance goals set forth in Exhibit A have been satisfied, the Committee will determine: (a) the Relative Total Shareholder Return that was achieved by the Corporation over the Performance Period, and (b) the multiplier that will be applied to the Earned Units to calculate the total number of Vested Units as of the last day of the Performance Period, as provided in Exhibit A attached hereto. The Committee shall make these determinations in its sole discretion. The level of achievement of Diluted Earnings Per Share and Relative Total Shareholder Return shall be evidenced by the Committee’s written certification. For the avoidance of doubt, any performance stock units subject to this Award that do not vest in accordance with the forgoing shall expire without consideration at the end of the Performance Period.</w:t>
      </w:r>
    </w:p>
    <w:p>
      <w:pPr>
        <w:spacing w:after="0" w:line="201" w:lineRule="exact"/>
        <w:rPr>
          <w:rFonts w:ascii="Times New Roman" w:cs="Times New Roman" w:eastAsia="Times New Roman" w:hAnsi="Times New Roman"/>
          <w:sz w:val="22"/>
          <w:szCs w:val="22"/>
          <w:color w:val="auto"/>
        </w:rPr>
      </w:pPr>
    </w:p>
    <w:p>
      <w:pPr>
        <w:jc w:val="both"/>
        <w:ind w:firstLine="656"/>
        <w:spacing w:after="0" w:line="242" w:lineRule="auto"/>
        <w:tabs>
          <w:tab w:leader="none" w:pos="1053"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Vested Units</w:t>
      </w:r>
      <w:r>
        <w:rPr>
          <w:rFonts w:ascii="Times New Roman" w:cs="Times New Roman" w:eastAsia="Times New Roman" w:hAnsi="Times New Roman"/>
          <w:sz w:val="22"/>
          <w:szCs w:val="22"/>
          <w:color w:val="auto"/>
        </w:rPr>
        <w:t>. Upon the Committee’s written certification as set forth in Section 3, of the vesting of all or a portion of the Award, one share of Common Stock shall be issuable for each Vested Unit (as defined in Exhibit A) (the “</w:t>
      </w:r>
      <w:r>
        <w:rPr>
          <w:rFonts w:ascii="Times New Roman" w:cs="Times New Roman" w:eastAsia="Times New Roman" w:hAnsi="Times New Roman"/>
          <w:sz w:val="22"/>
          <w:szCs w:val="22"/>
          <w:u w:val="single" w:color="auto"/>
          <w:color w:val="auto"/>
        </w:rPr>
        <w:t>PSU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Thereafter, the Corporation will transfer such PSU Shares to the Award Holder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calendar year after the end of the Performance Period subject to the satisfaction of any required tax withholding obligations, securities law registration or other requirements, and applicable stock exchange listing. No fractional shares shall be issued with respect to the Award. The Award Holder shall not acquire or have any rights as a shareholder of the Corporation by virtue of this performance stock unit agreement (or the Award evidenced hereby) until the certificates representing shares of Common Stock issuable pursuant to this Award are actually issued and delivered to the Award Holder in accordance with the terms of the Plan and this performance stock unit agreement. Notwithstanding the foregoing, the Award Holder may elect, on a form and in a manner prescribed by the Corporation, to defer any payment of Vested Units, provided that any such deferral of payment must comply with any applicable requirements of Section 409A of the Code.</w:t>
      </w:r>
    </w:p>
    <w:p>
      <w:pPr>
        <w:spacing w:after="0" w:line="189"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82"/>
        <w:spacing w:after="0" w:line="257" w:lineRule="auto"/>
        <w:tabs>
          <w:tab w:leader="none" w:pos="78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Holder’s employment with the Corporation or a Subsidiary terminates before the end of the Performance Period for any reason, except as provided in this Section 5, then the Award will be forfeited and cancelled and surrendered to the Corporation without payment of any consideration, effective on the date of the Award Holder’s termination of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employment. Upon the termination of the Award Holder’s employment with the Corporation or a Subsidiary as a result of</w:t>
      </w:r>
    </w:p>
    <w:p>
      <w:pPr>
        <w:spacing w:after="0" w:line="28" w:lineRule="exact"/>
        <w:rPr>
          <w:sz w:val="20"/>
          <w:szCs w:val="20"/>
          <w:color w:val="auto"/>
        </w:rPr>
      </w:pPr>
    </w:p>
    <w:p>
      <w:pPr>
        <w:jc w:val="both"/>
        <w:ind w:firstLine="8"/>
        <w:spacing w:after="0" w:line="246" w:lineRule="auto"/>
        <w:tabs>
          <w:tab w:leader="none" w:pos="26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or “permanent disability” (as defined herein) or (ii) “retirement” (as defined herein), the number of Vested Units and the vesting of such Vested Units shall be determined in accordance with Section 5(b) below. As used herein, the term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Award Holder’s termination of employment with the Corporation or a Subsidiary, when either (x) the Award Holder is sixty-five (65) or more years of age, or (y) the Award Holder is sixty (60) or more years of age and has completed at least five (5) years of service with the Corporation or a Subsidiary. As used herein, the term “</w:t>
      </w:r>
      <w:r>
        <w:rPr>
          <w:rFonts w:ascii="Times New Roman" w:cs="Times New Roman" w:eastAsia="Times New Roman" w:hAnsi="Times New Roman"/>
          <w:sz w:val="22"/>
          <w:szCs w:val="22"/>
          <w:u w:val="single" w:color="auto"/>
          <w:color w:val="auto"/>
        </w:rPr>
        <w:t>permanent disability</w:t>
      </w:r>
      <w:r>
        <w:rPr>
          <w:rFonts w:ascii="Times New Roman" w:cs="Times New Roman" w:eastAsia="Times New Roman" w:hAnsi="Times New Roman"/>
          <w:sz w:val="22"/>
          <w:szCs w:val="22"/>
          <w:color w:val="auto"/>
        </w:rPr>
        <w:t>” shall mean the date on which the Award Holder has not worked or been able to work due to physical or mental incapacity for a period of one hundred eighty (180) consecutive days.</w:t>
      </w:r>
    </w:p>
    <w:p>
      <w:pPr>
        <w:spacing w:after="0" w:line="199" w:lineRule="exact"/>
        <w:rPr>
          <w:rFonts w:ascii="Times New Roman" w:cs="Times New Roman" w:eastAsia="Times New Roman" w:hAnsi="Times New Roman"/>
          <w:sz w:val="22"/>
          <w:szCs w:val="22"/>
          <w:color w:val="auto"/>
        </w:rPr>
      </w:pPr>
    </w:p>
    <w:p>
      <w:pPr>
        <w:jc w:val="both"/>
        <w:ind w:firstLine="292"/>
        <w:spacing w:after="0" w:line="246" w:lineRule="auto"/>
        <w:tabs>
          <w:tab w:leader="none" w:pos="8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termination of the Award Holder’s employment with the Corporation or a Subsidiary as a result of death or permanent disability as provided in Section 5(a), (i) for each full fiscal year that the Award Holder was employed by the Corporation or a Subsidiary, the Earned Units (as defined in Section 3) shall vest immediately (and such Earned Units shall be settled into shares of Common Stock as soon as practicable following the Award Holder’s termination of employment but in no event later than 60 days after such termination), and (ii) for the remaining fiscal years of the Performance Period, the Target Units shall vest at such time as they become Earned Units (based on actual performance and subject to Committee certification in accordance with, Section 3) and such Earned Units shall be settled into shares of Common Stock as soon as practicable following the Committee’s certification of the Earned Units but in no event later than sixty (60) days after such certification. For the avoidance of doubt, the Total Vested Units Modifier (as defined in Exhibit A) shall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applied in determining the Vested Units for any Award covered by this Section 5(b)(i)-(ii). Upon the termination of the Award Holder’s employment with the Corporation or a Subsidiary as a result of retirement as provided in Section 5(a), (iii) for each full fiscal year that the Award Holder was employed by the Corporation or a Subsidiary, the Earned Units (as defined in Section 3) shall continue to be subject to the vesting provisions of Section 3 based on the actual amount of Diluted Earnings Per Share that was achieved by the Corporation for each such full fiscal year that the Award Holder was employed by the Corporation or a Subsidiary, and (iv) for the remaining fiscal years of the Performance Period, the Target Units shall vest at such time as they become Earned Units (based on actual performance and subject to Committee certification in accordance with Section 3) and such Earned Units shall be settled into shares of Common Stock as soon as practicable following the Committee’s certification of the Earned Units but in no event later than 60 days after such certification. For the avoidance of doubt, the Total Vested Units Modifier (as defined in Exhibit A) shall be applied in determining the Vested Units for any Award covered by this Section 5(b)(iii)-(iv). To the extent any payment hereunder is considered nonqualified deferred compensation subject to Section 409A of the Code, all such payments and settlements shall be made in compliance with Section 409A of the Code and a termination of employment shall not be deemed to have occurred for purposes of any payments contingent thereon unless such termination is also a “separation from service” within the meaning of Section 409A of the Code. In addition, if the Award Holder is deemed at the time of such separation from service to be a specified employee (within the meaning of Section 409A of the Code) and such delayed commencement is otherwise required in order to avoid a prohibited distribution under Section 409A(a)(2) of the Code, any payment or benefit hereunder that is deemed to</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98" w:lineRule="exact"/>
        <w:rPr>
          <w:sz w:val="20"/>
          <w:szCs w:val="20"/>
          <w:color w:val="auto"/>
        </w:rPr>
      </w:pPr>
    </w:p>
    <w:p>
      <w:pPr>
        <w:ind w:left="87" w:right="20"/>
        <w:spacing w:after="0" w:line="295" w:lineRule="auto"/>
        <w:rPr>
          <w:sz w:val="20"/>
          <w:szCs w:val="20"/>
          <w:color w:val="auto"/>
        </w:rPr>
      </w:pPr>
      <w:r>
        <w:rPr>
          <w:rFonts w:ascii="Times New Roman" w:cs="Times New Roman" w:eastAsia="Times New Roman" w:hAnsi="Times New Roman"/>
          <w:sz w:val="21"/>
          <w:szCs w:val="21"/>
          <w:color w:val="auto"/>
        </w:rPr>
        <w:t>constitute nonqualified deferred compensation shall be delayed and paid, without interest, on the earlier of (i) the first day of the seventh month following the date of such Award Holder’s separation from service or (ii) the date of the Award Holder’s death.</w:t>
      </w:r>
    </w:p>
    <w:p>
      <w:pPr>
        <w:spacing w:after="0" w:line="135" w:lineRule="exact"/>
        <w:rPr>
          <w:sz w:val="20"/>
          <w:szCs w:val="20"/>
          <w:color w:val="auto"/>
        </w:rPr>
      </w:pPr>
    </w:p>
    <w:p>
      <w:pPr>
        <w:ind w:left="527" w:hanging="432"/>
        <w:spacing w:after="0"/>
        <w:tabs>
          <w:tab w:leader="none" w:pos="52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p>
    <w:p>
      <w:pPr>
        <w:spacing w:after="0" w:line="233" w:lineRule="exact"/>
        <w:rPr>
          <w:sz w:val="20"/>
          <w:szCs w:val="20"/>
          <w:color w:val="auto"/>
        </w:rPr>
      </w:pPr>
    </w:p>
    <w:p>
      <w:pPr>
        <w:jc w:val="both"/>
        <w:ind w:left="87" w:hanging="19"/>
        <w:spacing w:after="0" w:line="251" w:lineRule="auto"/>
        <w:tabs>
          <w:tab w:leader="none" w:pos="58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outstanding shares of Common Stock of the Corporation are increased, decreased, changed into or exchanged for a different number or kind of shares or securities of the Corporation through recapitalization (other than the conversion of convertible securities according to their terms), reclassification, stock dividend, stock split or reverse stock split, an appropriate and proportionate adjustment shall be made, or if the Corporation shall spin-off, spin-out or otherwise distribute assets with respect to the outstanding shares of Common Stock of the Corporation, an appropriate and proportionate adjustment shall be made, in the number of performance stock units subject to this Award.</w:t>
      </w:r>
    </w:p>
    <w:p>
      <w:pPr>
        <w:spacing w:after="0" w:line="181" w:lineRule="exact"/>
        <w:rPr>
          <w:rFonts w:ascii="Times New Roman" w:cs="Times New Roman" w:eastAsia="Times New Roman" w:hAnsi="Times New Roman"/>
          <w:sz w:val="22"/>
          <w:szCs w:val="22"/>
          <w:color w:val="auto"/>
        </w:rPr>
      </w:pPr>
    </w:p>
    <w:p>
      <w:pPr>
        <w:jc w:val="both"/>
        <w:ind w:left="87" w:hanging="87"/>
        <w:spacing w:after="0" w:line="250" w:lineRule="auto"/>
        <w:tabs>
          <w:tab w:leader="none" w:pos="55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dissolution or liquidation of the Corporation, or upon any merger, consolidation or reorganization of the Corporation with any other corporations or entities as a result of which the Corporation is not the surviving corporation, or upon the sale of all or substantially all of the assets of the Corporation or the acquisition of more than 80% of the stock of the Corporation by another corporation or entity, there shall be substituted for each of the shares of Common Stock then subject to this Award the number and kind of shares of stock, securities or other assets which would have been issuable or payable in respect of or in exchange for such Common Stock then subject to the Award, as if the Award Holder had been the owner of such shares as of the transaction date. Any securities so substituted shall be subject to similar successive adjustments.</w:t>
      </w:r>
    </w:p>
    <w:p>
      <w:pPr>
        <w:spacing w:after="0" w:line="180" w:lineRule="exact"/>
        <w:rPr>
          <w:rFonts w:ascii="Times New Roman" w:cs="Times New Roman" w:eastAsia="Times New Roman" w:hAnsi="Times New Roman"/>
          <w:sz w:val="22"/>
          <w:szCs w:val="22"/>
          <w:color w:val="auto"/>
        </w:rPr>
      </w:pPr>
    </w:p>
    <w:p>
      <w:pPr>
        <w:jc w:val="both"/>
        <w:ind w:left="87" w:firstLine="375"/>
        <w:spacing w:after="0" w:line="256" w:lineRule="auto"/>
        <w:tabs>
          <w:tab w:leader="none" w:pos="708" w:val="left"/>
        </w:tabs>
        <w:numPr>
          <w:ilvl w:val="4"/>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performance stock unit agreement or in any other instrument executed pursuant thereto shall confer upon the Award Holder any right to continue in the employ of the Corporation or any Subsidiary of the Corporation or shall interfere in any way with the right of the Corporation or any such Subsidiary to at any time terminate the employment of the Award Holder with or without cause.</w:t>
      </w:r>
    </w:p>
    <w:p>
      <w:pPr>
        <w:spacing w:after="0" w:line="176" w:lineRule="exact"/>
        <w:rPr>
          <w:rFonts w:ascii="Times New Roman" w:cs="Times New Roman" w:eastAsia="Times New Roman" w:hAnsi="Times New Roman"/>
          <w:sz w:val="22"/>
          <w:szCs w:val="22"/>
          <w:color w:val="auto"/>
        </w:rPr>
      </w:pPr>
    </w:p>
    <w:p>
      <w:pPr>
        <w:jc w:val="both"/>
        <w:ind w:left="87" w:firstLine="264"/>
        <w:spacing w:after="0" w:line="250" w:lineRule="auto"/>
        <w:tabs>
          <w:tab w:leader="none" w:pos="762" w:val="left"/>
        </w:tabs>
        <w:numPr>
          <w:ilvl w:val="3"/>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No shares issuable under this Award shall be issued or delivered unless and until, in the opinion of counsel for the Corporation, all applicable requirements of federal and state law and of the Securities and Exchange Commission pertaining to the issuance and sale of such shares and any applicable listing requirements of any national securities exchange on which shares of the same class are then listed, shall have been fully complied with. In connection with any such issuance or transfer, the person acquiring the shares shall, if requested by the Corporation, give assurances satisfactory to counsel to the Corporation in respect of such matters as the Corporation or any Subsidiary of the Corporation may deem desirable to assure compliance with all applicable legal requirements.</w:t>
      </w:r>
    </w:p>
    <w:p>
      <w:pPr>
        <w:spacing w:after="0" w:line="180" w:lineRule="exact"/>
        <w:rPr>
          <w:rFonts w:ascii="Times New Roman" w:cs="Times New Roman" w:eastAsia="Times New Roman" w:hAnsi="Times New Roman"/>
          <w:sz w:val="22"/>
          <w:szCs w:val="22"/>
          <w:color w:val="auto"/>
        </w:rPr>
      </w:pPr>
    </w:p>
    <w:p>
      <w:pPr>
        <w:jc w:val="both"/>
        <w:ind w:left="87" w:firstLine="251"/>
        <w:spacing w:after="0" w:line="257" w:lineRule="auto"/>
        <w:tabs>
          <w:tab w:leader="none" w:pos="735"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Award Holder nor any beneficiary or other person claiming under or through the Award Holder shall have any right, title or interest in or to any shares of Common Stock allocated or reserved for the purpose of the Plan or subject to</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6"/>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327"/>
          </w:cols>
          <w:pgMar w:left="233" w:top="1440" w:right="339" w:bottom="1440" w:gutter="0" w:footer="0" w:header="0"/>
        </w:sectPr>
      </w:pPr>
    </w:p>
    <w:bookmarkStart w:id="63" w:name="page64"/>
    <w:bookmarkEnd w:id="63"/>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except as to such shares of Common Stock, if any, as shall have been issued or transferred to such person.</w:t>
      </w:r>
    </w:p>
    <w:p>
      <w:pPr>
        <w:spacing w:after="0" w:line="220" w:lineRule="exact"/>
        <w:rPr>
          <w:sz w:val="20"/>
          <w:szCs w:val="20"/>
          <w:color w:val="auto"/>
        </w:rPr>
      </w:pPr>
    </w:p>
    <w:p>
      <w:pPr>
        <w:jc w:val="both"/>
        <w:ind w:firstLine="379"/>
        <w:spacing w:after="0" w:line="264" w:lineRule="auto"/>
        <w:tabs>
          <w:tab w:leader="none" w:pos="1012"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Corporation or any Subsidiary of the Corporation may make such provisions as it may deem appropriate for the withholding of any taxes which the Corporation or such Subsidiary determines it is required to withhold in connection with this performance stock unit agreement and the transactions contemplated hereby, and the Corporation or any such Subsidiary may require the Award Holder to pay to the Corporation or such Subsidiary in cash any amount or amounts which may be required to be paid as withheld taxes in connection with any issuance of Common Stock pursuant to this Award or any other transaction contemplated hereby as a condition to the issuance of shares of the Common Stock, provided, however, that any amount withheld for taxes in connection with this Award may, at the election of the Award Holder, be paid with previously issued shares of Common Stock or the deduction of shares of Common Stock to be issued in connection with this Award.</w:t>
      </w:r>
    </w:p>
    <w:p>
      <w:pPr>
        <w:spacing w:after="0" w:line="169" w:lineRule="exact"/>
        <w:rPr>
          <w:rFonts w:ascii="Times New Roman" w:cs="Times New Roman" w:eastAsia="Times New Roman" w:hAnsi="Times New Roman"/>
          <w:sz w:val="21"/>
          <w:szCs w:val="21"/>
          <w:color w:val="auto"/>
        </w:rPr>
      </w:pPr>
    </w:p>
    <w:p>
      <w:pPr>
        <w:jc w:val="both"/>
        <w:ind w:firstLine="318"/>
        <w:spacing w:after="0" w:line="249" w:lineRule="auto"/>
        <w:tabs>
          <w:tab w:leader="none" w:pos="88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Neither this performance stock unit agreement, nor this Award nor any other rights and privileges granted hereby shall be transferred, assigned, pledged or hypothecated in any way, whether by operation of law of descent and distribution. Upon any attempt to so transfer, assign, pledge, hypothecate or otherwise dispose of this performance stock unit agreement, this Award or any other right or privilege granted hereby contrary to the provisions hereof, this performance stock unit agreement, this Award and all of such rights and privileges shall immediately become null and void, provided however, that the Award Holder may transfer an Award to any “</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(as such term is defined in Section A.1(a)(5) of the General Instructions to Form S-8 under the Securities Act of 1933, as amended (“</w:t>
      </w:r>
      <w:r>
        <w:rPr>
          <w:rFonts w:ascii="Times New Roman" w:cs="Times New Roman" w:eastAsia="Times New Roman" w:hAnsi="Times New Roman"/>
          <w:sz w:val="22"/>
          <w:szCs w:val="22"/>
          <w:u w:val="single" w:color="auto"/>
          <w:color w:val="auto"/>
        </w:rPr>
        <w:t>Form S-8</w:t>
      </w:r>
      <w:r>
        <w:rPr>
          <w:rFonts w:ascii="Times New Roman" w:cs="Times New Roman" w:eastAsia="Times New Roman" w:hAnsi="Times New Roman"/>
          <w:sz w:val="22"/>
          <w:szCs w:val="22"/>
          <w:color w:val="auto"/>
        </w:rPr>
        <w:t>”)),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 transferee acknowledges and agrees that the Award remains subject to all of the terms and conditions of this Agreement and the Plan.</w:t>
      </w:r>
    </w:p>
    <w:p>
      <w:pPr>
        <w:spacing w:after="0" w:line="190" w:lineRule="exact"/>
        <w:rPr>
          <w:rFonts w:ascii="Times New Roman" w:cs="Times New Roman" w:eastAsia="Times New Roman" w:hAnsi="Times New Roman"/>
          <w:sz w:val="22"/>
          <w:szCs w:val="22"/>
          <w:color w:val="auto"/>
        </w:rPr>
      </w:pPr>
    </w:p>
    <w:p>
      <w:pPr>
        <w:jc w:val="both"/>
        <w:ind w:firstLine="224"/>
        <w:spacing w:after="0" w:line="263" w:lineRule="auto"/>
        <w:tabs>
          <w:tab w:leader="none" w:pos="70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Programs</w:t>
      </w:r>
      <w:r>
        <w:rPr>
          <w:rFonts w:ascii="Times New Roman" w:cs="Times New Roman" w:eastAsia="Times New Roman" w:hAnsi="Times New Roman"/>
          <w:sz w:val="22"/>
          <w:szCs w:val="22"/>
          <w:color w:val="auto"/>
        </w:rPr>
        <w:t>. Nothing contained in this performance stock unit agreement shall affect the right of the Award Holder to participate in and receive benefits under and in accordance with the then current provisions of any pension, insurance, profit-sharing or other employee benefit plan or program of the Corporation or of any Subsidiary of the Corporation.</w:t>
      </w:r>
    </w:p>
    <w:p>
      <w:pPr>
        <w:spacing w:after="0" w:line="167" w:lineRule="exact"/>
        <w:rPr>
          <w:rFonts w:ascii="Times New Roman" w:cs="Times New Roman" w:eastAsia="Times New Roman" w:hAnsi="Times New Roman"/>
          <w:sz w:val="22"/>
          <w:szCs w:val="22"/>
          <w:color w:val="auto"/>
        </w:rPr>
      </w:pPr>
    </w:p>
    <w:p>
      <w:pPr>
        <w:jc w:val="both"/>
        <w:ind w:firstLine="231"/>
        <w:spacing w:after="0" w:line="252" w:lineRule="auto"/>
        <w:tabs>
          <w:tab w:leader="none" w:pos="71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Award hereby granted is subject to, and the Corporation and Award Holder agree to be bound by all of the terms and conditions of the Plan as the same may be amended from time to time in accordance with the terms thereof, but no such amendment may adversely affect the Award Holder’s rights under this performance stock unit agreement. Award Holder acknowledges receipt of a complete copy of the Plan.</w:t>
      </w:r>
    </w:p>
    <w:p>
      <w:pPr>
        <w:spacing w:after="0" w:line="179" w:lineRule="exact"/>
        <w:rPr>
          <w:rFonts w:ascii="Times New Roman" w:cs="Times New Roman" w:eastAsia="Times New Roman" w:hAnsi="Times New Roman"/>
          <w:sz w:val="22"/>
          <w:szCs w:val="22"/>
          <w:color w:val="auto"/>
        </w:rPr>
      </w:pPr>
    </w:p>
    <w:p>
      <w:pPr>
        <w:jc w:val="both"/>
        <w:ind w:firstLine="372"/>
        <w:spacing w:after="0" w:line="256" w:lineRule="auto"/>
        <w:tabs>
          <w:tab w:leader="none" w:pos="999"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 other provisions in the Plan, the Corporation may cancel any Award, require reimbursement of any Award by the Award Holder, and effect any other right of recoupment of equity or other compensation provided under the Plan (including under this performance stock unit agreement) or otherwise in accordance with the Corporation’s clawback policy as the same may be adopted and/or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Award Holder acknowledges that any PSU Shares awarded pursuant to the Plan and this performance stock unit agreement may be subject to repayment to the Corporation in accordance with the Clawback Policy. By accepting the Award, Award Holder is agreeing to be bound by the Clawback Policy, as in effect on the Effective Date or as may be adopted and/or modified from time to time by the Corporation in its sole discretion (including, without limitation, to comply with applicable law or stock exchange listing requirements). The Award Holder hereby expressly agrees that in connection with the enforcement of the Clawback Policy, the Corporation shall have the right to reduce, cancel, or withhold against outstanding, unvested, vested, or future cash or equity-based compensation owed or due to the Award Holder that is subject to such policy, to the maximum extent permitted under applicable law.</w:t>
      </w:r>
    </w:p>
    <w:p>
      <w:pPr>
        <w:spacing w:after="0" w:line="195" w:lineRule="exact"/>
        <w:rPr>
          <w:sz w:val="20"/>
          <w:szCs w:val="20"/>
          <w:color w:val="auto"/>
        </w:rPr>
      </w:pPr>
    </w:p>
    <w:p>
      <w:pPr>
        <w:jc w:val="both"/>
        <w:ind w:firstLine="325"/>
        <w:spacing w:after="0" w:line="268" w:lineRule="auto"/>
        <w:tabs>
          <w:tab w:leader="none" w:pos="904"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Authority</w:t>
      </w:r>
      <w:r>
        <w:rPr>
          <w:rFonts w:ascii="Times New Roman" w:cs="Times New Roman" w:eastAsia="Times New Roman" w:hAnsi="Times New Roman"/>
          <w:sz w:val="21"/>
          <w:szCs w:val="21"/>
          <w:color w:val="auto"/>
        </w:rPr>
        <w:t>. All questions arising under the Plan or under this performance stock unit agreement shall be decided by the Committee in its total and absolute discretion. It is expressly understood that the Committee is authorized to administer, construe and make all determinations necessary or appropriate to the administration of the Plan and this performance stock unit agreement, all of which shall be binding upon the Award Holder to the maximum extent permitted by the Plan.</w:t>
      </w:r>
    </w:p>
    <w:p>
      <w:pPr>
        <w:spacing w:after="0" w:line="163" w:lineRule="exact"/>
        <w:rPr>
          <w:rFonts w:ascii="Times New Roman" w:cs="Times New Roman" w:eastAsia="Times New Roman" w:hAnsi="Times New Roman"/>
          <w:sz w:val="21"/>
          <w:szCs w:val="21"/>
          <w:color w:val="auto"/>
        </w:rPr>
      </w:pPr>
    </w:p>
    <w:p>
      <w:pPr>
        <w:ind w:firstLine="271"/>
        <w:spacing w:after="0" w:line="271" w:lineRule="auto"/>
        <w:tabs>
          <w:tab w:leader="none" w:pos="79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Award Holder by this Award are the services rendered by the Award Holder after and not before the grant of this Award.</w:t>
      </w:r>
    </w:p>
    <w:p>
      <w:pPr>
        <w:spacing w:after="0" w:line="171" w:lineRule="exact"/>
        <w:rPr>
          <w:rFonts w:ascii="Times New Roman" w:cs="Times New Roman" w:eastAsia="Times New Roman" w:hAnsi="Times New Roman"/>
          <w:sz w:val="22"/>
          <w:szCs w:val="22"/>
          <w:color w:val="auto"/>
        </w:rPr>
      </w:pPr>
    </w:p>
    <w:p>
      <w:pPr>
        <w:ind w:firstLine="237"/>
        <w:spacing w:after="0" w:line="271" w:lineRule="auto"/>
        <w:tabs>
          <w:tab w:leader="none" w:pos="7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Award has been granted as of the effective date set forth above at Los Angeles, California, and the interpretation, performance and enforcement of this Agreement shall be governed by the laws of the State of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Award Holder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PERFORMANCE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63" w:lineRule="exact"/>
        <w:rPr>
          <w:sz w:val="20"/>
          <w:szCs w:val="20"/>
          <w:color w:val="auto"/>
        </w:rPr>
      </w:pPr>
    </w:p>
    <w:p>
      <w:pPr>
        <w:jc w:val="both"/>
        <w:ind w:firstLine="725"/>
        <w:spacing w:after="0" w:line="259" w:lineRule="auto"/>
        <w:rPr>
          <w:sz w:val="20"/>
          <w:szCs w:val="20"/>
          <w:color w:val="auto"/>
        </w:rPr>
      </w:pPr>
      <w:r>
        <w:rPr>
          <w:rFonts w:ascii="Times New Roman" w:cs="Times New Roman" w:eastAsia="Times New Roman" w:hAnsi="Times New Roman"/>
          <w:sz w:val="21"/>
          <w:szCs w:val="21"/>
          <w:color w:val="auto"/>
        </w:rPr>
        <w:t>For purposes of this performance stock unit agreement, the “</w:t>
      </w:r>
      <w:r>
        <w:rPr>
          <w:rFonts w:ascii="Times New Roman" w:cs="Times New Roman" w:eastAsia="Times New Roman" w:hAnsi="Times New Roman"/>
          <w:sz w:val="21"/>
          <w:szCs w:val="21"/>
          <w:u w:val="single" w:color="auto"/>
          <w:color w:val="auto"/>
        </w:rPr>
        <w:t>Diluted Earnings Per Share</w:t>
      </w:r>
      <w:r>
        <w:rPr>
          <w:rFonts w:ascii="Times New Roman" w:cs="Times New Roman" w:eastAsia="Times New Roman" w:hAnsi="Times New Roman"/>
          <w:sz w:val="21"/>
          <w:szCs w:val="21"/>
          <w:color w:val="auto"/>
        </w:rPr>
        <w:t>” means the diluted earnings per share of the Corporation for each of the Corporation’s fiscal years ending December 31, 202_, December 31, 202_ and December 31, 202_ as included in the Corporation’s audited financial statements, subject to adjustment as provided herein. The Diluted Earnings Per Share shall be adjusted (as determined by the Committee) (i) for changes in accounting, (ii) for discontinued operations (including businesses and product lines that are sold), (iii) to exclude gain or loss on the sale of any business or product line, including but not limited to post-closing adjustments to the purchase price, any indemnity or similar payments, and any costs or expenses in connection therewith, (iv) to exclude any asset impairment write-offs or charges (whether of goodwill, intangible or tangible assets), (v) to exclude any transaction-related costs or expenses arising in connection with the purchase or sale of any business or product line, including but not limited to the effects of Financial Accounting Standards Board Accounting Standards Codification Topic 805, (vi) to exclude any costs or expenses arising in connection with the refinancing, restructuring or prepayment of any Debt, including but not limited to the unamortized portion of any original issue discount, the unamortized portion of any original issue costs and expenses, and any prepayment or make-whole payments, costs or expenses and (vii) any restructuring, reorganization or other costs, expenses or charges that the Compensation Committee determines should be adjusted to fairly reflect the operating performance of the Company. An appropriate adjustment in the Diluted Earnings Per Share amounts in the table below also shall be made for any of the events described in Section 6(a) above.</w:t>
      </w:r>
    </w:p>
    <w:p>
      <w:pPr>
        <w:spacing w:after="0" w:line="195" w:lineRule="exact"/>
        <w:rPr>
          <w:sz w:val="20"/>
          <w:szCs w:val="20"/>
          <w:color w:val="auto"/>
        </w:rPr>
      </w:pPr>
    </w:p>
    <w:p>
      <w:pPr>
        <w:jc w:val="both"/>
        <w:ind w:firstLine="725"/>
        <w:spacing w:after="0" w:line="248" w:lineRule="auto"/>
        <w:rPr>
          <w:sz w:val="20"/>
          <w:szCs w:val="20"/>
          <w:color w:val="auto"/>
        </w:rPr>
      </w:pPr>
      <w:r>
        <w:rPr>
          <w:rFonts w:ascii="Times New Roman" w:cs="Times New Roman" w:eastAsia="Times New Roman" w:hAnsi="Times New Roman"/>
          <w:sz w:val="22"/>
          <w:szCs w:val="22"/>
          <w:color w:val="auto"/>
        </w:rPr>
        <w:t>For purposes of this performance stock unit agreement, the “</w:t>
      </w:r>
      <w:r>
        <w:rPr>
          <w:rFonts w:ascii="Times New Roman" w:cs="Times New Roman" w:eastAsia="Times New Roman" w:hAnsi="Times New Roman"/>
          <w:sz w:val="22"/>
          <w:szCs w:val="22"/>
          <w:u w:val="single" w:color="auto"/>
          <w:color w:val="auto"/>
        </w:rPr>
        <w:t>Relative Total Shareholder Return</w:t>
      </w:r>
      <w:r>
        <w:rPr>
          <w:rFonts w:ascii="Times New Roman" w:cs="Times New Roman" w:eastAsia="Times New Roman" w:hAnsi="Times New Roman"/>
          <w:sz w:val="22"/>
          <w:szCs w:val="22"/>
          <w:color w:val="auto"/>
        </w:rPr>
        <w:t>” means the percentile ranking over the Performance Period of the Corporation’s total shareholder return as compared to the total shareholder return of the companies in the Russell 2000 Index at the beginning of the Performance Period. The determination of the total shareholder return for the Corporation and the companies in the Russell 2000 Index shall include the appreciation or depreciation of stock prices plus dividends paid as if reinvested, and shall be determined based on the average closing price of the Corporation’s common stock and the average closing price of the companies in the Russell 2000 Index over the first thirty (30) trading days of the Performance Period compared to the last thirty (30) trading days of the Performance Period. If the Russell 2000 Index ceases to be published, the Committee shall, in its discretion, substitute another broad-based stock index that it determines is appropriate.</w:t>
      </w:r>
    </w:p>
    <w:p>
      <w:pPr>
        <w:spacing w:after="0" w:line="185" w:lineRule="exact"/>
        <w:rPr>
          <w:sz w:val="20"/>
          <w:szCs w:val="20"/>
          <w:color w:val="auto"/>
        </w:rPr>
      </w:pPr>
    </w:p>
    <w:p>
      <w:pPr>
        <w:jc w:val="both"/>
        <w:ind w:firstLine="725"/>
        <w:spacing w:after="0" w:line="265" w:lineRule="auto"/>
        <w:rPr>
          <w:sz w:val="20"/>
          <w:szCs w:val="20"/>
          <w:color w:val="auto"/>
        </w:rPr>
      </w:pPr>
      <w:r>
        <w:rPr>
          <w:rFonts w:ascii="Times New Roman" w:cs="Times New Roman" w:eastAsia="Times New Roman" w:hAnsi="Times New Roman"/>
          <w:sz w:val="21"/>
          <w:szCs w:val="21"/>
          <w:color w:val="auto"/>
        </w:rPr>
        <w:t>After the end of the Corporation’s fiscal year ending December 31, 202_, the Committee shall determine the Corporation’s Diluted Earnings Per Share for such fiscal year and the applicable percentage of Target Units earned with respect to such performance measure for such fiscal year. After the end of the Corporation’s fiscal year ending December 31, 202_, the Committee shall determine the Corporation’s Diluted Earnings Per Share for such fiscal year and the applicable percentage of Target Units earned with respect to such performance measure for such fiscal year. After the end of the Corporation’s fiscal year ending December 31, 202_, the Committee shall determine the Corporation’s Diluted Earnings Per Share for such fiscal year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applicable percentage of Target Units earned with respect to such performance measure for such fiscal year. If the Diluted Earnings Per Share does not equal or exceed the thresholds in the table below, the Award shall expire without consideration.</w:t>
      </w:r>
    </w:p>
    <w:p>
      <w:pPr>
        <w:spacing w:after="0" w:line="179" w:lineRule="exact"/>
        <w:rPr>
          <w:sz w:val="20"/>
          <w:szCs w:val="20"/>
          <w:color w:val="auto"/>
        </w:rPr>
      </w:pPr>
    </w:p>
    <w:tbl>
      <w:tblPr>
        <w:tblLayout w:type="fixed"/>
        <w:tblInd w:w="730" w:type="dxa"/>
        <w:tblCellMar>
          <w:top w:w="0" w:type="dxa"/>
          <w:left w:w="0" w:type="dxa"/>
          <w:bottom w:w="0" w:type="dxa"/>
          <w:right w:w="0" w:type="dxa"/>
        </w:tblCellMar>
      </w:tblPr>
      <w:tr>
        <w:trPr>
          <w:trHeight w:val="257"/>
        </w:trPr>
        <w:tc>
          <w:tcPr>
            <w:tcW w:w="37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Diluted Earnings Per Share</w:t>
            </w:r>
          </w:p>
        </w:tc>
        <w:tc>
          <w:tcPr>
            <w:tcW w:w="1240" w:type="dxa"/>
            <w:vAlign w:val="bottom"/>
            <w:tcBorders>
              <w:top w:val="single" w:sz="8" w:color="auto"/>
              <w:right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22"/>
                <w:szCs w:val="22"/>
                <w:color w:val="auto"/>
              </w:rPr>
              <w:t>202_</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202_</w:t>
            </w:r>
          </w:p>
        </w:tc>
        <w:tc>
          <w:tcPr>
            <w:tcW w:w="56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202_</w:t>
            </w:r>
          </w:p>
        </w:tc>
        <w:tc>
          <w:tcPr>
            <w:tcW w:w="540" w:type="dxa"/>
            <w:vAlign w:val="bottom"/>
            <w:tcBorders>
              <w:top w:val="single" w:sz="8" w:color="auto"/>
              <w:right w:val="single" w:sz="8" w:color="auto"/>
            </w:tcBorders>
          </w:tcPr>
          <w:p>
            <w:pPr>
              <w:spacing w:after="0"/>
              <w:rPr>
                <w:sz w:val="22"/>
                <w:szCs w:val="22"/>
                <w:color w:val="auto"/>
              </w:rPr>
            </w:pPr>
          </w:p>
        </w:tc>
        <w:tc>
          <w:tcPr>
            <w:tcW w:w="174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22"/>
                <w:szCs w:val="22"/>
                <w:color w:val="auto"/>
              </w:rPr>
              <w:t>Total</w:t>
            </w:r>
          </w:p>
        </w:tc>
      </w:tr>
      <w:tr>
        <w:trPr>
          <w:trHeight w:val="61"/>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r>
      <w:tr>
        <w:trPr>
          <w:trHeight w:val="505"/>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Threshold</w:t>
            </w:r>
          </w:p>
        </w:tc>
        <w:tc>
          <w:tcPr>
            <w:tcW w:w="380" w:type="dxa"/>
            <w:vAlign w:val="bottom"/>
          </w:tcPr>
          <w:p>
            <w:pPr>
              <w:spacing w:after="0"/>
              <w:rPr>
                <w:sz w:val="24"/>
                <w:szCs w:val="24"/>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20" w:type="dxa"/>
            <w:vAlign w:val="bottom"/>
          </w:tcPr>
          <w:p>
            <w:pPr>
              <w:spacing w:after="0"/>
              <w:rPr>
                <w:sz w:val="24"/>
                <w:szCs w:val="24"/>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00" w:type="dxa"/>
            <w:vAlign w:val="bottom"/>
          </w:tcPr>
          <w:p>
            <w:pPr>
              <w:spacing w:after="0"/>
              <w:rPr>
                <w:sz w:val="24"/>
                <w:szCs w:val="24"/>
                <w:color w:val="auto"/>
              </w:rPr>
            </w:pPr>
          </w:p>
        </w:tc>
        <w:tc>
          <w:tcPr>
            <w:tcW w:w="9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1740" w:type="dxa"/>
            <w:vAlign w:val="bottom"/>
            <w:tcBorders>
              <w:right w:val="single" w:sz="8" w:color="auto"/>
            </w:tcBorders>
          </w:tcPr>
          <w:p>
            <w:pPr>
              <w:spacing w:after="0"/>
              <w:rPr>
                <w:sz w:val="24"/>
                <w:szCs w:val="24"/>
                <w:color w:val="auto"/>
              </w:rPr>
            </w:pPr>
          </w:p>
        </w:tc>
      </w:tr>
      <w:tr>
        <w:trPr>
          <w:trHeight w:val="487"/>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Units</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150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14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30%</w:t>
            </w:r>
          </w:p>
        </w:tc>
      </w:tr>
      <w:tr>
        <w:trPr>
          <w:trHeight w:val="506"/>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Target</w:t>
            </w:r>
          </w:p>
        </w:tc>
        <w:tc>
          <w:tcPr>
            <w:tcW w:w="380" w:type="dxa"/>
            <w:vAlign w:val="bottom"/>
          </w:tcPr>
          <w:p>
            <w:pPr>
              <w:spacing w:after="0"/>
              <w:rPr>
                <w:sz w:val="24"/>
                <w:szCs w:val="24"/>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20" w:type="dxa"/>
            <w:vAlign w:val="bottom"/>
          </w:tcPr>
          <w:p>
            <w:pPr>
              <w:spacing w:after="0"/>
              <w:rPr>
                <w:sz w:val="24"/>
                <w:szCs w:val="24"/>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00" w:type="dxa"/>
            <w:vAlign w:val="bottom"/>
          </w:tcPr>
          <w:p>
            <w:pPr>
              <w:spacing w:after="0"/>
              <w:rPr>
                <w:sz w:val="24"/>
                <w:szCs w:val="24"/>
                <w:color w:val="auto"/>
              </w:rPr>
            </w:pPr>
          </w:p>
        </w:tc>
        <w:tc>
          <w:tcPr>
            <w:tcW w:w="9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1740" w:type="dxa"/>
            <w:vAlign w:val="bottom"/>
            <w:tcBorders>
              <w:right w:val="single" w:sz="8" w:color="auto"/>
            </w:tcBorders>
          </w:tcPr>
          <w:p>
            <w:pPr>
              <w:spacing w:after="0"/>
              <w:rPr>
                <w:sz w:val="24"/>
                <w:szCs w:val="24"/>
                <w:color w:val="auto"/>
              </w:rPr>
            </w:pPr>
          </w:p>
        </w:tc>
      </w:tr>
      <w:tr>
        <w:trPr>
          <w:trHeight w:val="487"/>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Units</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33%</w:t>
            </w:r>
          </w:p>
        </w:tc>
        <w:tc>
          <w:tcPr>
            <w:tcW w:w="150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33%</w:t>
            </w:r>
          </w:p>
        </w:tc>
        <w:tc>
          <w:tcPr>
            <w:tcW w:w="14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34%</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506"/>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Maximum</w:t>
            </w:r>
          </w:p>
        </w:tc>
        <w:tc>
          <w:tcPr>
            <w:tcW w:w="380" w:type="dxa"/>
            <w:vAlign w:val="bottom"/>
          </w:tcPr>
          <w:p>
            <w:pPr>
              <w:spacing w:after="0"/>
              <w:rPr>
                <w:sz w:val="24"/>
                <w:szCs w:val="24"/>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20" w:type="dxa"/>
            <w:vAlign w:val="bottom"/>
          </w:tcPr>
          <w:p>
            <w:pPr>
              <w:spacing w:after="0"/>
              <w:rPr>
                <w:sz w:val="24"/>
                <w:szCs w:val="24"/>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00" w:type="dxa"/>
            <w:vAlign w:val="bottom"/>
          </w:tcPr>
          <w:p>
            <w:pPr>
              <w:spacing w:after="0"/>
              <w:rPr>
                <w:sz w:val="24"/>
                <w:szCs w:val="24"/>
                <w:color w:val="auto"/>
              </w:rPr>
            </w:pPr>
          </w:p>
        </w:tc>
        <w:tc>
          <w:tcPr>
            <w:tcW w:w="9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1740" w:type="dxa"/>
            <w:vAlign w:val="bottom"/>
            <w:tcBorders>
              <w:right w:val="single" w:sz="8" w:color="auto"/>
            </w:tcBorders>
          </w:tcPr>
          <w:p>
            <w:pPr>
              <w:spacing w:after="0"/>
              <w:rPr>
                <w:sz w:val="24"/>
                <w:szCs w:val="24"/>
                <w:color w:val="auto"/>
              </w:rPr>
            </w:pPr>
          </w:p>
        </w:tc>
      </w:tr>
      <w:tr>
        <w:trPr>
          <w:trHeight w:val="487"/>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Units</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66%</w:t>
            </w:r>
          </w:p>
        </w:tc>
        <w:tc>
          <w:tcPr>
            <w:tcW w:w="150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66%</w:t>
            </w:r>
          </w:p>
        </w:tc>
        <w:tc>
          <w:tcPr>
            <w:tcW w:w="14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68%</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r>
    </w:tbl>
    <w:p>
      <w:pPr>
        <w:spacing w:after="0" w:line="2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In the event that the Corporation’s Diluted Earnings Per Share for any fiscal year of the Performance Period falls between two of the percentages listed in the table above, the applicable percentage of Target Units earned based on such achievement shall be determined by linear interpolation. The total number of performance stock units subject to the Award that are earned based upon the Corporation’s achievement over the Performance Period (as determined by the Committee) will be equal to the sum of (i) the percentage determined by reference to the table above with respect to the Corporation’s Diluted Earnings Per Share for the fiscal year ending December 31, 202_ multiplied by the number of Target Units set forth in Section 1 above,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percentage determined by reference to the table above with respect to the Corporation’s Diluted Earnings Per Share for the fiscal year ending December 31, 202_ multiplied by the number of Target Units set forth in Section 1 above,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the percentage determined by reference to the table above with respect to the Corporation’s Diluted Earnings Per Share for the fiscal year ending December 31, 202_ multiplied by the number of Target Units set forth in Section 1 above (such units collectively, the “</w:t>
      </w:r>
      <w:r>
        <w:rPr>
          <w:rFonts w:ascii="Times New Roman" w:cs="Times New Roman" w:eastAsia="Times New Roman" w:hAnsi="Times New Roman"/>
          <w:sz w:val="21"/>
          <w:szCs w:val="21"/>
          <w:u w:val="single" w:color="auto"/>
          <w:color w:val="auto"/>
        </w:rPr>
        <w:t>Earned Units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After the end of the Performance Period, the Committee shall determine the Corporation’s Relative Total Shareholder Return (compared to the companies in the Russell 2000 Index at the beginning of the Performance Period) over the Performance Period. The Committee, in its discretion, shall establish such procedures as it deems appropriate to determine the Corporation’s percentile rank in Relative Total Shareholder Return. The total “</w:t>
      </w:r>
      <w:r>
        <w:rPr>
          <w:rFonts w:ascii="Times New Roman" w:cs="Times New Roman" w:eastAsia="Times New Roman" w:hAnsi="Times New Roman"/>
          <w:sz w:val="22"/>
          <w:szCs w:val="22"/>
          <w:u w:val="single" w:color="auto"/>
          <w:color w:val="auto"/>
        </w:rPr>
        <w:t>Vested Units</w:t>
      </w:r>
      <w:r>
        <w:rPr>
          <w:rFonts w:ascii="Times New Roman" w:cs="Times New Roman" w:eastAsia="Times New Roman" w:hAnsi="Times New Roman"/>
          <w:sz w:val="22"/>
          <w:szCs w:val="22"/>
          <w:color w:val="auto"/>
        </w:rPr>
        <w:t>” will then be determined by multiplying the Earned Units by the Total Vested Units Modifier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Total Vested Units Modifier shall not be greater than 1.0 unless the Corporation’s total shareholder return over the Performance Period is greater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40575" cy="1937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40575" cy="19373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Relative Total Shareholder Return v. Russell 2000 Index</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640" w:type="dxa"/>
            <w:vAlign w:val="bottom"/>
            <w:tcBorders>
              <w:top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Total Shareholder Return Percentile Rank</w:t>
            </w:r>
          </w:p>
        </w:tc>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Vested Units Modifier</w:t>
            </w:r>
          </w:p>
        </w:tc>
      </w:tr>
      <w:tr>
        <w:trPr>
          <w:trHeight w:val="28"/>
        </w:trPr>
        <w:tc>
          <w:tcPr>
            <w:tcW w:w="46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89"/>
        </w:trPr>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81%</w:t>
            </w:r>
          </w:p>
        </w:tc>
        <w:tc>
          <w:tcPr>
            <w:tcW w:w="5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- 100%</w:t>
            </w: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1.25</w:t>
            </w:r>
          </w:p>
        </w:tc>
      </w:tr>
      <w:tr>
        <w:trPr>
          <w:trHeight w:val="28"/>
        </w:trPr>
        <w:tc>
          <w:tcPr>
            <w:tcW w:w="46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89"/>
        </w:trPr>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71%</w:t>
            </w:r>
          </w:p>
        </w:tc>
        <w:tc>
          <w:tcPr>
            <w:tcW w:w="5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- 80%</w:t>
            </w: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1.15</w:t>
            </w:r>
          </w:p>
        </w:tc>
      </w:tr>
      <w:tr>
        <w:trPr>
          <w:trHeight w:val="28"/>
        </w:trPr>
        <w:tc>
          <w:tcPr>
            <w:tcW w:w="46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89"/>
        </w:trPr>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61%</w:t>
            </w:r>
          </w:p>
        </w:tc>
        <w:tc>
          <w:tcPr>
            <w:tcW w:w="5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- 70%</w:t>
            </w: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w:t>
            </w:r>
          </w:p>
        </w:tc>
      </w:tr>
      <w:tr>
        <w:trPr>
          <w:trHeight w:val="28"/>
        </w:trPr>
        <w:tc>
          <w:tcPr>
            <w:tcW w:w="46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89"/>
        </w:trPr>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41%</w:t>
            </w:r>
          </w:p>
        </w:tc>
        <w:tc>
          <w:tcPr>
            <w:tcW w:w="5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- 60%</w:t>
            </w: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w:t>
            </w:r>
          </w:p>
        </w:tc>
      </w:tr>
      <w:tr>
        <w:trPr>
          <w:trHeight w:val="29"/>
        </w:trPr>
        <w:tc>
          <w:tcPr>
            <w:tcW w:w="46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89"/>
        </w:trPr>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31%</w:t>
            </w:r>
          </w:p>
        </w:tc>
        <w:tc>
          <w:tcPr>
            <w:tcW w:w="5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- 40%</w:t>
            </w: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.90</w:t>
            </w:r>
          </w:p>
        </w:tc>
      </w:tr>
      <w:tr>
        <w:trPr>
          <w:trHeight w:val="29"/>
        </w:trPr>
        <w:tc>
          <w:tcPr>
            <w:tcW w:w="46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89"/>
        </w:trPr>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21%</w:t>
            </w:r>
          </w:p>
        </w:tc>
        <w:tc>
          <w:tcPr>
            <w:tcW w:w="5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- 30%</w:t>
            </w: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.85</w:t>
            </w:r>
          </w:p>
        </w:tc>
      </w:tr>
      <w:tr>
        <w:trPr>
          <w:trHeight w:val="29"/>
        </w:trPr>
        <w:tc>
          <w:tcPr>
            <w:tcW w:w="5640" w:type="dxa"/>
            <w:vAlign w:val="bottom"/>
            <w:tcBorders>
              <w:bottom w:val="single" w:sz="8" w:color="auto"/>
              <w:right w:val="single" w:sz="8" w:color="auto"/>
            </w:tcBorders>
            <w:gridSpan w:val="2"/>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89"/>
        </w:trPr>
        <w:tc>
          <w:tcPr>
            <w:tcW w:w="56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0% - 20%</w:t>
            </w: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.75</w:t>
            </w:r>
          </w:p>
        </w:tc>
      </w:tr>
      <w:tr>
        <w:trPr>
          <w:trHeight w:val="29"/>
        </w:trPr>
        <w:tc>
          <w:tcPr>
            <w:tcW w:w="46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Notwithstanding anything herein to the contrary, in no event will more than two hundred fifty percent (250%) of the number of Target Units become vested hereunder. Performance stock units granted under this Award that are not vested and remain subject to forfeiture are referred to herein as “</w:t>
      </w:r>
      <w:r>
        <w:rPr>
          <w:rFonts w:ascii="Times New Roman" w:cs="Times New Roman" w:eastAsia="Times New Roman" w:hAnsi="Times New Roman"/>
          <w:sz w:val="22"/>
          <w:szCs w:val="22"/>
          <w:u w:val="single" w:color="auto"/>
          <w:color w:val="auto"/>
        </w:rPr>
        <w:t>Unvested Units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60"/>
          </w:cols>
          <w:pgMar w:left="320" w:top="1440" w:right="319" w:bottom="1440" w:gutter="0" w:footer="0" w:header="0"/>
        </w:sectPr>
      </w:pPr>
    </w:p>
    <w:bookmarkStart w:id="68" w:name="page69"/>
    <w:bookmarkEnd w:id="68"/>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CASH-BASED LONG-TERM INCENTIVE AWARD AGREEMENT</w:t>
      </w:r>
    </w:p>
    <w:p>
      <w:pPr>
        <w:spacing w:after="0" w:line="200" w:lineRule="exact"/>
        <w:rPr>
          <w:sz w:val="20"/>
          <w:szCs w:val="20"/>
          <w:color w:val="auto"/>
        </w:rPr>
      </w:pPr>
    </w:p>
    <w:p>
      <w:pPr>
        <w:spacing w:after="0" w:line="2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cash-based long-time incentive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May __,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between Ducommun Incorporated,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and __________ (“</w:t>
      </w:r>
      <w:r>
        <w:rPr>
          <w:rFonts w:ascii="Times New Roman" w:cs="Times New Roman" w:eastAsia="Times New Roman" w:hAnsi="Times New Roman"/>
          <w:sz w:val="22"/>
          <w:szCs w:val="22"/>
          <w:u w:val="single" w:color="auto"/>
          <w:color w:val="auto"/>
        </w:rPr>
        <w:t>Award Holder</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is subject to and governed by the terms of the 2024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220" w:lineRule="exact"/>
        <w:rPr>
          <w:sz w:val="20"/>
          <w:szCs w:val="20"/>
          <w:color w:val="auto"/>
        </w:rPr>
      </w:pPr>
    </w:p>
    <w:p>
      <w:pPr>
        <w:jc w:val="both"/>
        <w:ind w:firstLine="656"/>
        <w:spacing w:after="0" w:line="251" w:lineRule="auto"/>
        <w:tabs>
          <w:tab w:leader="none" w:pos="116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Corporation hereby grants to the Award Holder an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with a target value (if the Corporation achieves the target level performance goals described in Exhibit A attached hereto) of </w:t>
      </w:r>
      <w:r>
        <w:rPr>
          <w:rFonts w:ascii="Times New Roman" w:cs="Times New Roman" w:eastAsia="Times New Roman" w:hAnsi="Times New Roman"/>
          <w:sz w:val="22"/>
          <w:szCs w:val="22"/>
          <w:b w:val="1"/>
          <w:bCs w:val="1"/>
          <w:color w:val="auto"/>
        </w:rPr>
        <w:t>______________ Dollars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$xxx,xxx.00</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and a maximum of up to two hundred fifty percent (250%) of the Target Award (if Corporation achieves the maximum level performance goals described in Exhibit A), in each case subject to certain adjustments as described herein. The Award granted hereunder represents the right to receive a payment in cash based upon the percentage of the Target Award earned, subject to the conditions set forth in this Agreement and the Plan.</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05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Agreement, shall have the meanings set forth in this Section 2.</w:t>
      </w:r>
    </w:p>
    <w:p>
      <w:pPr>
        <w:spacing w:after="0" w:line="167" w:lineRule="exact"/>
        <w:rPr>
          <w:sz w:val="20"/>
          <w:szCs w:val="20"/>
          <w:color w:val="auto"/>
        </w:rPr>
      </w:pPr>
    </w:p>
    <w:p>
      <w:pPr>
        <w:jc w:val="both"/>
        <w:ind w:left="660" w:hanging="134"/>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$.01 par value, of the Corporation or such other class of shares or other securities as may be applicable pursuant to the provisions of Sections 4 or 9 of this cash-based long-time incentive award agreement.</w:t>
      </w:r>
    </w:p>
    <w:p>
      <w:pPr>
        <w:spacing w:after="0" w:line="173"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167" w:lineRule="exact"/>
        <w:rPr>
          <w:sz w:val="20"/>
          <w:szCs w:val="20"/>
          <w:color w:val="auto"/>
        </w:rPr>
      </w:pPr>
    </w:p>
    <w:p>
      <w:pPr>
        <w:ind w:left="660" w:hanging="134"/>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of Directors of the Corporation, or if there is no such committee acting, the Board of Directors of the Corporation.</w:t>
      </w:r>
    </w:p>
    <w:p>
      <w:pPr>
        <w:spacing w:after="0" w:line="212" w:lineRule="exact"/>
        <w:rPr>
          <w:sz w:val="20"/>
          <w:szCs w:val="20"/>
          <w:color w:val="auto"/>
        </w:rPr>
      </w:pPr>
    </w:p>
    <w:p>
      <w:pPr>
        <w:ind w:firstLine="237"/>
        <w:spacing w:after="0" w:line="271" w:lineRule="auto"/>
        <w:tabs>
          <w:tab w:leader="none" w:pos="62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Award shall vest at the end of the 3-year performance period, beginning as of January 1, 202_ and ending on December 31, 202_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vesting of the Award shall be subject to the Corporation achieving during the Performance Period the Diluted Earnings Per Share and Relative Total Shareholder Return, as provided in Exhibit A. Following the end of each fiscal year of the Performance Period and the collection of relevant data necessary to determine the extent to which the performance goals set forth in Exhibit A have been satisfied, the Committee will determine: (a) the amount of Diluted Earnings Per Share that was achieved by the Corporation for each fiscal year of the Performance Period, and (b) the percentage of the Target Award for each fiscal year (for each such fiscal year, the “</w:t>
      </w:r>
      <w:r>
        <w:rPr>
          <w:rFonts w:ascii="Times New Roman" w:cs="Times New Roman" w:eastAsia="Times New Roman" w:hAnsi="Times New Roman"/>
          <w:sz w:val="21"/>
          <w:szCs w:val="21"/>
          <w:u w:val="single" w:color="auto"/>
          <w:color w:val="auto"/>
        </w:rPr>
        <w:t>Earned Award</w:t>
      </w:r>
      <w:r>
        <w:rPr>
          <w:rFonts w:ascii="Times New Roman" w:cs="Times New Roman" w:eastAsia="Times New Roman" w:hAnsi="Times New Roman"/>
          <w:sz w:val="21"/>
          <w:szCs w:val="21"/>
          <w:color w:val="auto"/>
        </w:rPr>
        <w:t>”) that will become the Vested Award (as defined in Exhibit A) as of the last day of the Performance Period or earlier as provided in Section 5(b). Following the end of the Performance Period and collection of relevant data necessary to determine the extent to which the performance goals set forth in Exhibit A have been satisfied, the Committee will determine: (a) the Relative Total Shareholder Return that was achieved by the Corporation over the Performance Period, and</w:t>
      </w:r>
    </w:p>
    <w:p>
      <w:pPr>
        <w:spacing w:after="0" w:line="1" w:lineRule="exact"/>
        <w:rPr>
          <w:sz w:val="20"/>
          <w:szCs w:val="20"/>
          <w:color w:val="auto"/>
        </w:rPr>
      </w:pPr>
    </w:p>
    <w:p>
      <w:pPr>
        <w:jc w:val="both"/>
        <w:ind w:firstLine="8"/>
        <w:spacing w:after="0" w:line="247" w:lineRule="auto"/>
        <w:tabs>
          <w:tab w:leader="none" w:pos="31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multiplier that will be applied to the Earned Award to calculate the amount of the Vested Award as of the last day of the Performance Period, as provided in Exhibit A attached hereto. The Committee shall make these determinations in its sole discretion. The level of achievement of Diluted Earnings Per Share and Relative Total Shareholder Return shall be evidenced by the Committee’s written certification. For the avoidance of doubt, any portion of the Target Award that does not vest in accordance with the forgoing shall expire without consideration at the end of the Performance Period.</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Vested Award</w:t>
      </w:r>
      <w:r>
        <w:rPr>
          <w:rFonts w:ascii="Times New Roman" w:cs="Times New Roman" w:eastAsia="Times New Roman" w:hAnsi="Times New Roman"/>
          <w:sz w:val="22"/>
          <w:szCs w:val="22"/>
          <w:color w:val="auto"/>
        </w:rPr>
        <w:t>. Upon the vesting of all or a portion of the Award, the Vested Award (as defined in Exhibit A) shall be paid to the Award Holder in cash, subject to any required tax withholding obligations, upon the Committee’s written certification as set forth in Section 3 (and paid no later than March 15th of the calendar year after the end of the Performance Period). No shares of Common Stock shall be issued with respect to the Award. The Award Holder shall not acquire or have any rights as a shareholder of the Corporation by virtue of this cash-based long-time incentive award agreement (or the Award evidenced hereby). Notwithstanding the foregoing, the Award Holder may elect, on a form and in a manner prescribed by the Corporation, to defer any payment of the Vested Award, provided that any such deferral of payment must comply with any applicable requirements of Section 409A of the Code.</w:t>
      </w:r>
    </w:p>
    <w:p>
      <w:pPr>
        <w:spacing w:after="0" w:line="187"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82"/>
        <w:spacing w:after="0" w:line="262" w:lineRule="auto"/>
        <w:tabs>
          <w:tab w:leader="none" w:pos="788"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Holder’s employment with the Corporation or a Subsidiary terminates before the end of the Performance Period for any reason, except as provided in this Section 5, then the Award will be forfeited and cancelled and surrendered to the Corporation without payment of any consideration, effective on the date of the Award Holder’s termination of employment. Upon the termination of the Award Holder’s employment with the Corporation or a Subsidiary as a result of (i) death or “permanent disability” (as defined herein) or (ii) “retirement” (as defined herein), the amount of the Vested Award and the vesting of such Vested Award shall be determined in accordance with Section 5(b) below. As used herein, the term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shall mean the Award Holder’s termination of employment with the Corporation or a Subsidiary, when either (x) the Award Holder is sixty-five (65) or more years of age, or (y) the Award Holder is sixty (60) or more years of age and has completed at least five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98" w:lineRule="exact"/>
        <w:rPr>
          <w:sz w:val="20"/>
          <w:szCs w:val="20"/>
          <w:color w:val="auto"/>
        </w:rPr>
      </w:pPr>
    </w:p>
    <w:p>
      <w:pPr>
        <w:jc w:val="both"/>
        <w:ind w:left="88" w:firstLine="8"/>
        <w:spacing w:after="0" w:line="257" w:lineRule="auto"/>
        <w:tabs>
          <w:tab w:leader="none" w:pos="40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of service with the Corporation or a Subsidiary. As used herein, the term “</w:t>
      </w:r>
      <w:r>
        <w:rPr>
          <w:rFonts w:ascii="Times New Roman" w:cs="Times New Roman" w:eastAsia="Times New Roman" w:hAnsi="Times New Roman"/>
          <w:sz w:val="22"/>
          <w:szCs w:val="22"/>
          <w:u w:val="single" w:color="auto"/>
          <w:color w:val="auto"/>
        </w:rPr>
        <w:t>permanent disability</w:t>
      </w:r>
      <w:r>
        <w:rPr>
          <w:rFonts w:ascii="Times New Roman" w:cs="Times New Roman" w:eastAsia="Times New Roman" w:hAnsi="Times New Roman"/>
          <w:sz w:val="22"/>
          <w:szCs w:val="22"/>
          <w:color w:val="auto"/>
        </w:rPr>
        <w:t>” shall mean the date on which the Award Holder has not worked or been able to work due to physical or mental incapacity for a period of one hundred eighty (180) consecutive days.</w:t>
      </w:r>
    </w:p>
    <w:p>
      <w:pPr>
        <w:spacing w:after="0" w:line="186" w:lineRule="exact"/>
        <w:rPr>
          <w:rFonts w:ascii="Times New Roman" w:cs="Times New Roman" w:eastAsia="Times New Roman" w:hAnsi="Times New Roman"/>
          <w:sz w:val="22"/>
          <w:szCs w:val="22"/>
          <w:color w:val="auto"/>
        </w:rPr>
      </w:pPr>
    </w:p>
    <w:p>
      <w:pPr>
        <w:jc w:val="both"/>
        <w:ind w:left="88" w:firstLine="292"/>
        <w:spacing w:after="0" w:line="246" w:lineRule="auto"/>
        <w:tabs>
          <w:tab w:leader="none" w:pos="90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termination of the Award Holder’s employment with the Corporation or a Subsidiary as a result of death or permanent disability as provided in Section 5(a), (i) for each full fiscal year that the Award Holder was employed by the Corporation or a Subsidiary, the Earned Award (as defined in Section 3) shall vest immediately (and such Earned Award shall be paid in cash as soon as practicable following the Award Holder’s termination of employment but in no event later than sixty (60) days after such termination), and (ii) for the remaining fiscal years of the Performance Period, the Target Award shall vest at such time as it becomes an Earned Award (based on actual performance and subject to Committee certifications in accordance with Section 3) and such Earned Award shall be paid in cash as soon as practicable following the Committee’s certification of the Earned Award but in no event later than sixty (60) days after such certification. For the avoidance of doubt, the Total Vested Award Modifier (as described in Exhibit A) shall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applied in determining the Vested Award for any Award covered by this Section 5(b). Upon the termination of the Award Holder’s employment with the Corporation or a Subsidiary as a result of retirement as provided in Section 5(a), (iii) for each full fiscal year that the Award Holder was employed by the Corporation or a Subsidiary, the Earned Units (as defined in Section 3) shall continue to be subject to the vesting provisions of Section 3 based on the actual amount of Diluted Earnings Per Share that was achieved by the Corporation for each such full fiscal year that the Award Holder was employed by the Corporation or a Subsidiary, and (iv) for the remaining fiscal years of the Performance Period, the Target Units shall vest at such time as they become Earned Units (based on actual performance and subject to Committee certification in accordance with Section 3) and such Earned Units shall be settled into shares of Common Stock as soon as practicable following the Committee’s certification of the Earned Units but in no event later than 60 days after such certification. For the avoidance of doubt, the Total Vested Units Modifier (as defined in Exhibit A) shall be applied in determining the Vested Units for any Award covered by this Section 5(b)(iii)-(iv). To the extent any payment hereunder is considered nonqualified deferred compensation subject to Section 409A of the Code, all such payments and settlements shall be made in compliance with Section 409A of the Code and a termination of employment shall not be deemed to have occurred for purposes of any payments contingent thereon unless such termination is also a “separation from service” within the meaning of Section 409A of the Code. In addition, if the Award Holder is deemed at the time of such separation from service to be a specified employee (within the meaning of Section 409A of the Code) and such delayed commencement is otherwise required in order to avoid a prohibited distribution under Section 409A(a)(2) of the Code, any payment or benefit hereunder that is deemed to constitute nonqualified deferred compensation shall be delayed and paid, without interest, on the earlier of (i) the first day of the seventh month following the date of such Award Holder’s separation from service or (ii) the date of the Award Holder’s death.</w:t>
      </w:r>
    </w:p>
    <w:p>
      <w:pPr>
        <w:spacing w:after="0" w:line="205" w:lineRule="exact"/>
        <w:rPr>
          <w:sz w:val="20"/>
          <w:szCs w:val="20"/>
          <w:color w:val="auto"/>
        </w:rPr>
      </w:pPr>
    </w:p>
    <w:p>
      <w:pPr>
        <w:ind w:left="88"/>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88" w:hanging="88"/>
        <w:spacing w:after="0" w:line="271" w:lineRule="auto"/>
        <w:tabs>
          <w:tab w:leader="none" w:pos="49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Agreement or in any other instrument executed pursuant thereto shall confer upon the Award Holder any right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7"/>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328"/>
          </w:cols>
          <w:pgMar w:left="232" w:top="1440" w:right="339" w:bottom="1440" w:gutter="0" w:footer="0" w:header="0"/>
        </w:sectPr>
      </w:pPr>
    </w:p>
    <w:bookmarkStart w:id="71" w:name="page72"/>
    <w:bookmarkEnd w:id="71"/>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to continue in the employ of the Corporation or any Subsidiary of the Corporation or shall interfere in any way with the right of the Corporation or any such Subsidiary to at any time terminate the employment of the Award Holder with or without cause.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51"/>
        <w:spacing w:after="0" w:line="257" w:lineRule="auto"/>
        <w:tabs>
          <w:tab w:leader="none" w:pos="64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Award Holder nor any beneficiary or other person claiming under or through the Award Holder shall have any right, title or interest in or to any shares of Common Stock as a result of the Award or this Agreement.</w:t>
      </w:r>
    </w:p>
    <w:p>
      <w:pPr>
        <w:spacing w:after="0" w:line="172" w:lineRule="exact"/>
        <w:rPr>
          <w:rFonts w:ascii="Times New Roman" w:cs="Times New Roman" w:eastAsia="Times New Roman" w:hAnsi="Times New Roman"/>
          <w:sz w:val="22"/>
          <w:szCs w:val="22"/>
          <w:color w:val="auto"/>
        </w:rPr>
      </w:pPr>
    </w:p>
    <w:p>
      <w:pPr>
        <w:jc w:val="both"/>
        <w:ind w:firstLine="371"/>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Corporation or any Subsidiary of the Corporation may make such provisions as it may deem appropriate for the withholding of any taxes which the Corporation or such Subsidiary determines it is required to withhold in connection with this cash-based long-time incentive award agreement and the transactions contemplated hereby.</w:t>
      </w:r>
    </w:p>
    <w:p>
      <w:pPr>
        <w:spacing w:after="0" w:line="167" w:lineRule="exact"/>
        <w:rPr>
          <w:rFonts w:ascii="Times New Roman" w:cs="Times New Roman" w:eastAsia="Times New Roman" w:hAnsi="Times New Roman"/>
          <w:sz w:val="22"/>
          <w:szCs w:val="22"/>
          <w:color w:val="auto"/>
        </w:rPr>
      </w:pPr>
    </w:p>
    <w:p>
      <w:pPr>
        <w:jc w:val="both"/>
        <w:ind w:firstLine="298"/>
        <w:spacing w:after="0" w:line="249" w:lineRule="auto"/>
        <w:tabs>
          <w:tab w:leader="none" w:pos="842" w:val="left"/>
        </w:tabs>
        <w:numPr>
          <w:ilvl w:val="3"/>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Neither this Agreement, nor this Award nor any other rights and privileges granted hereby shall be transferred, assigned, pledged or hypothecated in any way, whether by operation of law of descent and distribution. Upon any attempt to so transfer, assign, pledge, hypothecate or otherwise dispose of this Agreement, this Award or any other right or privilege granted hereby contrary to the provisions hereof, this Agreement, this Award and all of such rights and privileges shall immediately become null and void, provided however, that the Award Holder may transfer an Award to any “family member” (as such term is defined in Section A.1(a)(5) of the General Instructions to Form S-8 under the Securities Act of 1933, as amended (“</w:t>
      </w:r>
      <w:r>
        <w:rPr>
          <w:rFonts w:ascii="Times New Roman" w:cs="Times New Roman" w:eastAsia="Times New Roman" w:hAnsi="Times New Roman"/>
          <w:sz w:val="22"/>
          <w:szCs w:val="22"/>
          <w:u w:val="single" w:color="auto"/>
          <w:color w:val="auto"/>
        </w:rPr>
        <w:t>Form S-8</w:t>
      </w:r>
      <w:r>
        <w:rPr>
          <w:rFonts w:ascii="Times New Roman" w:cs="Times New Roman" w:eastAsia="Times New Roman" w:hAnsi="Times New Roman"/>
          <w:sz w:val="22"/>
          <w:szCs w:val="22"/>
          <w:color w:val="auto"/>
        </w:rPr>
        <w:t>”)),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 transferee acknowledges and agrees that the Award remains subject to all of the terms and conditions of this Agreement and the Plan.</w:t>
      </w:r>
    </w:p>
    <w:p>
      <w:pPr>
        <w:spacing w:after="0" w:line="183" w:lineRule="exact"/>
        <w:rPr>
          <w:rFonts w:ascii="Times New Roman" w:cs="Times New Roman" w:eastAsia="Times New Roman" w:hAnsi="Times New Roman"/>
          <w:sz w:val="22"/>
          <w:szCs w:val="22"/>
          <w:color w:val="auto"/>
        </w:rPr>
      </w:pPr>
    </w:p>
    <w:p>
      <w:pPr>
        <w:jc w:val="both"/>
        <w:ind w:firstLine="264"/>
        <w:spacing w:after="0" w:line="275" w:lineRule="auto"/>
        <w:tabs>
          <w:tab w:leader="none" w:pos="783"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Programs</w:t>
      </w:r>
      <w:r>
        <w:rPr>
          <w:rFonts w:ascii="Times New Roman" w:cs="Times New Roman" w:eastAsia="Times New Roman" w:hAnsi="Times New Roman"/>
          <w:sz w:val="21"/>
          <w:szCs w:val="21"/>
          <w:color w:val="auto"/>
        </w:rPr>
        <w:t>. Nothing contained in this cash-based long-time incentive award agreement shall affect the right of the Award Holder to participate in and receive benefits under and in accordance with the then current provisions of any pension, insurance, profit-sharing or other employee benefit plan or program of the Corporation or of any Subsidiary of the Corporation.</w:t>
      </w:r>
    </w:p>
    <w:p>
      <w:pPr>
        <w:spacing w:after="0" w:line="155" w:lineRule="exact"/>
        <w:rPr>
          <w:sz w:val="20"/>
          <w:szCs w:val="20"/>
          <w:color w:val="auto"/>
        </w:rPr>
      </w:pPr>
    </w:p>
    <w:p>
      <w:pPr>
        <w:jc w:val="both"/>
        <w:ind w:firstLine="231"/>
        <w:spacing w:after="0" w:line="256" w:lineRule="auto"/>
        <w:tabs>
          <w:tab w:leader="none" w:pos="71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Award hereby granted is subject to, and the Corporation and Award Holder agree to be bound by all of the terms and conditions of the Plan as the same may be amended from time to time in accordance with the terms thereof, but no such amendment may adversely affect the Award Holder’s rights under this Agreement. Award Holder acknowledges receipt of a complete copy of the Plan.</w:t>
      </w:r>
    </w:p>
    <w:p>
      <w:pPr>
        <w:spacing w:after="0" w:line="176" w:lineRule="exact"/>
        <w:rPr>
          <w:rFonts w:ascii="Times New Roman" w:cs="Times New Roman" w:eastAsia="Times New Roman" w:hAnsi="Times New Roman"/>
          <w:sz w:val="22"/>
          <w:szCs w:val="22"/>
          <w:color w:val="auto"/>
        </w:rPr>
      </w:pPr>
    </w:p>
    <w:p>
      <w:pPr>
        <w:ind w:firstLine="372"/>
        <w:spacing w:after="0" w:line="271" w:lineRule="auto"/>
        <w:tabs>
          <w:tab w:leader="none" w:pos="99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 other provisions in the Plan, the Corporation may cancel any Award, require reimbursement of any Award by the Award Holder, and effect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any other right of recoupment of compensation provided under the Plan (including under this Agreement) or otherwise in accordance with the Corporation’s clawback policy as the same may be adopted and/or modified from time to time (the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Award Holder acknowledges that the Award granted pursuant to the Plan and this Agreement may be subject to repayment to the Corporation in accordance with the Clawback Policy. By accepting the Award, Award Holder is agreeing to be bound by the Clawback Policy, as in effect on the Effective Date or as may be adopted and/or modified from time to time by the Corporation in its sole discretion (including, without limitation, to comply with applicable law or stock exchange listing requirements). The Award Holder hereby expressly agrees that in connection with the enforcement of the Clawback Policy, the Corporation shall have the right to reduce, cancel, or withhold against outstanding, unvested, vested, or future cash or equity-based compensation owed or due to the Award Holder that is subject to such policy, to the maximum extent permitted under applicable law.</w:t>
      </w:r>
    </w:p>
    <w:p>
      <w:pPr>
        <w:spacing w:after="0" w:line="183" w:lineRule="exact"/>
        <w:rPr>
          <w:sz w:val="20"/>
          <w:szCs w:val="20"/>
          <w:color w:val="auto"/>
        </w:rPr>
      </w:pPr>
    </w:p>
    <w:p>
      <w:pPr>
        <w:jc w:val="both"/>
        <w:ind w:firstLine="231"/>
        <w:spacing w:after="0" w:line="252" w:lineRule="auto"/>
        <w:tabs>
          <w:tab w:leader="none" w:pos="71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All questions arising under the Plan or under this Agreement shall be decided by the Committee in its total and absolute discretion. It is expressly understood that the Committee is authorized to administer, construe and make all determinations necessary or appropriate to the administration of the Plan and this Agreement, all of which shall be binding upon the Award Holder to the maximum extent permitted by the Plan.</w:t>
      </w:r>
    </w:p>
    <w:p>
      <w:pPr>
        <w:spacing w:after="0" w:line="192" w:lineRule="exact"/>
        <w:rPr>
          <w:rFonts w:ascii="Times New Roman" w:cs="Times New Roman" w:eastAsia="Times New Roman" w:hAnsi="Times New Roman"/>
          <w:sz w:val="22"/>
          <w:szCs w:val="22"/>
          <w:color w:val="auto"/>
        </w:rPr>
      </w:pPr>
    </w:p>
    <w:p>
      <w:pPr>
        <w:ind w:firstLine="271"/>
        <w:spacing w:after="0" w:line="271" w:lineRule="auto"/>
        <w:tabs>
          <w:tab w:leader="none" w:pos="796"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Award Holder by this Award are the services rendered by the Award Holder after and not before the grant of this Award.</w:t>
      </w:r>
    </w:p>
    <w:p>
      <w:pPr>
        <w:spacing w:after="0" w:line="157" w:lineRule="exact"/>
        <w:rPr>
          <w:rFonts w:ascii="Times New Roman" w:cs="Times New Roman" w:eastAsia="Times New Roman" w:hAnsi="Times New Roman"/>
          <w:sz w:val="22"/>
          <w:szCs w:val="22"/>
          <w:color w:val="auto"/>
        </w:rPr>
      </w:pPr>
    </w:p>
    <w:p>
      <w:pPr>
        <w:ind w:firstLine="237"/>
        <w:spacing w:after="0" w:line="271" w:lineRule="auto"/>
        <w:tabs>
          <w:tab w:leader="none" w:pos="72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Award has been granted as of the effective date set forth above at Los Angeles, California, and the interpretation, performance and enforcement of this Agreement shall be governed by the laws of the State of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Award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CASH-BASED LONG-TIME INCENTIVE AWARD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0" w:lineRule="exact"/>
        <w:rPr>
          <w:sz w:val="20"/>
          <w:szCs w:val="20"/>
          <w:color w:val="auto"/>
        </w:rPr>
      </w:pPr>
    </w:p>
    <w:p>
      <w:pPr>
        <w:spacing w:after="0" w:line="263" w:lineRule="exact"/>
        <w:rPr>
          <w:sz w:val="20"/>
          <w:szCs w:val="20"/>
          <w:color w:val="auto"/>
        </w:rPr>
      </w:pPr>
    </w:p>
    <w:p>
      <w:pPr>
        <w:jc w:val="both"/>
        <w:ind w:firstLine="725"/>
        <w:spacing w:after="0" w:line="260" w:lineRule="auto"/>
        <w:rPr>
          <w:sz w:val="20"/>
          <w:szCs w:val="20"/>
          <w:color w:val="auto"/>
        </w:rPr>
      </w:pPr>
      <w:r>
        <w:rPr>
          <w:rFonts w:ascii="Times New Roman" w:cs="Times New Roman" w:eastAsia="Times New Roman" w:hAnsi="Times New Roman"/>
          <w:sz w:val="21"/>
          <w:szCs w:val="21"/>
          <w:color w:val="auto"/>
        </w:rPr>
        <w:t>For purposes of this Agreement, the “</w:t>
      </w:r>
      <w:r>
        <w:rPr>
          <w:rFonts w:ascii="Times New Roman" w:cs="Times New Roman" w:eastAsia="Times New Roman" w:hAnsi="Times New Roman"/>
          <w:sz w:val="21"/>
          <w:szCs w:val="21"/>
          <w:u w:val="single" w:color="auto"/>
          <w:color w:val="auto"/>
        </w:rPr>
        <w:t>Diluted Earnings Per Share</w:t>
      </w:r>
      <w:r>
        <w:rPr>
          <w:rFonts w:ascii="Times New Roman" w:cs="Times New Roman" w:eastAsia="Times New Roman" w:hAnsi="Times New Roman"/>
          <w:sz w:val="21"/>
          <w:szCs w:val="21"/>
          <w:color w:val="auto"/>
        </w:rPr>
        <w:t>” means the diluted earnings per share of the Corporation for each of the Corporation’s fiscal years ending December 31, 202_, December 31, 202_ and December 31, 202_ as included in the Corporation’s audited financial statements, subject to adjustment as provided herein. The Diluted Earnings Per Share shall be adjusted (as determined by the Committee) (i) for changes in accounting, (ii) for discontinued operations (including businesses and product lines that are sold), (iii) to exclude gain or loss on the sale of any business or product line, including but not limited to post-closing adjustments to the purchase price, any indemnity or similar payments, and any costs or expenses in connection therewith, (iv) to exclude any asset impairment write-offs or charges (whether of goodwill, intangible or tangible assets), (v) to exclude any transaction-related costs or expenses arising in connection with the purchase or sale of any business or product line, including but not limited to the effects of Financial Accounting Standards Board Accounting Standards Codification Topic 805, (vi) to exclude any costs or expenses arising in connection with the refinancing, restructuring or prepayment of any Debt, including but not limited to the unamortized portion of any original issue discount, the unamortized portion of any original issue costs and expenses, and any prepayment or make-whole payments, costs or expenses and (vii) any restructuring, reorganization or other costs, expenses or charges that the Compensation Committee determines should be adjusted to fairly reflect the operating performance of the Company. An appropriate adjustment in the Diluted Earnings Per Share amounts in the table below also shall be made for any change in capitalization as described in the Plan.</w:t>
      </w:r>
    </w:p>
    <w:p>
      <w:pPr>
        <w:spacing w:after="0" w:line="180" w:lineRule="exact"/>
        <w:rPr>
          <w:sz w:val="20"/>
          <w:szCs w:val="20"/>
          <w:color w:val="auto"/>
        </w:rPr>
      </w:pPr>
    </w:p>
    <w:p>
      <w:pPr>
        <w:jc w:val="both"/>
        <w:ind w:firstLine="725"/>
        <w:spacing w:after="0" w:line="249" w:lineRule="auto"/>
        <w:rPr>
          <w:sz w:val="20"/>
          <w:szCs w:val="20"/>
          <w:color w:val="auto"/>
        </w:rPr>
      </w:pPr>
      <w:r>
        <w:rPr>
          <w:rFonts w:ascii="Times New Roman" w:cs="Times New Roman" w:eastAsia="Times New Roman" w:hAnsi="Times New Roman"/>
          <w:sz w:val="22"/>
          <w:szCs w:val="22"/>
          <w:color w:val="auto"/>
        </w:rPr>
        <w:t>For purposes of this Agreement, the “</w:t>
      </w:r>
      <w:r>
        <w:rPr>
          <w:rFonts w:ascii="Times New Roman" w:cs="Times New Roman" w:eastAsia="Times New Roman" w:hAnsi="Times New Roman"/>
          <w:sz w:val="22"/>
          <w:szCs w:val="22"/>
          <w:u w:val="single" w:color="auto"/>
          <w:color w:val="auto"/>
        </w:rPr>
        <w:t>Relative Total Shareholder Return</w:t>
      </w:r>
      <w:r>
        <w:rPr>
          <w:rFonts w:ascii="Times New Roman" w:cs="Times New Roman" w:eastAsia="Times New Roman" w:hAnsi="Times New Roman"/>
          <w:sz w:val="22"/>
          <w:szCs w:val="22"/>
          <w:color w:val="auto"/>
        </w:rPr>
        <w:t>” means the percentile ranking over the Performance Period of the Corporation’s total shareholder return as compared to the total shareholder return of the companies in the Russell 2000 Index at the beginning of the Performance Period. The determination of the total shareholder return for the Corporation and the companies in the Russell 2000 Index shall include the appreciation or depreciation of stock prices plus dividends paid as if reinvested, and shall be determined based on the average closing price of the Corporation’s common stock and the average closing price of the companies in the Russell 2000 Index over the first thirty (30) trading days of the Performance Period compared to the last thirty (30) trading days of the Performance Period. If the Russell 2000 Index ceases to be published, the Committee shall, in its discretion, substitute another broad-based stock index that it determines is appropriate.</w:t>
      </w:r>
    </w:p>
    <w:p>
      <w:pPr>
        <w:spacing w:after="0" w:line="182" w:lineRule="exact"/>
        <w:rPr>
          <w:sz w:val="20"/>
          <w:szCs w:val="20"/>
          <w:color w:val="auto"/>
        </w:rPr>
      </w:pPr>
    </w:p>
    <w:p>
      <w:pPr>
        <w:jc w:val="both"/>
        <w:ind w:firstLine="725"/>
        <w:spacing w:after="0" w:line="251" w:lineRule="auto"/>
        <w:rPr>
          <w:sz w:val="20"/>
          <w:szCs w:val="20"/>
          <w:color w:val="auto"/>
        </w:rPr>
      </w:pPr>
      <w:r>
        <w:rPr>
          <w:rFonts w:ascii="Times New Roman" w:cs="Times New Roman" w:eastAsia="Times New Roman" w:hAnsi="Times New Roman"/>
          <w:sz w:val="22"/>
          <w:szCs w:val="22"/>
          <w:color w:val="auto"/>
        </w:rPr>
        <w:t>After the end of the Corporation’s fiscal year ending December 31, 202_, the Committee shall determine the Corporation’s Diluted Earnings Per Share for such fiscal year and the applicable percentage of Target Award earned with respect to such performance measure for such fiscal year. After the end of the Corporation’s fiscal year ending December 31, 202_, the Committee shall determine the Corporation’s Diluted Earnings Per Share for such fiscal year and the applicable percentage of Target Award earned with respect to such performance measure for such fiscal year. After the end of the Corporation’s fiscal year ending December 31, 202_,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Committee shall determine the Corporation’s Diluted Earnings Per Share for such fiscal year and the applicable percentage of Target Award earned with respect to such performance measure for such fiscal year. If the Diluted Earnings Per Share does not equal or exceed the thresholds in the table below, the Award shall expire without consideration.</w:t>
      </w:r>
    </w:p>
    <w:p>
      <w:pPr>
        <w:spacing w:after="0" w:line="207" w:lineRule="exact"/>
        <w:rPr>
          <w:sz w:val="20"/>
          <w:szCs w:val="20"/>
          <w:color w:val="auto"/>
        </w:rPr>
      </w:pPr>
    </w:p>
    <w:tbl>
      <w:tblPr>
        <w:tblLayout w:type="fixed"/>
        <w:tblInd w:w="730" w:type="dxa"/>
        <w:tblCellMar>
          <w:top w:w="0" w:type="dxa"/>
          <w:left w:w="0" w:type="dxa"/>
          <w:bottom w:w="0" w:type="dxa"/>
          <w:right w:w="0" w:type="dxa"/>
        </w:tblCellMar>
      </w:tblPr>
      <w:tr>
        <w:trPr>
          <w:trHeight w:val="257"/>
        </w:trPr>
        <w:tc>
          <w:tcPr>
            <w:tcW w:w="37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Diluted Earnings Per Share</w:t>
            </w:r>
          </w:p>
        </w:tc>
        <w:tc>
          <w:tcPr>
            <w:tcW w:w="1240" w:type="dxa"/>
            <w:vAlign w:val="bottom"/>
            <w:tcBorders>
              <w:top w:val="single" w:sz="8" w:color="auto"/>
              <w:right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22"/>
                <w:szCs w:val="22"/>
                <w:color w:val="auto"/>
              </w:rPr>
              <w:t>202_</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202_</w:t>
            </w:r>
          </w:p>
        </w:tc>
        <w:tc>
          <w:tcPr>
            <w:tcW w:w="560" w:type="dxa"/>
            <w:vAlign w:val="bottom"/>
            <w:tcBorders>
              <w:top w:val="single" w:sz="8" w:color="auto"/>
              <w:right w:val="single" w:sz="8" w:color="auto"/>
            </w:tcBorders>
          </w:tcPr>
          <w:p>
            <w:pPr>
              <w:spacing w:after="0"/>
              <w:rPr>
                <w:sz w:val="22"/>
                <w:szCs w:val="22"/>
                <w:color w:val="auto"/>
              </w:rPr>
            </w:pPr>
          </w:p>
        </w:tc>
        <w:tc>
          <w:tcPr>
            <w:tcW w:w="1460" w:type="dxa"/>
            <w:vAlign w:val="bottom"/>
            <w:tcBorders>
              <w:top w:val="single" w:sz="8" w:color="auto"/>
              <w:right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22"/>
                <w:szCs w:val="22"/>
                <w:color w:val="auto"/>
              </w:rPr>
              <w:t>202^</w:t>
            </w:r>
          </w:p>
        </w:tc>
        <w:tc>
          <w:tcPr>
            <w:tcW w:w="640" w:type="dxa"/>
            <w:vAlign w:val="bottom"/>
            <w:tcBorders>
              <w:top w:val="single" w:sz="8" w:color="auto"/>
            </w:tcBorders>
          </w:tcPr>
          <w:p>
            <w:pPr>
              <w:spacing w:after="0"/>
              <w:rPr>
                <w:sz w:val="22"/>
                <w:szCs w:val="22"/>
                <w:color w:val="auto"/>
              </w:rPr>
            </w:pPr>
          </w:p>
        </w:tc>
        <w:tc>
          <w:tcPr>
            <w:tcW w:w="11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Total</w:t>
            </w:r>
          </w:p>
        </w:tc>
      </w:tr>
      <w:tr>
        <w:trPr>
          <w:trHeight w:val="61"/>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r>
      <w:tr>
        <w:trPr>
          <w:trHeight w:val="505"/>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Threshold</w:t>
            </w:r>
          </w:p>
        </w:tc>
        <w:tc>
          <w:tcPr>
            <w:tcW w:w="380" w:type="dxa"/>
            <w:vAlign w:val="bottom"/>
          </w:tcPr>
          <w:p>
            <w:pPr>
              <w:spacing w:after="0"/>
              <w:rPr>
                <w:sz w:val="24"/>
                <w:szCs w:val="24"/>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20" w:type="dxa"/>
            <w:vAlign w:val="bottom"/>
          </w:tcPr>
          <w:p>
            <w:pPr>
              <w:spacing w:after="0"/>
              <w:rPr>
                <w:sz w:val="24"/>
                <w:szCs w:val="24"/>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00" w:type="dxa"/>
            <w:vAlign w:val="bottom"/>
          </w:tcPr>
          <w:p>
            <w:pPr>
              <w:spacing w:after="0"/>
              <w:rPr>
                <w:sz w:val="24"/>
                <w:szCs w:val="24"/>
                <w:color w:val="auto"/>
              </w:rPr>
            </w:pPr>
          </w:p>
        </w:tc>
        <w:tc>
          <w:tcPr>
            <w:tcW w:w="9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481"/>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Award</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150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14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1080" w:type="dxa"/>
            <w:vAlign w:val="bottom"/>
            <w:tcBorders>
              <w:bottom w:val="single" w:sz="8" w:color="auto"/>
            </w:tcBorders>
            <w:gridSpan w:val="2"/>
          </w:tcPr>
          <w:p>
            <w:pPr>
              <w:jc w:val="center"/>
              <w:ind w:left="532"/>
              <w:spacing w:after="0"/>
              <w:rPr>
                <w:sz w:val="20"/>
                <w:szCs w:val="20"/>
                <w:color w:val="auto"/>
              </w:rPr>
            </w:pPr>
            <w:r>
              <w:rPr>
                <w:rFonts w:ascii="Times New Roman" w:cs="Times New Roman" w:eastAsia="Times New Roman" w:hAnsi="Times New Roman"/>
                <w:sz w:val="22"/>
                <w:szCs w:val="22"/>
                <w:color w:val="auto"/>
                <w:w w:val="99"/>
              </w:rPr>
              <w:t>30%</w:t>
            </w:r>
          </w:p>
        </w:tc>
        <w:tc>
          <w:tcPr>
            <w:tcW w:w="660" w:type="dxa"/>
            <w:vAlign w:val="bottom"/>
            <w:tcBorders>
              <w:bottom w:val="single" w:sz="8" w:color="auto"/>
              <w:right w:val="single" w:sz="8" w:color="auto"/>
            </w:tcBorders>
          </w:tcPr>
          <w:p>
            <w:pPr>
              <w:spacing w:after="0"/>
              <w:rPr>
                <w:sz w:val="24"/>
                <w:szCs w:val="24"/>
                <w:color w:val="auto"/>
              </w:rPr>
            </w:pPr>
          </w:p>
        </w:tc>
      </w:tr>
      <w:tr>
        <w:trPr>
          <w:trHeight w:val="511"/>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Target</w:t>
            </w:r>
          </w:p>
        </w:tc>
        <w:tc>
          <w:tcPr>
            <w:tcW w:w="380" w:type="dxa"/>
            <w:vAlign w:val="bottom"/>
          </w:tcPr>
          <w:p>
            <w:pPr>
              <w:spacing w:after="0"/>
              <w:rPr>
                <w:sz w:val="24"/>
                <w:szCs w:val="24"/>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20" w:type="dxa"/>
            <w:vAlign w:val="bottom"/>
          </w:tcPr>
          <w:p>
            <w:pPr>
              <w:spacing w:after="0"/>
              <w:rPr>
                <w:sz w:val="24"/>
                <w:szCs w:val="24"/>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00" w:type="dxa"/>
            <w:vAlign w:val="bottom"/>
          </w:tcPr>
          <w:p>
            <w:pPr>
              <w:spacing w:after="0"/>
              <w:rPr>
                <w:sz w:val="24"/>
                <w:szCs w:val="24"/>
                <w:color w:val="auto"/>
              </w:rPr>
            </w:pPr>
          </w:p>
        </w:tc>
        <w:tc>
          <w:tcPr>
            <w:tcW w:w="9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481"/>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Award</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33%</w:t>
            </w:r>
          </w:p>
        </w:tc>
        <w:tc>
          <w:tcPr>
            <w:tcW w:w="150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33%</w:t>
            </w:r>
          </w:p>
        </w:tc>
        <w:tc>
          <w:tcPr>
            <w:tcW w:w="14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34%</w:t>
            </w:r>
          </w:p>
        </w:tc>
        <w:tc>
          <w:tcPr>
            <w:tcW w:w="17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7"/>
              </w:rPr>
              <w:t>100%</w:t>
            </w:r>
          </w:p>
        </w:tc>
      </w:tr>
      <w:tr>
        <w:trPr>
          <w:trHeight w:val="511"/>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Maximum</w:t>
            </w:r>
          </w:p>
        </w:tc>
        <w:tc>
          <w:tcPr>
            <w:tcW w:w="380" w:type="dxa"/>
            <w:vAlign w:val="bottom"/>
          </w:tcPr>
          <w:p>
            <w:pPr>
              <w:spacing w:after="0"/>
              <w:rPr>
                <w:sz w:val="24"/>
                <w:szCs w:val="24"/>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20" w:type="dxa"/>
            <w:vAlign w:val="bottom"/>
          </w:tcPr>
          <w:p>
            <w:pPr>
              <w:spacing w:after="0"/>
              <w:rPr>
                <w:sz w:val="24"/>
                <w:szCs w:val="24"/>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500" w:type="dxa"/>
            <w:vAlign w:val="bottom"/>
          </w:tcPr>
          <w:p>
            <w:pPr>
              <w:spacing w:after="0"/>
              <w:rPr>
                <w:sz w:val="24"/>
                <w:szCs w:val="24"/>
                <w:color w:val="auto"/>
              </w:rPr>
            </w:pPr>
          </w:p>
        </w:tc>
        <w:tc>
          <w:tcPr>
            <w:tcW w:w="9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$x.xx</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481"/>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Award</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66%</w:t>
            </w:r>
          </w:p>
        </w:tc>
        <w:tc>
          <w:tcPr>
            <w:tcW w:w="150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66%</w:t>
            </w:r>
          </w:p>
        </w:tc>
        <w:tc>
          <w:tcPr>
            <w:tcW w:w="14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68%</w:t>
            </w:r>
          </w:p>
        </w:tc>
        <w:tc>
          <w:tcPr>
            <w:tcW w:w="17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7"/>
              </w:rPr>
              <w:t>200%</w:t>
            </w:r>
          </w:p>
        </w:tc>
      </w:tr>
    </w:tbl>
    <w:p>
      <w:pPr>
        <w:spacing w:after="0" w:line="2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In the event that the Corporation’s Diluted Earnings Per Share for any fiscal year of the Performance Period falls between two of the percentages listed in the table above, the applicable percentage of Target Award earned based on such achievement shall be determined by linear interpolation. The total value of the Award earned based upon the Corporation’s achievement over the Performance Period (as determined by the Committee) will be equal to the sum of (i) the percentage determined by reference to the table above with respect to the Corporation’s Diluted Earnings Per Share for the fiscal year ending December 31, 202_ multiplied by the amount of the Target Award set forth in Section 1 above,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percentage determined by reference to the table above with respect to the Corporation’s Diluted Earnings Per Share for the fiscal year ending December 31, 202_ multiplied by the amount of the Target Award set forth in Section 1 above,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the percentage determined by reference to the table above with respect to the Corporation’s Diluted Earnings Per Share for the fiscal year ending December 31, 202_ multiplied by the amount of the Target Award set forth in Section 1 above (collectively, the “</w:t>
      </w:r>
      <w:r>
        <w:rPr>
          <w:rFonts w:ascii="Times New Roman" w:cs="Times New Roman" w:eastAsia="Times New Roman" w:hAnsi="Times New Roman"/>
          <w:sz w:val="22"/>
          <w:szCs w:val="22"/>
          <w:u w:val="single" w:color="auto"/>
          <w:color w:val="auto"/>
        </w:rPr>
        <w:t>Earned Award</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After the end of the Performance Period, the Committee shall determine the Corporation’s Relative Total Shareholder Return (compared to the companies in the Russell 2000 Index at the beginning of the Performance Period) over the Performance Period. The Committee, in its discretion, shall establish such procedures as it deems appropriate to determine the Corporation’s percentile rank in Relative Total Shareholder Return. The total Vested Award will then be determined by multiplying the Earned Award by the Total Vested Award Modifier in the table below. Notwithstanding the foregoing, the Total Vested Award Modifier shall not be greater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than 1.0 unless the Corporation’s total shareholder return over the Performance Period is greater than zero.</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Calibri" w:cs="Calibri" w:eastAsia="Calibri" w:hAnsi="Calibri"/>
          <w:sz w:val="19"/>
          <w:szCs w:val="19"/>
          <w:color w:val="auto"/>
        </w:rPr>
        <w:t>8</w:t>
      </w:r>
    </w:p>
    <w:p>
      <w:pPr>
        <w:sectPr>
          <w:pgSz w:w="11900" w:h="16838" w:orient="portrait"/>
          <w:cols w:equalWidth="0" w:num="1">
            <w:col w:w="10139"/>
          </w:cols>
          <w:pgMar w:left="320" w:top="1440" w:right="1440" w:bottom="1440" w:gutter="0" w:footer="0" w:header="0"/>
          <w:type w:val="continuous"/>
        </w:sectPr>
      </w:pPr>
    </w:p>
    <w:bookmarkStart w:id="76" w:name="page77"/>
    <w:bookmarkEnd w:id="76"/>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10.6</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REVENUE PERFORMANCE STOCK UNIT AGREEMENT</w:t>
      </w:r>
    </w:p>
    <w:p>
      <w:pPr>
        <w:spacing w:after="0" w:line="200" w:lineRule="exact"/>
        <w:rPr>
          <w:sz w:val="20"/>
          <w:szCs w:val="20"/>
          <w:color w:val="auto"/>
        </w:rPr>
      </w:pPr>
    </w:p>
    <w:p>
      <w:pPr>
        <w:spacing w:after="0" w:line="29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This performance restricted stock unit agreement is made as of May __,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between Ducommun Incorporated,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and ____________ (“</w:t>
      </w:r>
      <w:r>
        <w:rPr>
          <w:rFonts w:ascii="Times New Roman" w:cs="Times New Roman" w:eastAsia="Times New Roman" w:hAnsi="Times New Roman"/>
          <w:sz w:val="22"/>
          <w:szCs w:val="22"/>
          <w:u w:val="single" w:color="auto"/>
          <w:color w:val="auto"/>
        </w:rPr>
        <w:t>Award Holder</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performance restricted stock unit agreement is pursuant to the 2024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220" w:lineRule="exact"/>
        <w:rPr>
          <w:sz w:val="20"/>
          <w:szCs w:val="20"/>
          <w:color w:val="auto"/>
        </w:rPr>
      </w:pPr>
    </w:p>
    <w:p>
      <w:pPr>
        <w:jc w:val="both"/>
        <w:ind w:firstLine="656"/>
        <w:spacing w:after="0" w:line="253"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Corporation hereby grants to the Award Holder an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with a target (if the Corporation achieves the target level performance goals described in Exhibit A) of </w:t>
      </w:r>
      <w:r>
        <w:rPr>
          <w:rFonts w:ascii="Times New Roman" w:cs="Times New Roman" w:eastAsia="Times New Roman" w:hAnsi="Times New Roman"/>
          <w:sz w:val="22"/>
          <w:szCs w:val="22"/>
          <w:b w:val="1"/>
          <w:bCs w:val="1"/>
          <w:u w:val="single" w:color="auto"/>
          <w:color w:val="auto"/>
        </w:rPr>
        <w:t>x,xxx</w:t>
      </w:r>
      <w:r>
        <w:rPr>
          <w:rFonts w:ascii="Times New Roman" w:cs="Times New Roman" w:eastAsia="Times New Roman" w:hAnsi="Times New Roman"/>
          <w:sz w:val="22"/>
          <w:szCs w:val="22"/>
          <w:color w:val="auto"/>
        </w:rPr>
        <w:t xml:space="preserve"> revenue performance stock units (the “</w:t>
      </w:r>
      <w:r>
        <w:rPr>
          <w:rFonts w:ascii="Times New Roman" w:cs="Times New Roman" w:eastAsia="Times New Roman" w:hAnsi="Times New Roman"/>
          <w:sz w:val="22"/>
          <w:szCs w:val="22"/>
          <w:u w:val="single" w:color="auto"/>
          <w:color w:val="auto"/>
        </w:rPr>
        <w:t>Revenue Performance Stock Units</w:t>
      </w:r>
      <w:r>
        <w:rPr>
          <w:rFonts w:ascii="Times New Roman" w:cs="Times New Roman" w:eastAsia="Times New Roman" w:hAnsi="Times New Roman"/>
          <w:sz w:val="22"/>
          <w:szCs w:val="22"/>
          <w:color w:val="auto"/>
        </w:rPr>
        <w:t>”), subject to certain adjustments as described herein. Each Revenue Performance Stock Unit represents the right to receive one share of Common Stock, subject to the conditions set forth in this performance restricted stock unit agreement and the Plan.</w:t>
      </w:r>
    </w:p>
    <w:p>
      <w:pPr>
        <w:spacing w:after="0" w:line="178"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performance restricted stock unit agreement, shall have the meanings set forth in this Section 2.</w:t>
      </w:r>
    </w:p>
    <w:p>
      <w:pPr>
        <w:spacing w:after="0" w:line="186" w:lineRule="exact"/>
        <w:rPr>
          <w:sz w:val="20"/>
          <w:szCs w:val="20"/>
          <w:color w:val="auto"/>
        </w:rPr>
      </w:pPr>
    </w:p>
    <w:p>
      <w:pPr>
        <w:jc w:val="right"/>
        <w:ind w:left="520"/>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shall mean the Common Stock, $.01 par value, of the Corporation or such other class of shares or other securities as may be applicable pursuant to the provisions of Section 6 of this performance restricted stock unit agreement.</w:t>
      </w:r>
    </w:p>
    <w:p>
      <w:pPr>
        <w:spacing w:after="0" w:line="135" w:lineRule="exact"/>
        <w:rPr>
          <w:sz w:val="20"/>
          <w:szCs w:val="20"/>
          <w:color w:val="auto"/>
        </w:rPr>
      </w:pPr>
    </w:p>
    <w:p>
      <w:pPr>
        <w:jc w:val="both"/>
        <w:ind w:left="660" w:hanging="53"/>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186" w:lineRule="exact"/>
        <w:rPr>
          <w:sz w:val="20"/>
          <w:szCs w:val="20"/>
          <w:color w:val="auto"/>
        </w:rPr>
      </w:pPr>
    </w:p>
    <w:p>
      <w:pPr>
        <w:ind w:left="660" w:hanging="134"/>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of Directors of the Corporation, or if there is no such committee acting, the Board of Directors of the Corporation.</w:t>
      </w:r>
    </w:p>
    <w:p>
      <w:pPr>
        <w:spacing w:after="0" w:line="185" w:lineRule="exact"/>
        <w:rPr>
          <w:sz w:val="20"/>
          <w:szCs w:val="20"/>
          <w:color w:val="auto"/>
        </w:rPr>
      </w:pPr>
    </w:p>
    <w:p>
      <w:pPr>
        <w:jc w:val="both"/>
        <w:ind w:firstLine="237"/>
        <w:spacing w:after="0" w:line="257" w:lineRule="auto"/>
        <w:tabs>
          <w:tab w:leader="none" w:pos="62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Award shall vest at the end of the 3-year performance period, beginning as of January 1, 202_ and ending on December 31, 202_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vesting of the Award shall be based upon the Corporation achieving during the last year of</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Performance Period, that level of revenue as set forth in Exhibit A as approved by the Committee at the commencement of the Performance Period. Following the end of the Performance Period and the collection of relevant data necessary to determine the extent to which the performance goal has been satisfied, the Committee will determine: (a) the amount of revenue that was achieved by the Corporation during the last year of the Performance Period relative to the level of revenue approved by the Committee, and (b) the percentage and number of the Revenue Performance Stock Units earned as a result thereof for the Performance Period (the number earned shall be referred to as the “</w:t>
      </w:r>
      <w:r>
        <w:rPr>
          <w:rFonts w:ascii="Times New Roman" w:cs="Times New Roman" w:eastAsia="Times New Roman" w:hAnsi="Times New Roman"/>
          <w:sz w:val="22"/>
          <w:szCs w:val="22"/>
          <w:u w:val="single" w:color="auto"/>
          <w:color w:val="auto"/>
        </w:rPr>
        <w:t>Earned Units</w:t>
      </w:r>
      <w:r>
        <w:rPr>
          <w:rFonts w:ascii="Times New Roman" w:cs="Times New Roman" w:eastAsia="Times New Roman" w:hAnsi="Times New Roman"/>
          <w:sz w:val="22"/>
          <w:szCs w:val="22"/>
          <w:color w:val="auto"/>
        </w:rPr>
        <w:t>”). The Earned Units shall vest (and become “</w:t>
      </w:r>
      <w:r>
        <w:rPr>
          <w:rFonts w:ascii="Times New Roman" w:cs="Times New Roman" w:eastAsia="Times New Roman" w:hAnsi="Times New Roman"/>
          <w:sz w:val="22"/>
          <w:szCs w:val="22"/>
          <w:u w:val="single" w:color="auto"/>
          <w:color w:val="auto"/>
        </w:rPr>
        <w:t>Vested Units</w:t>
      </w:r>
      <w:r>
        <w:rPr>
          <w:rFonts w:ascii="Times New Roman" w:cs="Times New Roman" w:eastAsia="Times New Roman" w:hAnsi="Times New Roman"/>
          <w:sz w:val="22"/>
          <w:szCs w:val="22"/>
          <w:color w:val="auto"/>
        </w:rPr>
        <w:t>”) as of the last day of the Performance Period, subject to the continued employment of the Award Holder by the Corporation through such date. The Committee shall make the determination set forth herein in its sole discretion. The level of achievement of revenue shall be evidenced by the Committee’s written certification. For the avoidance of doubt, any Revenue Performance Stock Units subject to this Award that do not become Earned Units in accordance with the forgoing shall expire without consideration at the end of the Performance Period.</w:t>
      </w:r>
    </w:p>
    <w:p>
      <w:pPr>
        <w:spacing w:after="0" w:line="216" w:lineRule="exact"/>
        <w:rPr>
          <w:sz w:val="20"/>
          <w:szCs w:val="20"/>
          <w:color w:val="auto"/>
        </w:rPr>
      </w:pPr>
    </w:p>
    <w:p>
      <w:pPr>
        <w:jc w:val="both"/>
        <w:ind w:firstLine="656"/>
        <w:spacing w:after="0" w:line="248" w:lineRule="auto"/>
        <w:tabs>
          <w:tab w:leader="none" w:pos="110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Vested Units</w:t>
      </w:r>
      <w:r>
        <w:rPr>
          <w:rFonts w:ascii="Times New Roman" w:cs="Times New Roman" w:eastAsia="Times New Roman" w:hAnsi="Times New Roman"/>
          <w:sz w:val="22"/>
          <w:szCs w:val="22"/>
          <w:color w:val="auto"/>
        </w:rPr>
        <w:t>. Upon certification by the Committee pursuant to Section 3 hereof of the total number of Earned Units earned hereunder for the Performance Period, one share of Common Stock shall be issuable for each Vested Unit (the “</w:t>
      </w:r>
      <w:r>
        <w:rPr>
          <w:rFonts w:ascii="Times New Roman" w:cs="Times New Roman" w:eastAsia="Times New Roman" w:hAnsi="Times New Roman"/>
          <w:sz w:val="22"/>
          <w:szCs w:val="22"/>
          <w:u w:val="single" w:color="auto"/>
          <w:color w:val="auto"/>
        </w:rPr>
        <w:t>RPSU Shares</w:t>
      </w:r>
      <w:r>
        <w:rPr>
          <w:rFonts w:ascii="Times New Roman" w:cs="Times New Roman" w:eastAsia="Times New Roman" w:hAnsi="Times New Roman"/>
          <w:sz w:val="22"/>
          <w:szCs w:val="22"/>
          <w:color w:val="auto"/>
        </w:rPr>
        <w:t>”). Thereafter, the Corporation will transfer such RPSU Shares to the Award Holder no later than March 15th of the calendar year after the end of the Performance Period, subject to the satisfaction of any required tax withholding obligations, securities law registration or other requirements, and applicable stock exchange listing. No fractional shares shall be issued with respect to the Award. The Award Holder shall not acquire or have any rights as a shareholder of the Corporation by virtue of this performance restricted stock unit agreement (or the Award evidenced hereby) until the certificates representing shares of Common Stock issuable pursuant to this Award are actually issued and delivered to the Award Holder in accordance with the terms of the Plan and this performance restricted stock unit agreement. Notwithstanding the foregoing, the Award Holder may elect, on a form and in a manner prescribed by the Corporation, to defer any payment of Vested Units, provided that any such deferral of payment must comply with any applicable requirements of Section 409A of the Code.</w:t>
      </w:r>
    </w:p>
    <w:p>
      <w:pPr>
        <w:spacing w:after="0" w:line="188" w:lineRule="exact"/>
        <w:rPr>
          <w:rFonts w:ascii="Times New Roman" w:cs="Times New Roman" w:eastAsia="Times New Roman" w:hAnsi="Times New Roman"/>
          <w:sz w:val="22"/>
          <w:szCs w:val="22"/>
          <w:color w:val="auto"/>
        </w:rPr>
      </w:pPr>
    </w:p>
    <w:p>
      <w:pPr>
        <w:jc w:val="both"/>
        <w:ind w:firstLine="8"/>
        <w:spacing w:after="0" w:line="247" w:lineRule="auto"/>
        <w:tabs>
          <w:tab w:leader="none" w:pos="40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If the Award Holder’s employment with the Corporation or a Subsidiary terminates at any time for any reason prior to the expiration of the Performance Period, except as provided in this Section 5 or as determined by the Committee in its sole and absolute discretion, any Revenue Performance Stock Units that have not become Vested Units will be forfeited and cancelled and surrendered to the Corporation without payment of any additional consideration, effective on the date of the Award Holder’s termination of employment. As used herein, the term “</w:t>
      </w:r>
      <w:r>
        <w:rPr>
          <w:rFonts w:ascii="Times New Roman" w:cs="Times New Roman" w:eastAsia="Times New Roman" w:hAnsi="Times New Roman"/>
          <w:sz w:val="22"/>
          <w:szCs w:val="22"/>
          <w:u w:val="single" w:color="auto"/>
          <w:color w:val="auto"/>
        </w:rPr>
        <w:t>permanent disability</w:t>
      </w:r>
      <w:r>
        <w:rPr>
          <w:rFonts w:ascii="Times New Roman" w:cs="Times New Roman" w:eastAsia="Times New Roman" w:hAnsi="Times New Roman"/>
          <w:sz w:val="22"/>
          <w:szCs w:val="22"/>
          <w:color w:val="auto"/>
        </w:rPr>
        <w:t>” shall mean the date on which the Award Holder has not worked or been able to work due to physical or mental incapacity for a period of one hundred eighty (180) consecutive days. Upon the termination of the Award Holder’s employment with the Corporation or a Subsidiary as a result of death or permanent disability all outstanding Revenue Performance Stock Units shall remain eligible to vest and become Earned Units based on the amount of revenue that was achieved by the Corporation during the last year of the Performance Period relative to the level of revenue approved by the Committee for each</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98" w:lineRule="exact"/>
        <w:rPr>
          <w:sz w:val="20"/>
          <w:szCs w:val="20"/>
          <w:color w:val="auto"/>
        </w:rPr>
      </w:pPr>
    </w:p>
    <w:p>
      <w:pPr>
        <w:jc w:val="both"/>
        <w:ind w:left="89"/>
        <w:spacing w:after="0" w:line="247" w:lineRule="auto"/>
        <w:rPr>
          <w:sz w:val="20"/>
          <w:szCs w:val="20"/>
          <w:color w:val="auto"/>
        </w:rPr>
      </w:pPr>
      <w:r>
        <w:rPr>
          <w:rFonts w:ascii="Times New Roman" w:cs="Times New Roman" w:eastAsia="Times New Roman" w:hAnsi="Times New Roman"/>
          <w:sz w:val="22"/>
          <w:szCs w:val="22"/>
          <w:color w:val="auto"/>
        </w:rPr>
        <w:t>and every annual outstanding grant in accordance with Section 3 hereof (and any Earned Units shall be settled into shares of Common Stock following the Committee’s certification in accordance with Section 4 hereof). As used herein, the term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Award Holder’s termination of employment with the Corporation or a Subsidiary, when either (x) the Award Holder is sixty-five (65) or more years of age, or (y) the Award Holder is sixty (60) or more years of age and has completed at least five (5) years of service with the Corporation or a Subsidiary. Upon the termination of the Award Holder’s employment with the Corporation or a Subsidiary as a result of retirement all outstanding Revenue Performance Stock Units shall remain eligible to vest and become Earned Units based on the amount of revenue that was achieved by the Corporation during the last year of the Performance Period relative to the level of revenue approved by the Committee for each and every annual outstanding grant in accordance with Section 3 hereof (and any Earned Units shall be settled into shares of Common Stock following the Committee’s certification in accordance with Section 4 hereof). To the extent any payment hereunder is considered nonqualified deferred compensation subject to Section 409A of the Code, all such payments and settlements shall be made in compliance with Section 409A of the Code and a termination of employment shall not be deemed to have occurred for purposes of any payments contingent thereon unless such termination is also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within the meaning of Section 409A of the Code.</w:t>
      </w:r>
    </w:p>
    <w:p>
      <w:pPr>
        <w:spacing w:after="0" w:line="203" w:lineRule="exact"/>
        <w:rPr>
          <w:sz w:val="20"/>
          <w:szCs w:val="20"/>
          <w:color w:val="auto"/>
        </w:rPr>
      </w:pPr>
    </w:p>
    <w:p>
      <w:pPr>
        <w:ind w:left="469" w:hanging="372"/>
        <w:spacing w:after="0"/>
        <w:tabs>
          <w:tab w:leader="none" w:pos="46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p>
    <w:p>
      <w:pPr>
        <w:spacing w:after="0" w:line="219" w:lineRule="exact"/>
        <w:rPr>
          <w:rFonts w:ascii="Times New Roman" w:cs="Times New Roman" w:eastAsia="Times New Roman" w:hAnsi="Times New Roman"/>
          <w:sz w:val="22"/>
          <w:szCs w:val="22"/>
          <w:color w:val="auto"/>
        </w:rPr>
      </w:pPr>
    </w:p>
    <w:p>
      <w:pPr>
        <w:jc w:val="both"/>
        <w:ind w:left="89" w:firstLine="48"/>
        <w:spacing w:after="0" w:line="251" w:lineRule="auto"/>
        <w:tabs>
          <w:tab w:leader="none" w:pos="447"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outstanding shares of Common Stock of the Corporation are increased, decreased, changed into or exchanged for a different number or kind of shares or securities of the Corporation through recapitalization (other than the conversion of convertible securities according to their terms), reclassification, stock dividend, stock split or reverse stock split, an appropriate and proportionate adjustment shall be made, or if the Corporation shall spin-off, spin-out or otherwise distribute assets with respect to the outstanding shares of Common Stock of the Corporation, an appropriate and proportionate adjustment shall be made, in the number of Revenue Performance Stock Units subject to this Award.</w:t>
      </w:r>
    </w:p>
    <w:p>
      <w:pPr>
        <w:spacing w:after="0" w:line="181" w:lineRule="exact"/>
        <w:rPr>
          <w:sz w:val="20"/>
          <w:szCs w:val="20"/>
          <w:color w:val="auto"/>
        </w:rPr>
      </w:pPr>
    </w:p>
    <w:p>
      <w:pPr>
        <w:jc w:val="both"/>
        <w:ind w:left="89" w:hanging="6"/>
        <w:spacing w:after="0" w:line="250" w:lineRule="auto"/>
        <w:tabs>
          <w:tab w:leader="none" w:pos="39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dissolution or liquidation of the Corporation, or upon any merger, consolidation or reorganization of the Corporation with any other corporations or entities as a result of which the Corporation is not the surviving corporation, or upon the sale of all or substantially all of the assets of the Corporation or the acquisition of more than 80% of the stock of the Corporation by another corporation or entity, there shall be substituted for each of the shares of Common Stock then subject to this Award the number and kind of shares of stock, securities or other assets which would have been issuable or payable in respect of or in exchange for such Common Stock then subject to the Award, as if the Award Holder had been the owner of such shares as of the transaction date. Any securities so substituted shall be subject to similar successive adjustments.</w:t>
      </w:r>
    </w:p>
    <w:p>
      <w:pPr>
        <w:spacing w:after="0" w:line="180" w:lineRule="exact"/>
        <w:rPr>
          <w:rFonts w:ascii="Times New Roman" w:cs="Times New Roman" w:eastAsia="Times New Roman" w:hAnsi="Times New Roman"/>
          <w:sz w:val="22"/>
          <w:szCs w:val="22"/>
          <w:color w:val="auto"/>
        </w:rPr>
      </w:pPr>
    </w:p>
    <w:p>
      <w:pPr>
        <w:jc w:val="both"/>
        <w:ind w:left="89" w:hanging="89"/>
        <w:spacing w:after="0" w:line="263" w:lineRule="auto"/>
        <w:tabs>
          <w:tab w:leader="none" w:pos="39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performance restricted stock unit agreement or in any other instrument executed pursuant thereto shall confer upon the Award Holder any right to continue in the employ of the Corporation or any Subsidiary</w:t>
      </w:r>
    </w:p>
    <w:p>
      <w:pPr>
        <w:sectPr>
          <w:pgSz w:w="11900" w:h="16838" w:orient="portrait"/>
          <w:cols w:equalWidth="0" w:num="1">
            <w:col w:w="11329"/>
          </w:cols>
          <w:pgMar w:left="231" w:top="1440" w:right="339" w:bottom="1440" w:gutter="0" w:footer="0" w:header="0"/>
        </w:sectPr>
      </w:pPr>
    </w:p>
    <w:bookmarkStart w:id="79" w:name="page80"/>
    <w:bookmarkEnd w:id="79"/>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of the Corporation or shall interfere in any way with the right of the Corporation or any such Subsidiary to at any time terminate the employment of the Award Holder with or without cause.</w:t>
      </w:r>
    </w:p>
    <w:p>
      <w:pPr>
        <w:spacing w:after="0" w:line="158" w:lineRule="exact"/>
        <w:rPr>
          <w:sz w:val="20"/>
          <w:szCs w:val="20"/>
          <w:color w:val="auto"/>
        </w:rPr>
      </w:pPr>
    </w:p>
    <w:p>
      <w:pPr>
        <w:jc w:val="both"/>
        <w:ind w:firstLine="264"/>
        <w:spacing w:after="0" w:line="252" w:lineRule="auto"/>
        <w:tabs>
          <w:tab w:leader="none" w:pos="675"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No shares issuable under this Award shall be issued or delivered unless and until, in the opinion of counsel for the Corporation, all applicable requirements of federal and state law and of the Securities and Exchange Commission pertaining to the issuance and sale of such shares and any applicable listing requirements of any national securities exchange on which shares of the same class are then listed, shall have been fully complied with. In connection with any such issuance or transfer, the person acquiring the shares shall, if requested by the Corporation, give assurances satisfactory to counsel to the Corporation in respect of such matters as the Corporation or any Subsidiary of the Corporation may deem desirable to assure compliance with all applicable legal requirements.</w:t>
      </w:r>
    </w:p>
    <w:p>
      <w:pPr>
        <w:spacing w:after="0" w:line="179" w:lineRule="exact"/>
        <w:rPr>
          <w:rFonts w:ascii="Times New Roman" w:cs="Times New Roman" w:eastAsia="Times New Roman" w:hAnsi="Times New Roman"/>
          <w:sz w:val="22"/>
          <w:szCs w:val="22"/>
          <w:color w:val="auto"/>
        </w:rPr>
      </w:pPr>
    </w:p>
    <w:p>
      <w:pPr>
        <w:jc w:val="both"/>
        <w:ind w:firstLine="251"/>
        <w:spacing w:after="0" w:line="252" w:lineRule="auto"/>
        <w:tabs>
          <w:tab w:leader="none" w:pos="6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Award Holder nor any beneficiary or other person claiming under or through the Award Holder shall have any right, title or interest in or to any shares of Common Stock allocated or reserved for the purpose of the Plan or subject to this Agreement except as to such shares of Common Stock, if any, as shall have been issued or transferred to such person.</w:t>
      </w:r>
    </w:p>
    <w:p>
      <w:pPr>
        <w:spacing w:after="0" w:line="179" w:lineRule="exact"/>
        <w:rPr>
          <w:rFonts w:ascii="Times New Roman" w:cs="Times New Roman" w:eastAsia="Times New Roman" w:hAnsi="Times New Roman"/>
          <w:sz w:val="22"/>
          <w:szCs w:val="22"/>
          <w:color w:val="auto"/>
        </w:rPr>
      </w:pPr>
    </w:p>
    <w:p>
      <w:pPr>
        <w:jc w:val="both"/>
        <w:ind w:firstLine="379"/>
        <w:spacing w:after="0" w:line="250" w:lineRule="auto"/>
        <w:tabs>
          <w:tab w:leader="none" w:pos="1012"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Corporation or any Subsidiary of the Corporation may make such provisions as it may deem appropriate for the withholding of any taxes which the Corporation or such Subsidiary determines it is required to withhold in connection with this performance restricted stock unit agreement and the transactions contemplated hereby, and the Corporation or any such Subsidiary may require the Award Holder to pay to the Corporation or such Subsidiary in cash any amount or amounts which may be required to be paid as withheld taxes in connection with any issuance of Common Stock pursuant to this Award or any other transaction contemplated hereby as a condition to the issuance of shares of the Common Stock, provided, however, that any amount withheld for taxes in connection with this Award may, at the election of the Award Holder, be paid with previously issued shares of Common Stock or the deduction of shares of Common Stock to be issued in connection with this Award.</w:t>
      </w:r>
    </w:p>
    <w:p>
      <w:pPr>
        <w:spacing w:after="0" w:line="179" w:lineRule="exact"/>
        <w:rPr>
          <w:rFonts w:ascii="Times New Roman" w:cs="Times New Roman" w:eastAsia="Times New Roman" w:hAnsi="Times New Roman"/>
          <w:sz w:val="22"/>
          <w:szCs w:val="22"/>
          <w:color w:val="auto"/>
        </w:rPr>
      </w:pPr>
    </w:p>
    <w:p>
      <w:pPr>
        <w:jc w:val="both"/>
        <w:ind w:firstLine="325"/>
        <w:spacing w:after="0" w:line="249" w:lineRule="auto"/>
        <w:tabs>
          <w:tab w:leader="none" w:pos="896"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Neither this performance restricted stock unit agreement, nor this Award nor any other rights and privileges granted hereby shall be transferred, assigned, pledged or hypothecated in any way, whether by operation of law of descent and distribution. Upon any attempt to so transfer, assign, pledge, hypothecate or otherwise dispose of this performance restricted stock unit agreement, this Award or any other right or privilege granted hereby contrary to the provisions hereof, this performance restricted stock unit agreement, this Award and all of such rights and privileges shall immediately become null and void, provided however, that the Award Holder may transfer an Award to any “</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(as such term is defined in Section A.1(a)(5) of the General Instructions to Form S-8 under the Securities Act of 1933, as amended (“</w:t>
      </w:r>
      <w:r>
        <w:rPr>
          <w:rFonts w:ascii="Times New Roman" w:cs="Times New Roman" w:eastAsia="Times New Roman" w:hAnsi="Times New Roman"/>
          <w:sz w:val="22"/>
          <w:szCs w:val="22"/>
          <w:u w:val="single" w:color="auto"/>
          <w:color w:val="auto"/>
        </w:rPr>
        <w:t>Form S-8</w:t>
      </w:r>
      <w:r>
        <w:rPr>
          <w:rFonts w:ascii="Times New Roman" w:cs="Times New Roman" w:eastAsia="Times New Roman" w:hAnsi="Times New Roman"/>
          <w:sz w:val="22"/>
          <w:szCs w:val="22"/>
          <w:color w:val="auto"/>
        </w:rPr>
        <w:t>”)),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 transferee acknowledges and</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agrees that the Award remains subject to all of the terms and conditions of this Agreement and the Plan..</w:t>
      </w:r>
    </w:p>
    <w:p>
      <w:pPr>
        <w:spacing w:after="0" w:line="220" w:lineRule="exact"/>
        <w:rPr>
          <w:sz w:val="20"/>
          <w:szCs w:val="20"/>
          <w:color w:val="auto"/>
        </w:rPr>
      </w:pPr>
    </w:p>
    <w:p>
      <w:pPr>
        <w:jc w:val="both"/>
        <w:ind w:firstLine="231"/>
        <w:spacing w:after="0" w:line="263" w:lineRule="auto"/>
        <w:tabs>
          <w:tab w:leader="none" w:pos="71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Programs</w:t>
      </w:r>
      <w:r>
        <w:rPr>
          <w:rFonts w:ascii="Times New Roman" w:cs="Times New Roman" w:eastAsia="Times New Roman" w:hAnsi="Times New Roman"/>
          <w:sz w:val="22"/>
          <w:szCs w:val="22"/>
          <w:color w:val="auto"/>
        </w:rPr>
        <w:t>. Nothing contained in this performance restricted stock unit agreement shall affect the right of the Award Holder to participate in and receive benefits under and in accordance with the then current provisions of any pension, insurance, profit-sharing or other employee benefit plan or program of the Corporation or of any Subsidiary of the Corporation.</w:t>
      </w:r>
    </w:p>
    <w:p>
      <w:pPr>
        <w:spacing w:after="0" w:line="167" w:lineRule="exact"/>
        <w:rPr>
          <w:rFonts w:ascii="Times New Roman" w:cs="Times New Roman" w:eastAsia="Times New Roman" w:hAnsi="Times New Roman"/>
          <w:sz w:val="22"/>
          <w:szCs w:val="22"/>
          <w:color w:val="auto"/>
        </w:rPr>
      </w:pPr>
    </w:p>
    <w:p>
      <w:pPr>
        <w:jc w:val="both"/>
        <w:ind w:firstLine="231"/>
        <w:spacing w:after="0" w:line="252" w:lineRule="auto"/>
        <w:tabs>
          <w:tab w:leader="none" w:pos="71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Award hereby granted is subject to, and the Corporation and Award Holder agree to be bound by, all of the terms and conditions of the Plan as the same may be amended from time to time in accordance with the terms thereof, but no such amendment may adversely affect the Award Holder’s rights under this performance restricted stock unit agreement. Award Holder acknowledges receipt of a complete copy of the Plan.</w:t>
      </w:r>
    </w:p>
    <w:p>
      <w:pPr>
        <w:spacing w:after="0" w:line="192" w:lineRule="exact"/>
        <w:rPr>
          <w:rFonts w:ascii="Times New Roman" w:cs="Times New Roman" w:eastAsia="Times New Roman" w:hAnsi="Times New Roman"/>
          <w:sz w:val="22"/>
          <w:szCs w:val="22"/>
          <w:color w:val="auto"/>
        </w:rPr>
      </w:pPr>
    </w:p>
    <w:p>
      <w:pPr>
        <w:jc w:val="both"/>
        <w:ind w:firstLine="426"/>
        <w:spacing w:after="0" w:line="248" w:lineRule="auto"/>
        <w:tabs>
          <w:tab w:leader="none" w:pos="1107" w:val="left"/>
        </w:tabs>
        <w:numPr>
          <w:ilvl w:val="3"/>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 other provisions in the Plan, the Corporation may cancel any Award, require reimbursement of any Award by the Award Holder, and effect any other right of recoupment of equity or other compensation provided under the Plan (including under this revenue performance stock unit agreement) or otherwise in accordance with the Corporation’s clawback policy as the same may be adopted and/or modified from time to time (the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Award Holder acknowledges that any RPSU Shares awarded pursuant to the Plan and this performance restricted stock unit agreement may be subject to repayment to the Corporation in accordance with the Clawback Policy. By accepting the Award, Award Holder is agreeing to be bound by the Clawback Policy, as in effect on the Effective Date or as may be adopted and/or modified from time to time by the Corporation in its sole discretion (including, without limitation, to comply with applicable law or stock exchange listing requirements). The Award Holder hereby expressly agrees that in connection with the enforcement of the Clawback Policy, the Corporation shall have the right to reduce, cancel, or withhold against outstanding, unvested, vested, or future cash or equity-based compensation owed or due to the Award Holder that is subject to such policy, to the maximum extent permitted under applicable law.</w:t>
      </w:r>
    </w:p>
    <w:p>
      <w:pPr>
        <w:spacing w:after="0" w:line="184" w:lineRule="exact"/>
        <w:rPr>
          <w:rFonts w:ascii="Times New Roman" w:cs="Times New Roman" w:eastAsia="Times New Roman" w:hAnsi="Times New Roman"/>
          <w:sz w:val="22"/>
          <w:szCs w:val="22"/>
          <w:color w:val="auto"/>
        </w:rPr>
      </w:pPr>
    </w:p>
    <w:p>
      <w:pPr>
        <w:jc w:val="both"/>
        <w:ind w:firstLine="224"/>
        <w:spacing w:after="0" w:line="253" w:lineRule="auto"/>
        <w:tabs>
          <w:tab w:leader="none" w:pos="70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All questions arising under the Plan or under this performance restricted stock unit agreement shall be decided by the Committee in its total and absolute discretion. It is expressly understood that the Committee is authorized to administer, construe and make all determinations necessary or appropriate to the administration of the Plan and this performance restricted stock unit agreement, all of which shall be binding upon the Award Holder to the maximum extent permitted by the Plan.</w:t>
      </w:r>
    </w:p>
    <w:p>
      <w:pPr>
        <w:spacing w:after="0" w:line="178" w:lineRule="exact"/>
        <w:rPr>
          <w:rFonts w:ascii="Times New Roman" w:cs="Times New Roman" w:eastAsia="Times New Roman" w:hAnsi="Times New Roman"/>
          <w:sz w:val="22"/>
          <w:szCs w:val="22"/>
          <w:color w:val="auto"/>
        </w:rPr>
      </w:pPr>
    </w:p>
    <w:p>
      <w:pPr>
        <w:ind w:firstLine="271"/>
        <w:spacing w:after="0" w:line="271" w:lineRule="auto"/>
        <w:tabs>
          <w:tab w:leader="none" w:pos="796"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Award Holder by this Award are the services rendered by the Award Holder after and not before the grant of this Award.</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98" w:lineRule="exact"/>
        <w:rPr>
          <w:sz w:val="20"/>
          <w:szCs w:val="20"/>
          <w:color w:val="auto"/>
        </w:rPr>
      </w:pPr>
    </w:p>
    <w:p>
      <w:pPr>
        <w:ind w:firstLine="237"/>
        <w:spacing w:after="0" w:line="271" w:lineRule="auto"/>
        <w:tabs>
          <w:tab w:leader="none" w:pos="7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Award has been granted as of the effective date set forth above at Los Angeles, California, and the interpretation, performance and enforcement of this Agreement shall be governed by the laws of the State of California.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Award Holder</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493395</wp:posOffset>
            </wp:positionV>
            <wp:extent cx="4011930" cy="574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401193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240" w:type="dxa"/>
        <w:tblCellMar>
          <w:top w:w="0" w:type="dxa"/>
          <w:left w:w="0" w:type="dxa"/>
          <w:bottom w:w="0" w:type="dxa"/>
          <w:right w:w="0" w:type="dxa"/>
        </w:tblCellMar>
      </w:tblPr>
      <w:tr>
        <w:trPr>
          <w:trHeight w:val="261"/>
        </w:trPr>
        <w:tc>
          <w:tcPr>
            <w:tcW w:w="1000" w:type="dxa"/>
            <w:vAlign w:val="bottom"/>
            <w:tcBorders>
              <w:right w:val="single" w:sz="8" w:color="8EA9DB"/>
            </w:tcBorders>
          </w:tcPr>
          <w:p>
            <w:pPr>
              <w:spacing w:after="0"/>
              <w:rPr>
                <w:sz w:val="22"/>
                <w:szCs w:val="22"/>
                <w:color w:val="auto"/>
              </w:rPr>
            </w:pPr>
          </w:p>
        </w:tc>
        <w:tc>
          <w:tcPr>
            <w:tcW w:w="1440" w:type="dxa"/>
            <w:vAlign w:val="bottom"/>
            <w:shd w:val="clear" w:color="auto" w:fill="8EA9DB"/>
          </w:tcPr>
          <w:p>
            <w:pPr>
              <w:spacing w:after="0"/>
              <w:rPr>
                <w:sz w:val="22"/>
                <w:szCs w:val="22"/>
                <w:color w:val="auto"/>
              </w:rPr>
            </w:pPr>
          </w:p>
        </w:tc>
        <w:tc>
          <w:tcPr>
            <w:tcW w:w="2560" w:type="dxa"/>
            <w:vAlign w:val="bottom"/>
            <w:tcBorders>
              <w:right w:val="single" w:sz="8" w:color="8EA9DB"/>
            </w:tcBorders>
            <w:shd w:val="clear" w:color="auto" w:fill="8EA9DB"/>
          </w:tcPr>
          <w:p>
            <w:pPr>
              <w:ind w:left="940"/>
              <w:spacing w:after="0"/>
              <w:rPr>
                <w:sz w:val="20"/>
                <w:szCs w:val="20"/>
                <w:color w:val="auto"/>
              </w:rPr>
            </w:pPr>
            <w:r>
              <w:rPr>
                <w:rFonts w:ascii="Arial" w:cs="Arial" w:eastAsia="Arial" w:hAnsi="Arial"/>
                <w:sz w:val="18"/>
                <w:szCs w:val="18"/>
                <w:color w:val="auto"/>
              </w:rPr>
              <w:t>FY 202_ Revenue*</w:t>
            </w:r>
          </w:p>
        </w:tc>
        <w:tc>
          <w:tcPr>
            <w:tcW w:w="2280" w:type="dxa"/>
            <w:vAlign w:val="bottom"/>
            <w:shd w:val="clear" w:color="auto" w:fill="8EA9DB"/>
          </w:tcPr>
          <w:p>
            <w:pPr>
              <w:spacing w:after="0"/>
              <w:rPr>
                <w:sz w:val="22"/>
                <w:szCs w:val="22"/>
                <w:color w:val="auto"/>
              </w:rPr>
            </w:pPr>
          </w:p>
        </w:tc>
        <w:tc>
          <w:tcPr>
            <w:tcW w:w="20" w:type="dxa"/>
            <w:vAlign w:val="bottom"/>
          </w:tcPr>
          <w:p>
            <w:pPr>
              <w:spacing w:after="0"/>
              <w:rPr>
                <w:sz w:val="22"/>
                <w:szCs w:val="22"/>
                <w:color w:val="auto"/>
              </w:rPr>
            </w:pPr>
          </w:p>
        </w:tc>
      </w:tr>
      <w:tr>
        <w:trPr>
          <w:trHeight w:val="297"/>
        </w:trPr>
        <w:tc>
          <w:tcPr>
            <w:tcW w:w="1000" w:type="dxa"/>
            <w:vAlign w:val="bottom"/>
            <w:tcBorders>
              <w:right w:val="single" w:sz="8" w:color="8EA9DB"/>
            </w:tcBorders>
          </w:tcPr>
          <w:p>
            <w:pPr>
              <w:spacing w:after="0"/>
              <w:rPr>
                <w:sz w:val="24"/>
                <w:szCs w:val="24"/>
                <w:color w:val="auto"/>
              </w:rPr>
            </w:pPr>
          </w:p>
        </w:tc>
        <w:tc>
          <w:tcPr>
            <w:tcW w:w="1440" w:type="dxa"/>
            <w:vAlign w:val="bottom"/>
            <w:shd w:val="clear" w:color="auto" w:fill="8EA9DB"/>
          </w:tcPr>
          <w:p>
            <w:pPr>
              <w:spacing w:after="0"/>
              <w:rPr>
                <w:sz w:val="24"/>
                <w:szCs w:val="24"/>
                <w:color w:val="auto"/>
              </w:rPr>
            </w:pPr>
          </w:p>
        </w:tc>
        <w:tc>
          <w:tcPr>
            <w:tcW w:w="2560" w:type="dxa"/>
            <w:vAlign w:val="bottom"/>
            <w:tcBorders>
              <w:right w:val="single" w:sz="8" w:color="8EA9DB"/>
            </w:tcBorders>
            <w:shd w:val="clear" w:color="auto" w:fill="8EA9DB"/>
          </w:tcPr>
          <w:p>
            <w:pPr>
              <w:ind w:left="20"/>
              <w:spacing w:after="0"/>
              <w:rPr>
                <w:sz w:val="20"/>
                <w:szCs w:val="20"/>
                <w:color w:val="auto"/>
              </w:rPr>
            </w:pPr>
            <w:r>
              <w:rPr>
                <w:rFonts w:ascii="Arial" w:cs="Arial" w:eastAsia="Arial" w:hAnsi="Arial"/>
                <w:sz w:val="18"/>
                <w:szCs w:val="18"/>
                <w:color w:val="auto"/>
              </w:rPr>
              <w:t>Performance</w:t>
            </w:r>
          </w:p>
        </w:tc>
        <w:tc>
          <w:tcPr>
            <w:tcW w:w="2280" w:type="dxa"/>
            <w:vAlign w:val="bottom"/>
            <w:shd w:val="clear" w:color="auto" w:fill="8EA9DB"/>
          </w:tcPr>
          <w:p>
            <w:pPr>
              <w:spacing w:after="0"/>
              <w:rPr>
                <w:sz w:val="24"/>
                <w:szCs w:val="24"/>
                <w:color w:val="auto"/>
              </w:rPr>
            </w:pPr>
          </w:p>
        </w:tc>
        <w:tc>
          <w:tcPr>
            <w:tcW w:w="20" w:type="dxa"/>
            <w:vAlign w:val="bottom"/>
          </w:tcPr>
          <w:p>
            <w:pPr>
              <w:spacing w:after="0"/>
              <w:rPr>
                <w:sz w:val="24"/>
                <w:szCs w:val="24"/>
                <w:color w:val="auto"/>
              </w:rPr>
            </w:pPr>
          </w:p>
        </w:tc>
      </w:tr>
      <w:tr>
        <w:trPr>
          <w:trHeight w:val="333"/>
        </w:trPr>
        <w:tc>
          <w:tcPr>
            <w:tcW w:w="1000" w:type="dxa"/>
            <w:vAlign w:val="bottom"/>
            <w:tcBorders>
              <w:right w:val="single" w:sz="8" w:color="8EA9DB"/>
            </w:tcBorders>
          </w:tcPr>
          <w:p>
            <w:pPr>
              <w:spacing w:after="0"/>
              <w:rPr>
                <w:sz w:val="24"/>
                <w:szCs w:val="24"/>
                <w:color w:val="auto"/>
              </w:rPr>
            </w:pPr>
          </w:p>
        </w:tc>
        <w:tc>
          <w:tcPr>
            <w:tcW w:w="1440" w:type="dxa"/>
            <w:vAlign w:val="bottom"/>
            <w:tcBorders>
              <w:bottom w:val="single" w:sz="8" w:color="8EA9DB"/>
            </w:tcBorders>
            <w:shd w:val="clear" w:color="auto" w:fill="8EA9DB"/>
          </w:tcPr>
          <w:p>
            <w:pPr>
              <w:jc w:val="center"/>
              <w:ind w:left="63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8EA9DB"/>
              <w:right w:val="single" w:sz="8" w:color="8EA9DB"/>
            </w:tcBorders>
            <w:shd w:val="clear" w:color="auto" w:fill="8EA9DB"/>
          </w:tcPr>
          <w:p>
            <w:pPr>
              <w:jc w:val="center"/>
              <w:ind w:left="610"/>
              <w:spacing w:after="0"/>
              <w:rPr>
                <w:sz w:val="20"/>
                <w:szCs w:val="20"/>
                <w:color w:val="auto"/>
              </w:rPr>
            </w:pPr>
            <w:r>
              <w:rPr>
                <w:rFonts w:ascii="Arial" w:cs="Arial" w:eastAsia="Arial" w:hAnsi="Arial"/>
                <w:sz w:val="18"/>
                <w:szCs w:val="18"/>
                <w:color w:val="auto"/>
              </w:rPr>
              <w:t>$M</w:t>
            </w:r>
          </w:p>
        </w:tc>
        <w:tc>
          <w:tcPr>
            <w:tcW w:w="2280" w:type="dxa"/>
            <w:vAlign w:val="bottom"/>
            <w:tcBorders>
              <w:bottom w:val="single" w:sz="8" w:color="8EA9DB"/>
            </w:tcBorders>
            <w:shd w:val="clear" w:color="auto" w:fill="8EA9DB"/>
          </w:tcPr>
          <w:p>
            <w:pPr>
              <w:ind w:left="840"/>
              <w:spacing w:after="0"/>
              <w:rPr>
                <w:sz w:val="20"/>
                <w:szCs w:val="20"/>
                <w:color w:val="auto"/>
              </w:rPr>
            </w:pPr>
            <w:r>
              <w:rPr>
                <w:rFonts w:ascii="Arial" w:cs="Arial" w:eastAsia="Arial" w:hAnsi="Arial"/>
                <w:sz w:val="18"/>
                <w:szCs w:val="18"/>
                <w:color w:val="auto"/>
              </w:rPr>
              <w:t>Vesting</w:t>
            </w:r>
          </w:p>
        </w:tc>
        <w:tc>
          <w:tcPr>
            <w:tcW w:w="20" w:type="dxa"/>
            <w:vAlign w:val="bottom"/>
          </w:tcPr>
          <w:p>
            <w:pPr>
              <w:spacing w:after="0"/>
              <w:rPr>
                <w:sz w:val="24"/>
                <w:szCs w:val="24"/>
                <w:color w:val="auto"/>
              </w:rPr>
            </w:pPr>
          </w:p>
        </w:tc>
      </w:tr>
      <w:tr>
        <w:trPr>
          <w:trHeight w:val="241"/>
        </w:trPr>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Maximum</w:t>
            </w:r>
          </w:p>
        </w:tc>
        <w:tc>
          <w:tcPr>
            <w:tcW w:w="144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color w:val="auto"/>
                <w:w w:val="98"/>
              </w:rPr>
              <w:t>xxx.x%</w:t>
            </w:r>
          </w:p>
        </w:tc>
        <w:tc>
          <w:tcPr>
            <w:tcW w:w="2560" w:type="dxa"/>
            <w:vAlign w:val="bottom"/>
            <w:tcBorders>
              <w:top w:val="single" w:sz="8" w:color="auto"/>
              <w:right w:val="single" w:sz="8" w:color="auto"/>
            </w:tcBorders>
          </w:tcPr>
          <w:p>
            <w:pPr>
              <w:jc w:val="center"/>
              <w:ind w:left="610"/>
              <w:spacing w:after="0"/>
              <w:rPr>
                <w:sz w:val="20"/>
                <w:szCs w:val="20"/>
                <w:color w:val="auto"/>
              </w:rPr>
            </w:pPr>
            <w:r>
              <w:rPr>
                <w:rFonts w:ascii="Arial" w:cs="Arial" w:eastAsia="Arial" w:hAnsi="Arial"/>
                <w:sz w:val="18"/>
                <w:szCs w:val="18"/>
                <w:color w:val="auto"/>
              </w:rPr>
              <w:t>$xxx</w:t>
            </w: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200%</w:t>
            </w:r>
          </w:p>
        </w:tc>
        <w:tc>
          <w:tcPr>
            <w:tcW w:w="20" w:type="dxa"/>
            <w:vAlign w:val="bottom"/>
            <w:tcBorders>
              <w:top w:val="single" w:sz="8" w:color="auto"/>
            </w:tcBorders>
            <w:shd w:val="clear" w:color="auto" w:fill="000000"/>
          </w:tcPr>
          <w:p>
            <w:pPr>
              <w:spacing w:after="0"/>
              <w:rPr>
                <w:sz w:val="20"/>
                <w:szCs w:val="20"/>
                <w:color w:val="auto"/>
              </w:rPr>
            </w:pPr>
          </w:p>
        </w:tc>
      </w:tr>
      <w:tr>
        <w:trPr>
          <w:trHeight w:val="283"/>
        </w:trPr>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Target</w:t>
            </w:r>
          </w:p>
        </w:tc>
        <w:tc>
          <w:tcPr>
            <w:tcW w:w="1440" w:type="dxa"/>
            <w:vAlign w:val="bottom"/>
          </w:tcPr>
          <w:p>
            <w:pPr>
              <w:jc w:val="center"/>
              <w:ind w:left="630"/>
              <w:spacing w:after="0"/>
              <w:rPr>
                <w:sz w:val="20"/>
                <w:szCs w:val="20"/>
                <w:color w:val="auto"/>
              </w:rPr>
            </w:pPr>
            <w:r>
              <w:rPr>
                <w:rFonts w:ascii="Arial" w:cs="Arial" w:eastAsia="Arial" w:hAnsi="Arial"/>
                <w:sz w:val="18"/>
                <w:szCs w:val="18"/>
                <w:color w:val="auto"/>
                <w:w w:val="98"/>
              </w:rPr>
              <w:t>xxx.x%</w:t>
            </w:r>
          </w:p>
        </w:tc>
        <w:tc>
          <w:tcPr>
            <w:tcW w:w="2560" w:type="dxa"/>
            <w:vAlign w:val="bottom"/>
            <w:tcBorders>
              <w:right w:val="single" w:sz="8" w:color="auto"/>
            </w:tcBorders>
          </w:tcPr>
          <w:p>
            <w:pPr>
              <w:jc w:val="center"/>
              <w:ind w:left="610"/>
              <w:spacing w:after="0"/>
              <w:rPr>
                <w:sz w:val="20"/>
                <w:szCs w:val="20"/>
                <w:color w:val="auto"/>
              </w:rPr>
            </w:pPr>
            <w:r>
              <w:rPr>
                <w:rFonts w:ascii="Arial" w:cs="Arial" w:eastAsia="Arial" w:hAnsi="Arial"/>
                <w:sz w:val="18"/>
                <w:szCs w:val="18"/>
                <w:color w:val="auto"/>
              </w:rPr>
              <w:t>$xxx</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0" w:type="dxa"/>
            <w:vAlign w:val="bottom"/>
            <w:shd w:val="clear" w:color="auto" w:fill="000000"/>
          </w:tcPr>
          <w:p>
            <w:pPr>
              <w:spacing w:after="0"/>
              <w:rPr>
                <w:sz w:val="24"/>
                <w:szCs w:val="24"/>
                <w:color w:val="auto"/>
              </w:rPr>
            </w:pPr>
          </w:p>
        </w:tc>
      </w:tr>
      <w:tr>
        <w:trPr>
          <w:trHeight w:val="283"/>
        </w:trPr>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Threshold</w:t>
            </w:r>
          </w:p>
        </w:tc>
        <w:tc>
          <w:tcPr>
            <w:tcW w:w="1440" w:type="dxa"/>
            <w:vAlign w:val="bottom"/>
          </w:tcPr>
          <w:p>
            <w:pPr>
              <w:jc w:val="center"/>
              <w:ind w:left="630"/>
              <w:spacing w:after="0"/>
              <w:rPr>
                <w:sz w:val="20"/>
                <w:szCs w:val="20"/>
                <w:color w:val="auto"/>
              </w:rPr>
            </w:pPr>
            <w:r>
              <w:rPr>
                <w:rFonts w:ascii="Arial" w:cs="Arial" w:eastAsia="Arial" w:hAnsi="Arial"/>
                <w:sz w:val="18"/>
                <w:szCs w:val="18"/>
                <w:color w:val="auto"/>
                <w:w w:val="98"/>
              </w:rPr>
              <w:t>xxx.x%</w:t>
            </w:r>
          </w:p>
        </w:tc>
        <w:tc>
          <w:tcPr>
            <w:tcW w:w="2560" w:type="dxa"/>
            <w:vAlign w:val="bottom"/>
            <w:tcBorders>
              <w:right w:val="single" w:sz="8" w:color="auto"/>
            </w:tcBorders>
          </w:tcPr>
          <w:p>
            <w:pPr>
              <w:jc w:val="center"/>
              <w:ind w:left="610"/>
              <w:spacing w:after="0"/>
              <w:rPr>
                <w:sz w:val="20"/>
                <w:szCs w:val="20"/>
                <w:color w:val="auto"/>
              </w:rPr>
            </w:pPr>
            <w:r>
              <w:rPr>
                <w:rFonts w:ascii="Arial" w:cs="Arial" w:eastAsia="Arial" w:hAnsi="Arial"/>
                <w:sz w:val="18"/>
                <w:szCs w:val="18"/>
                <w:color w:val="auto"/>
              </w:rPr>
              <w:t>$xxx</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20" w:type="dxa"/>
            <w:vAlign w:val="bottom"/>
            <w:shd w:val="clear" w:color="auto" w:fill="000000"/>
          </w:tcPr>
          <w:p>
            <w:pPr>
              <w:spacing w:after="0"/>
              <w:rPr>
                <w:sz w:val="24"/>
                <w:szCs w:val="24"/>
                <w:color w:val="auto"/>
              </w:rPr>
            </w:pPr>
          </w:p>
        </w:tc>
      </w:tr>
      <w:tr>
        <w:trPr>
          <w:trHeight w:val="283"/>
        </w:trPr>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7"/>
              </w:rPr>
              <w:t>&lt;Threshold</w:t>
            </w:r>
          </w:p>
        </w:tc>
        <w:tc>
          <w:tcPr>
            <w:tcW w:w="1440" w:type="dxa"/>
            <w:vAlign w:val="bottom"/>
          </w:tcPr>
          <w:p>
            <w:pPr>
              <w:jc w:val="center"/>
              <w:ind w:left="630"/>
              <w:spacing w:after="0"/>
              <w:rPr>
                <w:sz w:val="20"/>
                <w:szCs w:val="20"/>
                <w:color w:val="auto"/>
              </w:rPr>
            </w:pPr>
            <w:r>
              <w:rPr>
                <w:rFonts w:ascii="Arial" w:cs="Arial" w:eastAsia="Arial" w:hAnsi="Arial"/>
                <w:sz w:val="18"/>
                <w:szCs w:val="18"/>
                <w:color w:val="auto"/>
              </w:rPr>
              <w:t>&lt;xxx.x%</w:t>
            </w:r>
          </w:p>
        </w:tc>
        <w:tc>
          <w:tcPr>
            <w:tcW w:w="2560" w:type="dxa"/>
            <w:vAlign w:val="bottom"/>
            <w:tcBorders>
              <w:right w:val="single" w:sz="8" w:color="auto"/>
            </w:tcBorders>
          </w:tcPr>
          <w:p>
            <w:pPr>
              <w:jc w:val="center"/>
              <w:ind w:left="610"/>
              <w:spacing w:after="0"/>
              <w:rPr>
                <w:sz w:val="20"/>
                <w:szCs w:val="20"/>
                <w:color w:val="auto"/>
              </w:rPr>
            </w:pPr>
            <w:r>
              <w:rPr>
                <w:rFonts w:ascii="Arial" w:cs="Arial" w:eastAsia="Arial" w:hAnsi="Arial"/>
                <w:sz w:val="18"/>
                <w:szCs w:val="18"/>
                <w:color w:val="auto"/>
                <w:w w:val="96"/>
              </w:rPr>
              <w:t>&lt;$xxx</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shd w:val="clear" w:color="auto" w:fill="000000"/>
          </w:tcPr>
          <w:p>
            <w:pPr>
              <w:spacing w:after="0"/>
              <w:rPr>
                <w:sz w:val="24"/>
                <w:szCs w:val="24"/>
                <w:color w:val="auto"/>
              </w:rPr>
            </w:pPr>
          </w:p>
        </w:tc>
      </w:tr>
      <w:tr>
        <w:trPr>
          <w:trHeight w:val="37"/>
        </w:trPr>
        <w:tc>
          <w:tcPr>
            <w:tcW w:w="1000" w:type="dxa"/>
            <w:vAlign w:val="bottom"/>
            <w:tcBorders>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bl>
    <w:p>
      <w:pPr>
        <w:spacing w:after="0" w:line="8"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*Interpolation between levels</w:t>
      </w:r>
    </w:p>
    <w:p>
      <w:pPr>
        <w:sectPr>
          <w:pgSz w:w="11900" w:h="16838" w:orient="portrait"/>
          <w:cols w:equalWidth="0" w:num="1">
            <w:col w:w="9019"/>
          </w:cols>
          <w:pgMar w:left="1440" w:top="1440" w:right="1440" w:bottom="1440" w:gutter="0" w:footer="0" w:header="0"/>
        </w:sectPr>
      </w:pPr>
    </w:p>
    <w:bookmarkStart w:id="83" w:name="page84"/>
    <w:bookmarkEnd w:id="83"/>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10.7</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REVENUE PERFORMANCE CASH-BASED LONG-TERM INCENTIVE AWARD AGREEMENT</w:t>
      </w:r>
    </w:p>
    <w:p>
      <w:pPr>
        <w:spacing w:after="0" w:line="200" w:lineRule="exact"/>
        <w:rPr>
          <w:sz w:val="20"/>
          <w:szCs w:val="20"/>
          <w:color w:val="auto"/>
        </w:rPr>
      </w:pPr>
    </w:p>
    <w:p>
      <w:pPr>
        <w:spacing w:after="0" w:line="28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This cash-based long-time incentive award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May ___,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between Ducommun Incorporated,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 (“</w:t>
      </w:r>
      <w:r>
        <w:rPr>
          <w:rFonts w:ascii="Times New Roman" w:cs="Times New Roman" w:eastAsia="Times New Roman" w:hAnsi="Times New Roman"/>
          <w:sz w:val="22"/>
          <w:szCs w:val="22"/>
          <w:b w:val="1"/>
          <w:bCs w:val="1"/>
          <w:color w:val="auto"/>
        </w:rPr>
        <w:t>Award Holder</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is subject to and governed by the terms of the 2024 Stock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216" w:lineRule="exact"/>
        <w:rPr>
          <w:sz w:val="20"/>
          <w:szCs w:val="20"/>
          <w:color w:val="auto"/>
        </w:rPr>
      </w:pPr>
    </w:p>
    <w:p>
      <w:pPr>
        <w:jc w:val="both"/>
        <w:ind w:firstLine="656"/>
        <w:spacing w:after="0" w:line="254" w:lineRule="auto"/>
        <w:tabs>
          <w:tab w:leader="none" w:pos="114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Corporation hereby grants to the Award Holder an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with a target value (if the Corporation achieves the target level performance goals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of _______________ Dollars ($xxx,xxx.00) (the “</w:t>
      </w:r>
      <w:r>
        <w:rPr>
          <w:rFonts w:ascii="Times New Roman" w:cs="Times New Roman" w:eastAsia="Times New Roman" w:hAnsi="Times New Roman"/>
          <w:sz w:val="22"/>
          <w:szCs w:val="22"/>
          <w:b w:val="1"/>
          <w:bCs w:val="1"/>
          <w:color w:val="auto"/>
        </w:rPr>
        <w:t>Target Award</w:t>
      </w:r>
      <w:r>
        <w:rPr>
          <w:rFonts w:ascii="Times New Roman" w:cs="Times New Roman" w:eastAsia="Times New Roman" w:hAnsi="Times New Roman"/>
          <w:sz w:val="22"/>
          <w:szCs w:val="22"/>
          <w:color w:val="auto"/>
        </w:rPr>
        <w:t>”), subject to certain adjustments as described herein. The Award granted hereunder represents the right to receive a payment in cash based upon the percentage of the Target Award earned, subject to the conditions set forth in this Agreement and the Plan.</w:t>
      </w:r>
    </w:p>
    <w:p>
      <w:pPr>
        <w:spacing w:after="0" w:line="17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5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Agreement, shall have the meanings set forth in this Section 2.</w:t>
      </w:r>
    </w:p>
    <w:p>
      <w:pPr>
        <w:spacing w:after="0" w:line="186" w:lineRule="exact"/>
        <w:rPr>
          <w:sz w:val="20"/>
          <w:szCs w:val="20"/>
          <w:color w:val="auto"/>
        </w:rPr>
      </w:pPr>
    </w:p>
    <w:p>
      <w:pPr>
        <w:ind w:left="660" w:right="20" w:hanging="134"/>
        <w:spacing w:after="0" w:line="271" w:lineRule="auto"/>
        <w:rPr>
          <w:sz w:val="20"/>
          <w:szCs w:val="20"/>
          <w:color w:val="auto"/>
        </w:rPr>
      </w:pPr>
      <w:r>
        <w:rPr>
          <w:rFonts w:ascii="Times New Roman" w:cs="Times New Roman" w:eastAsia="Times New Roman" w:hAnsi="Times New Roman"/>
          <w:sz w:val="22"/>
          <w:szCs w:val="22"/>
          <w:color w:val="auto"/>
        </w:rPr>
        <w:t>“Common Stock” shall mean the Common Stock, $.01 par value, of the Corporation or such other class of shares or other securities as may be applicable pursuant to the provisions of Sections 4 and 9 of this Agreement.</w:t>
      </w:r>
    </w:p>
    <w:p>
      <w:pPr>
        <w:spacing w:after="0" w:line="158"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“Subsidiary”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186" w:lineRule="exact"/>
        <w:rPr>
          <w:sz w:val="20"/>
          <w:szCs w:val="20"/>
          <w:color w:val="auto"/>
        </w:rPr>
      </w:pPr>
    </w:p>
    <w:p>
      <w:pPr>
        <w:ind w:left="660" w:hanging="135"/>
        <w:spacing w:after="0" w:line="271" w:lineRule="auto"/>
        <w:rPr>
          <w:sz w:val="20"/>
          <w:szCs w:val="20"/>
          <w:color w:val="auto"/>
        </w:rPr>
      </w:pPr>
      <w:r>
        <w:rPr>
          <w:rFonts w:ascii="Times New Roman" w:cs="Times New Roman" w:eastAsia="Times New Roman" w:hAnsi="Times New Roman"/>
          <w:sz w:val="22"/>
          <w:szCs w:val="22"/>
          <w:color w:val="auto"/>
        </w:rPr>
        <w:t>“Committee” shall mean the Compensation Committee of the Board of Directors of the Corporation, or if there is no such committee acting, the Board of Directors of the Corporation.</w:t>
      </w:r>
    </w:p>
    <w:p>
      <w:pPr>
        <w:spacing w:after="0" w:line="198" w:lineRule="exact"/>
        <w:rPr>
          <w:sz w:val="20"/>
          <w:szCs w:val="20"/>
          <w:color w:val="auto"/>
        </w:rPr>
      </w:pPr>
    </w:p>
    <w:p>
      <w:pPr>
        <w:jc w:val="both"/>
        <w:ind w:firstLine="237"/>
        <w:spacing w:after="0" w:line="263" w:lineRule="auto"/>
        <w:tabs>
          <w:tab w:leader="none" w:pos="62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Award shall vest at the end of the 3-year performance period, beginning as of January 1, 202_ and ending on December 31, 202_ (the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xml:space="preserve">”). The vesting of the Award shall be based upon the Corporation achieving during the last year of the Performance Period, that level of revenue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approved by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Committee at the commencement of the Performance Period. Following the end of the Performance Period and the collection of relevant data necessary to determine the extent to which the performance goals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have been satisfied, the Committee will determine: (a) the amount of revenue that was achieved by the Corporation during the last year of the Performance Period relative to the level of revenue approved by the Committee, and (b) the percentage of the Target Award earned as a result thereof for the Performance Period (the “</w:t>
      </w:r>
      <w:r>
        <w:rPr>
          <w:rFonts w:ascii="Times New Roman" w:cs="Times New Roman" w:eastAsia="Times New Roman" w:hAnsi="Times New Roman"/>
          <w:sz w:val="22"/>
          <w:szCs w:val="22"/>
          <w:b w:val="1"/>
          <w:bCs w:val="1"/>
          <w:color w:val="auto"/>
        </w:rPr>
        <w:t>Earned Award</w:t>
      </w:r>
      <w:r>
        <w:rPr>
          <w:rFonts w:ascii="Times New Roman" w:cs="Times New Roman" w:eastAsia="Times New Roman" w:hAnsi="Times New Roman"/>
          <w:sz w:val="22"/>
          <w:szCs w:val="22"/>
          <w:color w:val="auto"/>
        </w:rPr>
        <w:t>”). The Earned Award shall vest (and become the “</w:t>
      </w:r>
      <w:r>
        <w:rPr>
          <w:rFonts w:ascii="Times New Roman" w:cs="Times New Roman" w:eastAsia="Times New Roman" w:hAnsi="Times New Roman"/>
          <w:sz w:val="22"/>
          <w:szCs w:val="22"/>
          <w:b w:val="1"/>
          <w:bCs w:val="1"/>
          <w:color w:val="auto"/>
        </w:rPr>
        <w:t>Vested Award</w:t>
      </w:r>
      <w:r>
        <w:rPr>
          <w:rFonts w:ascii="Times New Roman" w:cs="Times New Roman" w:eastAsia="Times New Roman" w:hAnsi="Times New Roman"/>
          <w:sz w:val="22"/>
          <w:szCs w:val="22"/>
          <w:color w:val="auto"/>
        </w:rPr>
        <w:t>”) as of the last day of the Performance Period, subject to the continued employment of the Award Holder by the Corporation through such date. The Committee shall make the determination set forth herein in its sole discretion. The level of achievement of revenue shall be evidenced by the Committee’s written certification. For the avoidance of doubt, any portion of the Target Award that does not vest in accordance with the forgoing shall expire without consideration at the end of the Performance Period.</w:t>
      </w:r>
    </w:p>
    <w:p>
      <w:pPr>
        <w:spacing w:after="0" w:line="204" w:lineRule="exact"/>
        <w:rPr>
          <w:sz w:val="20"/>
          <w:szCs w:val="20"/>
          <w:color w:val="auto"/>
        </w:rPr>
      </w:pPr>
    </w:p>
    <w:p>
      <w:pPr>
        <w:jc w:val="both"/>
        <w:ind w:firstLine="656"/>
        <w:spacing w:after="0" w:line="250" w:lineRule="auto"/>
        <w:tabs>
          <w:tab w:leader="none" w:pos="103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Vested Award</w:t>
      </w:r>
      <w:r>
        <w:rPr>
          <w:rFonts w:ascii="Times New Roman" w:cs="Times New Roman" w:eastAsia="Times New Roman" w:hAnsi="Times New Roman"/>
          <w:sz w:val="22"/>
          <w:szCs w:val="22"/>
          <w:color w:val="auto"/>
        </w:rPr>
        <w:t>. Upon the vesting of all or a portion of the Award, the Vested Award shall be paid to the Award Holder in cash, subject to any required tax withholding obligations, upon the Committee’s written certification as set forth in Section 3 (and paid no later than March 15th of the calendar year after the end of the Performance Period). No shares of Common Stock shall be issued with respect to the Award. The Award Holder shall not acquire or have any rights as a shareholder of the Corporation by virtue of this Agreement (or the Award evidenced hereby). Notwithstanding the foregoing, the Award Holder may elect, on a form and in a manner prescribed by the Corporation, to defer any payment of Vested Award, provided that any such deferral of payment must comply with any applicable requirements of Section 409A of the Code.</w:t>
      </w:r>
    </w:p>
    <w:p>
      <w:pPr>
        <w:spacing w:after="0" w:line="180" w:lineRule="exact"/>
        <w:rPr>
          <w:rFonts w:ascii="Times New Roman" w:cs="Times New Roman" w:eastAsia="Times New Roman" w:hAnsi="Times New Roman"/>
          <w:sz w:val="22"/>
          <w:szCs w:val="22"/>
          <w:color w:val="auto"/>
        </w:rPr>
      </w:pPr>
    </w:p>
    <w:p>
      <w:pPr>
        <w:jc w:val="both"/>
        <w:ind w:firstLine="8"/>
        <w:spacing w:after="0" w:line="259" w:lineRule="auto"/>
        <w:tabs>
          <w:tab w:leader="none" w:pos="72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If the Award Holder’s employment with the Corporation or a Subsidiary terminates before the end of the Performance Period for any reason, except as provided in this Section 5 or as determined by the Committee in its sole and absolute discretion, then the Award will be forfeited and cancelled and surrendered to the Corporation without payment of any consideration, effective on the date of the Award Holder’s termination of employment. As used herein, the term “permanent disability” shall mean the date on which the Award Holder has not worked or been able to work due to physical or mental incapacity for a period of one hundred eighty (180) consecutive days. Upon the termination of the Award Holder’s employment with the Corporation or a Subsidiary as a result of death or permanent disability all outstanding Target Awards shall remain eligible to vest and become Earned Awards based on the amount of revenue that was achieved by the Corporation during the last year of the Performance Period relative to the level of revenue approved by the Committee for each and every annual outstanding grant in accordance with Section 3 hereof (and any Earned Award shall be settled in cash following the Committee’s certification in accordance with Section 4 hereof). As used herein, the term “retirement” shall mean the date the Award Holder’s termination of employment with the Corporation or a Subsidiary, when either (x) the Award Holder is sixty-five (65) or more years of age, or</w:t>
      </w:r>
    </w:p>
    <w:p>
      <w:pPr>
        <w:spacing w:after="0" w:line="1" w:lineRule="exact"/>
        <w:rPr>
          <w:rFonts w:ascii="Times New Roman" w:cs="Times New Roman" w:eastAsia="Times New Roman" w:hAnsi="Times New Roman"/>
          <w:sz w:val="21"/>
          <w:szCs w:val="21"/>
          <w:color w:val="auto"/>
        </w:rPr>
      </w:pPr>
    </w:p>
    <w:p>
      <w:pPr>
        <w:jc w:val="both"/>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the Award Holder is sixty (60) or more years of age and has completed at least five (5) years of service with the Corporation or a Subsidiary. Upon the termination of the Award Holder’s employment with the Corporation or a Subsidiary as a result of retirement all outstanding Target Awards shall remain eligible to vest and become Earned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8" w:lineRule="exact"/>
        <w:rPr>
          <w:sz w:val="20"/>
          <w:szCs w:val="20"/>
          <w:color w:val="auto"/>
        </w:rPr>
      </w:pPr>
    </w:p>
    <w:p>
      <w:pPr>
        <w:jc w:val="both"/>
        <w:ind w:left="88"/>
        <w:spacing w:after="0" w:line="250" w:lineRule="auto"/>
        <w:rPr>
          <w:sz w:val="20"/>
          <w:szCs w:val="20"/>
          <w:color w:val="auto"/>
        </w:rPr>
      </w:pPr>
      <w:r>
        <w:rPr>
          <w:rFonts w:ascii="Times New Roman" w:cs="Times New Roman" w:eastAsia="Times New Roman" w:hAnsi="Times New Roman"/>
          <w:sz w:val="22"/>
          <w:szCs w:val="22"/>
          <w:color w:val="auto"/>
        </w:rPr>
        <w:t>Awards based on the amount of revenue that was achieved by the Corporation during the last year of the Performance Period relative to the level of revenue approved by the Committee for each and every annual outstanding grant in accordance with Section 3 hereof (and any Earned Award shall be settled in cash following the Committee’s certification in accordance with Section 4 hereof). To the extent any payment hereunder is considered nonqualified deferred compensation subject to Section 409A of the Code, all such payments and settlements shall be made in compliance with Section 409A of the Code and a termination of employment shall not be deemed to have occurred for purposes of any payments contingent thereon unless such termination is also a “separation from service” within the meaning of Section 409A of the Code.</w:t>
      </w:r>
    </w:p>
    <w:p>
      <w:pPr>
        <w:spacing w:after="0" w:line="180" w:lineRule="exact"/>
        <w:rPr>
          <w:sz w:val="20"/>
          <w:szCs w:val="20"/>
          <w:color w:val="auto"/>
        </w:rPr>
      </w:pPr>
    </w:p>
    <w:p>
      <w:pPr>
        <w:ind w:left="528" w:hanging="432"/>
        <w:spacing w:after="0"/>
        <w:tabs>
          <w:tab w:leader="none" w:pos="528"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88" w:hanging="88"/>
        <w:spacing w:after="0" w:line="252" w:lineRule="auto"/>
        <w:tabs>
          <w:tab w:leader="none" w:pos="49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Agreement or in any other instrument executed pursuant thereto shall confer upon the Award Holder any right to continue in the employ of the Corporation or any Subsidiary of the Corporation or shall interfere in any way with the right of the Corporation or any such Subsidiary to at any time terminate the employment of the Award Holder with or without cause.</w:t>
      </w:r>
    </w:p>
    <w:p>
      <w:pPr>
        <w:spacing w:after="0" w:line="179" w:lineRule="exact"/>
        <w:rPr>
          <w:rFonts w:ascii="Times New Roman" w:cs="Times New Roman" w:eastAsia="Times New Roman" w:hAnsi="Times New Roman"/>
          <w:sz w:val="22"/>
          <w:szCs w:val="22"/>
          <w:color w:val="auto"/>
        </w:rPr>
      </w:pPr>
    </w:p>
    <w:p>
      <w:pPr>
        <w:ind w:left="688" w:hanging="376"/>
        <w:spacing w:after="0"/>
        <w:tabs>
          <w:tab w:leader="none" w:pos="688"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8" w:firstLine="251"/>
        <w:spacing w:after="0" w:line="263" w:lineRule="auto"/>
        <w:tabs>
          <w:tab w:leader="none" w:pos="736" w:val="left"/>
        </w:tabs>
        <w:numPr>
          <w:ilvl w:val="3"/>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Award Holder nor any beneficiary or other person claiming under or through the Award Holder shall have any right, title or interest in or to any shares of Common Stock as a result of the Award or this Agreement.</w:t>
      </w:r>
    </w:p>
    <w:p>
      <w:pPr>
        <w:spacing w:after="0" w:line="167" w:lineRule="exact"/>
        <w:rPr>
          <w:rFonts w:ascii="Times New Roman" w:cs="Times New Roman" w:eastAsia="Times New Roman" w:hAnsi="Times New Roman"/>
          <w:sz w:val="22"/>
          <w:szCs w:val="22"/>
          <w:color w:val="auto"/>
        </w:rPr>
      </w:pPr>
    </w:p>
    <w:p>
      <w:pPr>
        <w:jc w:val="both"/>
        <w:ind w:left="88" w:firstLine="379"/>
        <w:spacing w:after="0" w:line="257" w:lineRule="auto"/>
        <w:tabs>
          <w:tab w:leader="none" w:pos="1100" w:val="left"/>
        </w:tabs>
        <w:numPr>
          <w:ilvl w:val="6"/>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Corporation or any Subsidiary of the Corporation may make such provisions as it may deem appropriate for the withholding of any taxes which the Corporation or such Subsidiary determines it is required to withhold in connection with this Agreement and the transactions contemplated hereby.</w:t>
      </w:r>
    </w:p>
    <w:p>
      <w:pPr>
        <w:spacing w:after="0" w:line="186" w:lineRule="exact"/>
        <w:rPr>
          <w:rFonts w:ascii="Times New Roman" w:cs="Times New Roman" w:eastAsia="Times New Roman" w:hAnsi="Times New Roman"/>
          <w:sz w:val="22"/>
          <w:szCs w:val="22"/>
          <w:color w:val="auto"/>
        </w:rPr>
      </w:pPr>
    </w:p>
    <w:p>
      <w:pPr>
        <w:jc w:val="both"/>
        <w:ind w:left="88" w:firstLine="298"/>
        <w:spacing w:after="0" w:line="247" w:lineRule="auto"/>
        <w:tabs>
          <w:tab w:leader="none" w:pos="930" w:val="left"/>
        </w:tabs>
        <w:numPr>
          <w:ilvl w:val="5"/>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Neither this Agreement, nor this Award nor any other rights and privileges granted hereby shall be transferred, assigned, pledged or hypothecated in any way, whether by operation of law of descent and distribution. Upon any attempt to so transfer, assign, pledge, hypothecate or otherwise dispose of this Agreement, this Award or any other right or privilege granted hereby contrary to the provisions hereof, this Agreement, this Award and all of such rights and privileges shall immediately become null and void, provided however, that the Award Holder may transfer an Award to any “family member” (as such term is defined in Section A.1(a)(5) of the General Instructions to Form S-8 under the Securities Act of 1933, as amended (“</w:t>
      </w:r>
      <w:r>
        <w:rPr>
          <w:rFonts w:ascii="Times New Roman" w:cs="Times New Roman" w:eastAsia="Times New Roman" w:hAnsi="Times New Roman"/>
          <w:sz w:val="22"/>
          <w:szCs w:val="22"/>
          <w:b w:val="1"/>
          <w:bCs w:val="1"/>
          <w:color w:val="auto"/>
        </w:rPr>
        <w:t>Form S-8</w:t>
      </w:r>
      <w:r>
        <w:rPr>
          <w:rFonts w:ascii="Times New Roman" w:cs="Times New Roman" w:eastAsia="Times New Roman" w:hAnsi="Times New Roman"/>
          <w:sz w:val="22"/>
          <w:szCs w:val="22"/>
          <w:color w:val="auto"/>
        </w:rPr>
        <w:t>”)),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 transferee acknowledges and agrees that the Award remains subject to all of the terms and conditions of this Agreement and the Plan.</w:t>
      </w:r>
    </w:p>
    <w:p>
      <w:pPr>
        <w:spacing w:after="0" w:line="190" w:lineRule="exact"/>
        <w:rPr>
          <w:rFonts w:ascii="Times New Roman" w:cs="Times New Roman" w:eastAsia="Times New Roman" w:hAnsi="Times New Roman"/>
          <w:sz w:val="22"/>
          <w:szCs w:val="22"/>
          <w:color w:val="auto"/>
        </w:rPr>
      </w:pPr>
    </w:p>
    <w:p>
      <w:pPr>
        <w:ind w:left="88" w:firstLine="264"/>
        <w:spacing w:after="0" w:line="284" w:lineRule="auto"/>
        <w:tabs>
          <w:tab w:leader="none" w:pos="871" w:val="left"/>
        </w:tabs>
        <w:numPr>
          <w:ilvl w:val="4"/>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Programs</w:t>
      </w:r>
      <w:r>
        <w:rPr>
          <w:rFonts w:ascii="Times New Roman" w:cs="Times New Roman" w:eastAsia="Times New Roman" w:hAnsi="Times New Roman"/>
          <w:sz w:val="22"/>
          <w:szCs w:val="22"/>
          <w:color w:val="auto"/>
        </w:rPr>
        <w:t>. Nothing contained in this cash-based long-time incentive award agreement shall affect the right of the Award Holder to participate in and receive benefits under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7"/>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328"/>
          </w:cols>
          <w:pgMar w:left="232" w:top="1440" w:right="339" w:bottom="1440" w:gutter="0" w:footer="0" w:header="0"/>
        </w:sectPr>
      </w:pPr>
    </w:p>
    <w:bookmarkStart w:id="86" w:name="page87"/>
    <w:bookmarkEnd w:id="86"/>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and in accordance with the then current provisions of any pension, insurance, profit-sharing or other employee benefit plan or program of the Corporation or of any Subsidiary of the Corporation.</w:t>
      </w:r>
    </w:p>
    <w:p>
      <w:pPr>
        <w:spacing w:after="0" w:line="158" w:lineRule="exact"/>
        <w:rPr>
          <w:sz w:val="20"/>
          <w:szCs w:val="20"/>
          <w:color w:val="auto"/>
        </w:rPr>
      </w:pPr>
    </w:p>
    <w:p>
      <w:pPr>
        <w:jc w:val="both"/>
        <w:ind w:firstLine="231"/>
        <w:spacing w:after="0" w:line="256" w:lineRule="auto"/>
        <w:tabs>
          <w:tab w:leader="none" w:pos="71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Award hereby granted is subject to, and the Corporation and Award Holder agree to be bound by all of the terms and conditions of the Plan as the same may be amended from time to time in accordance with the terms thereof, but no such amendment may adversely affect the Award Holder’s rights under this Agreement. Award Holder acknowledges receipt of a complete copy of the Plan.</w:t>
      </w:r>
    </w:p>
    <w:p>
      <w:pPr>
        <w:spacing w:after="0" w:line="176" w:lineRule="exact"/>
        <w:rPr>
          <w:rFonts w:ascii="Times New Roman" w:cs="Times New Roman" w:eastAsia="Times New Roman" w:hAnsi="Times New Roman"/>
          <w:sz w:val="22"/>
          <w:szCs w:val="22"/>
          <w:color w:val="auto"/>
        </w:rPr>
      </w:pPr>
    </w:p>
    <w:p>
      <w:pPr>
        <w:jc w:val="both"/>
        <w:ind w:firstLine="426"/>
        <w:spacing w:after="0" w:line="248" w:lineRule="auto"/>
        <w:tabs>
          <w:tab w:leader="none" w:pos="110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 other provisions in the Plan, the Corporation may cancel any Award, require reimbursement of any Award by the Award Holder, and effect any other right of recoupment of compensation provided under the Plan (including under this Agreement) or otherwise in accordance with the Corporation’s clawback policy as the same may be adopted and/or modified from time to time (the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The Award Holder acknowledges that any Award granted pursuant to the Plan and this Agreement may be subject to repayment to the Corporation in accordance with the Clawback Policy. By accepting the Award, Award Holder is agreeing to be bound by the Clawback Policy, as in effect on the Effective Date or as may be adopted and/or modified from time to time by the Corporation in its sole discretion (including, without limitation, to comply with applicable law or stock exchange listing requirements). The Award Holder hereby expressly agrees that in connection with the enforcement of the Clawback Policy, the Corporation shall have the right to reduce, cancel, or withhold against outstanding, unvested, vested, or future cash or equity-based compensation owed or due to the Award Holder that is subject to such policy, to the maximum extent permitted under applicable law.</w:t>
      </w:r>
    </w:p>
    <w:p>
      <w:pPr>
        <w:spacing w:after="0" w:line="189" w:lineRule="exact"/>
        <w:rPr>
          <w:sz w:val="20"/>
          <w:szCs w:val="20"/>
          <w:color w:val="auto"/>
        </w:rPr>
      </w:pPr>
    </w:p>
    <w:p>
      <w:pPr>
        <w:jc w:val="both"/>
        <w:ind w:firstLine="231"/>
        <w:spacing w:after="0" w:line="256" w:lineRule="auto"/>
        <w:tabs>
          <w:tab w:leader="none" w:pos="71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All questions arising under the Plan or under this Agreement shall be decided by the Committee in its total and absolute discretion. It is expressly understood that the Committee is authorized to administer, construe and make all determinations necessary or appropriate to the administration of the Plan and this Agreement, all of which shall be binding upon the Award Holder to the maximum extent permitted by the Plan.</w:t>
      </w:r>
    </w:p>
    <w:p>
      <w:pPr>
        <w:spacing w:after="0" w:line="176" w:lineRule="exact"/>
        <w:rPr>
          <w:rFonts w:ascii="Times New Roman" w:cs="Times New Roman" w:eastAsia="Times New Roman" w:hAnsi="Times New Roman"/>
          <w:sz w:val="22"/>
          <w:szCs w:val="22"/>
          <w:color w:val="auto"/>
        </w:rPr>
      </w:pPr>
    </w:p>
    <w:p>
      <w:pPr>
        <w:ind w:firstLine="271"/>
        <w:spacing w:after="0" w:line="271" w:lineRule="auto"/>
        <w:tabs>
          <w:tab w:leader="none" w:pos="79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Award Holder by this Award are the services rendered by the Award Holder after and not before the grant of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8" w:lineRule="exact"/>
        <w:rPr>
          <w:sz w:val="20"/>
          <w:szCs w:val="20"/>
          <w:color w:val="auto"/>
        </w:rPr>
      </w:pPr>
    </w:p>
    <w:p>
      <w:pPr>
        <w:ind w:firstLine="237"/>
        <w:spacing w:after="0" w:line="271" w:lineRule="auto"/>
        <w:tabs>
          <w:tab w:leader="none" w:pos="7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Award has been granted as of the effective date set forth above at Los Angeles, California, and the interpretation, performance and enforcement of this Agreement shall be governed by the laws of the State of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Award Holder</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339090</wp:posOffset>
            </wp:positionV>
            <wp:extent cx="4011930" cy="574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4011930" cy="57467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2360" w:type="dxa"/>
        <w:tblCellMar>
          <w:top w:w="0" w:type="dxa"/>
          <w:left w:w="0" w:type="dxa"/>
          <w:bottom w:w="0" w:type="dxa"/>
          <w:right w:w="0" w:type="dxa"/>
        </w:tblCellMar>
      </w:tblPr>
      <w:tr>
        <w:trPr>
          <w:trHeight w:val="260"/>
        </w:trPr>
        <w:tc>
          <w:tcPr>
            <w:tcW w:w="1000" w:type="dxa"/>
            <w:vAlign w:val="bottom"/>
            <w:tcBorders>
              <w:right w:val="single" w:sz="8" w:color="8EA9DB"/>
            </w:tcBorders>
          </w:tcPr>
          <w:p>
            <w:pPr>
              <w:spacing w:after="0"/>
              <w:rPr>
                <w:sz w:val="22"/>
                <w:szCs w:val="22"/>
                <w:color w:val="auto"/>
              </w:rPr>
            </w:pPr>
          </w:p>
        </w:tc>
        <w:tc>
          <w:tcPr>
            <w:tcW w:w="1440" w:type="dxa"/>
            <w:vAlign w:val="bottom"/>
            <w:shd w:val="clear" w:color="auto" w:fill="8EA9DB"/>
          </w:tcPr>
          <w:p>
            <w:pPr>
              <w:spacing w:after="0"/>
              <w:rPr>
                <w:sz w:val="22"/>
                <w:szCs w:val="22"/>
                <w:color w:val="auto"/>
              </w:rPr>
            </w:pPr>
          </w:p>
        </w:tc>
        <w:tc>
          <w:tcPr>
            <w:tcW w:w="2560" w:type="dxa"/>
            <w:vAlign w:val="bottom"/>
            <w:tcBorders>
              <w:right w:val="single" w:sz="8" w:color="8EA9DB"/>
            </w:tcBorders>
            <w:shd w:val="clear" w:color="auto" w:fill="8EA9DB"/>
          </w:tcPr>
          <w:p>
            <w:pPr>
              <w:ind w:left="940"/>
              <w:spacing w:after="0"/>
              <w:rPr>
                <w:sz w:val="20"/>
                <w:szCs w:val="20"/>
                <w:color w:val="auto"/>
              </w:rPr>
            </w:pPr>
            <w:r>
              <w:rPr>
                <w:rFonts w:ascii="Arial" w:cs="Arial" w:eastAsia="Arial" w:hAnsi="Arial"/>
                <w:sz w:val="18"/>
                <w:szCs w:val="18"/>
                <w:color w:val="auto"/>
              </w:rPr>
              <w:t>FY 202_ Revenue*</w:t>
            </w:r>
          </w:p>
        </w:tc>
        <w:tc>
          <w:tcPr>
            <w:tcW w:w="2280" w:type="dxa"/>
            <w:vAlign w:val="bottom"/>
            <w:shd w:val="clear" w:color="auto" w:fill="8EA9DB"/>
          </w:tcPr>
          <w:p>
            <w:pPr>
              <w:spacing w:after="0"/>
              <w:rPr>
                <w:sz w:val="22"/>
                <w:szCs w:val="22"/>
                <w:color w:val="auto"/>
              </w:rPr>
            </w:pPr>
          </w:p>
        </w:tc>
        <w:tc>
          <w:tcPr>
            <w:tcW w:w="20" w:type="dxa"/>
            <w:vAlign w:val="bottom"/>
          </w:tcPr>
          <w:p>
            <w:pPr>
              <w:spacing w:after="0"/>
              <w:rPr>
                <w:sz w:val="22"/>
                <w:szCs w:val="22"/>
                <w:color w:val="auto"/>
              </w:rPr>
            </w:pPr>
          </w:p>
        </w:tc>
      </w:tr>
      <w:tr>
        <w:trPr>
          <w:trHeight w:val="297"/>
        </w:trPr>
        <w:tc>
          <w:tcPr>
            <w:tcW w:w="1000" w:type="dxa"/>
            <w:vAlign w:val="bottom"/>
            <w:tcBorders>
              <w:right w:val="single" w:sz="8" w:color="8EA9DB"/>
            </w:tcBorders>
          </w:tcPr>
          <w:p>
            <w:pPr>
              <w:spacing w:after="0"/>
              <w:rPr>
                <w:sz w:val="24"/>
                <w:szCs w:val="24"/>
                <w:color w:val="auto"/>
              </w:rPr>
            </w:pPr>
          </w:p>
        </w:tc>
        <w:tc>
          <w:tcPr>
            <w:tcW w:w="1440" w:type="dxa"/>
            <w:vAlign w:val="bottom"/>
            <w:shd w:val="clear" w:color="auto" w:fill="8EA9DB"/>
          </w:tcPr>
          <w:p>
            <w:pPr>
              <w:spacing w:after="0"/>
              <w:rPr>
                <w:sz w:val="24"/>
                <w:szCs w:val="24"/>
                <w:color w:val="auto"/>
              </w:rPr>
            </w:pPr>
          </w:p>
        </w:tc>
        <w:tc>
          <w:tcPr>
            <w:tcW w:w="2560" w:type="dxa"/>
            <w:vAlign w:val="bottom"/>
            <w:tcBorders>
              <w:right w:val="single" w:sz="8" w:color="8EA9DB"/>
            </w:tcBorders>
            <w:shd w:val="clear" w:color="auto" w:fill="8EA9DB"/>
          </w:tcPr>
          <w:p>
            <w:pPr>
              <w:ind w:left="20"/>
              <w:spacing w:after="0"/>
              <w:rPr>
                <w:sz w:val="20"/>
                <w:szCs w:val="20"/>
                <w:color w:val="auto"/>
              </w:rPr>
            </w:pPr>
            <w:r>
              <w:rPr>
                <w:rFonts w:ascii="Arial" w:cs="Arial" w:eastAsia="Arial" w:hAnsi="Arial"/>
                <w:sz w:val="18"/>
                <w:szCs w:val="18"/>
                <w:color w:val="auto"/>
              </w:rPr>
              <w:t>Performance</w:t>
            </w:r>
          </w:p>
        </w:tc>
        <w:tc>
          <w:tcPr>
            <w:tcW w:w="2280" w:type="dxa"/>
            <w:vAlign w:val="bottom"/>
            <w:shd w:val="clear" w:color="auto" w:fill="8EA9DB"/>
          </w:tcPr>
          <w:p>
            <w:pPr>
              <w:spacing w:after="0"/>
              <w:rPr>
                <w:sz w:val="24"/>
                <w:szCs w:val="24"/>
                <w:color w:val="auto"/>
              </w:rPr>
            </w:pPr>
          </w:p>
        </w:tc>
        <w:tc>
          <w:tcPr>
            <w:tcW w:w="20" w:type="dxa"/>
            <w:vAlign w:val="bottom"/>
          </w:tcPr>
          <w:p>
            <w:pPr>
              <w:spacing w:after="0"/>
              <w:rPr>
                <w:sz w:val="24"/>
                <w:szCs w:val="24"/>
                <w:color w:val="auto"/>
              </w:rPr>
            </w:pPr>
          </w:p>
        </w:tc>
      </w:tr>
      <w:tr>
        <w:trPr>
          <w:trHeight w:val="334"/>
        </w:trPr>
        <w:tc>
          <w:tcPr>
            <w:tcW w:w="1000" w:type="dxa"/>
            <w:vAlign w:val="bottom"/>
            <w:tcBorders>
              <w:right w:val="single" w:sz="8" w:color="8EA9DB"/>
            </w:tcBorders>
          </w:tcPr>
          <w:p>
            <w:pPr>
              <w:spacing w:after="0"/>
              <w:rPr>
                <w:sz w:val="24"/>
                <w:szCs w:val="24"/>
                <w:color w:val="auto"/>
              </w:rPr>
            </w:pPr>
          </w:p>
        </w:tc>
        <w:tc>
          <w:tcPr>
            <w:tcW w:w="1440" w:type="dxa"/>
            <w:vAlign w:val="bottom"/>
            <w:tcBorders>
              <w:bottom w:val="single" w:sz="8" w:color="8EA9DB"/>
            </w:tcBorders>
            <w:shd w:val="clear" w:color="auto" w:fill="8EA9DB"/>
          </w:tcPr>
          <w:p>
            <w:pPr>
              <w:jc w:val="center"/>
              <w:ind w:left="63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8EA9DB"/>
              <w:right w:val="single" w:sz="8" w:color="8EA9DB"/>
            </w:tcBorders>
            <w:shd w:val="clear" w:color="auto" w:fill="8EA9DB"/>
          </w:tcPr>
          <w:p>
            <w:pPr>
              <w:jc w:val="center"/>
              <w:ind w:left="610"/>
              <w:spacing w:after="0"/>
              <w:rPr>
                <w:sz w:val="20"/>
                <w:szCs w:val="20"/>
                <w:color w:val="auto"/>
              </w:rPr>
            </w:pPr>
            <w:r>
              <w:rPr>
                <w:rFonts w:ascii="Arial" w:cs="Arial" w:eastAsia="Arial" w:hAnsi="Arial"/>
                <w:sz w:val="18"/>
                <w:szCs w:val="18"/>
                <w:color w:val="auto"/>
              </w:rPr>
              <w:t>$M</w:t>
            </w:r>
          </w:p>
        </w:tc>
        <w:tc>
          <w:tcPr>
            <w:tcW w:w="2280" w:type="dxa"/>
            <w:vAlign w:val="bottom"/>
            <w:tcBorders>
              <w:bottom w:val="single" w:sz="8" w:color="8EA9DB"/>
            </w:tcBorders>
            <w:shd w:val="clear" w:color="auto" w:fill="8EA9DB"/>
          </w:tcPr>
          <w:p>
            <w:pPr>
              <w:ind w:left="840"/>
              <w:spacing w:after="0"/>
              <w:rPr>
                <w:sz w:val="20"/>
                <w:szCs w:val="20"/>
                <w:color w:val="auto"/>
              </w:rPr>
            </w:pPr>
            <w:r>
              <w:rPr>
                <w:rFonts w:ascii="Arial" w:cs="Arial" w:eastAsia="Arial" w:hAnsi="Arial"/>
                <w:sz w:val="18"/>
                <w:szCs w:val="18"/>
                <w:color w:val="auto"/>
              </w:rPr>
              <w:t>Vesting</w:t>
            </w:r>
          </w:p>
        </w:tc>
        <w:tc>
          <w:tcPr>
            <w:tcW w:w="20" w:type="dxa"/>
            <w:vAlign w:val="bottom"/>
          </w:tcPr>
          <w:p>
            <w:pPr>
              <w:spacing w:after="0"/>
              <w:rPr>
                <w:sz w:val="24"/>
                <w:szCs w:val="24"/>
                <w:color w:val="auto"/>
              </w:rPr>
            </w:pPr>
          </w:p>
        </w:tc>
      </w:tr>
      <w:tr>
        <w:trPr>
          <w:trHeight w:val="240"/>
        </w:trPr>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Maximum</w:t>
            </w:r>
          </w:p>
        </w:tc>
        <w:tc>
          <w:tcPr>
            <w:tcW w:w="144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color w:val="auto"/>
                <w:w w:val="98"/>
              </w:rPr>
              <w:t>xxx.x%</w:t>
            </w:r>
          </w:p>
        </w:tc>
        <w:tc>
          <w:tcPr>
            <w:tcW w:w="2560" w:type="dxa"/>
            <w:vAlign w:val="bottom"/>
            <w:tcBorders>
              <w:top w:val="single" w:sz="8" w:color="auto"/>
              <w:right w:val="single" w:sz="8" w:color="auto"/>
            </w:tcBorders>
          </w:tcPr>
          <w:p>
            <w:pPr>
              <w:jc w:val="center"/>
              <w:ind w:left="610"/>
              <w:spacing w:after="0"/>
              <w:rPr>
                <w:sz w:val="20"/>
                <w:szCs w:val="20"/>
                <w:color w:val="auto"/>
              </w:rPr>
            </w:pPr>
            <w:r>
              <w:rPr>
                <w:rFonts w:ascii="Arial" w:cs="Arial" w:eastAsia="Arial" w:hAnsi="Arial"/>
                <w:sz w:val="18"/>
                <w:szCs w:val="18"/>
                <w:color w:val="auto"/>
              </w:rPr>
              <w:t>$xxx</w:t>
            </w: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200%</w:t>
            </w:r>
          </w:p>
        </w:tc>
        <w:tc>
          <w:tcPr>
            <w:tcW w:w="20" w:type="dxa"/>
            <w:vAlign w:val="bottom"/>
            <w:tcBorders>
              <w:top w:val="single" w:sz="8" w:color="auto"/>
            </w:tcBorders>
            <w:shd w:val="clear" w:color="auto" w:fill="000000"/>
          </w:tcPr>
          <w:p>
            <w:pPr>
              <w:spacing w:after="0"/>
              <w:rPr>
                <w:sz w:val="20"/>
                <w:szCs w:val="20"/>
                <w:color w:val="auto"/>
              </w:rPr>
            </w:pPr>
          </w:p>
        </w:tc>
      </w:tr>
      <w:tr>
        <w:trPr>
          <w:trHeight w:val="283"/>
        </w:trPr>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Target</w:t>
            </w:r>
          </w:p>
        </w:tc>
        <w:tc>
          <w:tcPr>
            <w:tcW w:w="1440" w:type="dxa"/>
            <w:vAlign w:val="bottom"/>
          </w:tcPr>
          <w:p>
            <w:pPr>
              <w:jc w:val="center"/>
              <w:ind w:left="630"/>
              <w:spacing w:after="0"/>
              <w:rPr>
                <w:sz w:val="20"/>
                <w:szCs w:val="20"/>
                <w:color w:val="auto"/>
              </w:rPr>
            </w:pPr>
            <w:r>
              <w:rPr>
                <w:rFonts w:ascii="Arial" w:cs="Arial" w:eastAsia="Arial" w:hAnsi="Arial"/>
                <w:sz w:val="18"/>
                <w:szCs w:val="18"/>
                <w:color w:val="auto"/>
                <w:w w:val="98"/>
              </w:rPr>
              <w:t>xxx.x%</w:t>
            </w:r>
          </w:p>
        </w:tc>
        <w:tc>
          <w:tcPr>
            <w:tcW w:w="2560" w:type="dxa"/>
            <w:vAlign w:val="bottom"/>
            <w:tcBorders>
              <w:right w:val="single" w:sz="8" w:color="auto"/>
            </w:tcBorders>
          </w:tcPr>
          <w:p>
            <w:pPr>
              <w:jc w:val="center"/>
              <w:ind w:left="610"/>
              <w:spacing w:after="0"/>
              <w:rPr>
                <w:sz w:val="20"/>
                <w:szCs w:val="20"/>
                <w:color w:val="auto"/>
              </w:rPr>
            </w:pPr>
            <w:r>
              <w:rPr>
                <w:rFonts w:ascii="Arial" w:cs="Arial" w:eastAsia="Arial" w:hAnsi="Arial"/>
                <w:sz w:val="18"/>
                <w:szCs w:val="18"/>
                <w:color w:val="auto"/>
              </w:rPr>
              <w:t>$xxx</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0" w:type="dxa"/>
            <w:vAlign w:val="bottom"/>
            <w:shd w:val="clear" w:color="auto" w:fill="000000"/>
          </w:tcPr>
          <w:p>
            <w:pPr>
              <w:spacing w:after="0"/>
              <w:rPr>
                <w:sz w:val="24"/>
                <w:szCs w:val="24"/>
                <w:color w:val="auto"/>
              </w:rPr>
            </w:pPr>
          </w:p>
        </w:tc>
      </w:tr>
      <w:tr>
        <w:trPr>
          <w:trHeight w:val="283"/>
        </w:trPr>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Threshold</w:t>
            </w:r>
          </w:p>
        </w:tc>
        <w:tc>
          <w:tcPr>
            <w:tcW w:w="1440" w:type="dxa"/>
            <w:vAlign w:val="bottom"/>
          </w:tcPr>
          <w:p>
            <w:pPr>
              <w:jc w:val="center"/>
              <w:ind w:left="630"/>
              <w:spacing w:after="0"/>
              <w:rPr>
                <w:sz w:val="20"/>
                <w:szCs w:val="20"/>
                <w:color w:val="auto"/>
              </w:rPr>
            </w:pPr>
            <w:r>
              <w:rPr>
                <w:rFonts w:ascii="Arial" w:cs="Arial" w:eastAsia="Arial" w:hAnsi="Arial"/>
                <w:sz w:val="18"/>
                <w:szCs w:val="18"/>
                <w:color w:val="auto"/>
                <w:w w:val="98"/>
              </w:rPr>
              <w:t>xxx.x%</w:t>
            </w:r>
          </w:p>
        </w:tc>
        <w:tc>
          <w:tcPr>
            <w:tcW w:w="2560" w:type="dxa"/>
            <w:vAlign w:val="bottom"/>
            <w:tcBorders>
              <w:right w:val="single" w:sz="8" w:color="auto"/>
            </w:tcBorders>
          </w:tcPr>
          <w:p>
            <w:pPr>
              <w:jc w:val="center"/>
              <w:ind w:left="610"/>
              <w:spacing w:after="0"/>
              <w:rPr>
                <w:sz w:val="20"/>
                <w:szCs w:val="20"/>
                <w:color w:val="auto"/>
              </w:rPr>
            </w:pPr>
            <w:r>
              <w:rPr>
                <w:rFonts w:ascii="Arial" w:cs="Arial" w:eastAsia="Arial" w:hAnsi="Arial"/>
                <w:sz w:val="18"/>
                <w:szCs w:val="18"/>
                <w:color w:val="auto"/>
              </w:rPr>
              <w:t>$xxx</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20" w:type="dxa"/>
            <w:vAlign w:val="bottom"/>
            <w:shd w:val="clear" w:color="auto" w:fill="000000"/>
          </w:tcPr>
          <w:p>
            <w:pPr>
              <w:spacing w:after="0"/>
              <w:rPr>
                <w:sz w:val="24"/>
                <w:szCs w:val="24"/>
                <w:color w:val="auto"/>
              </w:rPr>
            </w:pPr>
          </w:p>
        </w:tc>
      </w:tr>
      <w:tr>
        <w:trPr>
          <w:trHeight w:val="284"/>
        </w:trPr>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7"/>
              </w:rPr>
              <w:t>&lt;Threshold</w:t>
            </w:r>
          </w:p>
        </w:tc>
        <w:tc>
          <w:tcPr>
            <w:tcW w:w="1440" w:type="dxa"/>
            <w:vAlign w:val="bottom"/>
          </w:tcPr>
          <w:p>
            <w:pPr>
              <w:jc w:val="center"/>
              <w:ind w:left="630"/>
              <w:spacing w:after="0"/>
              <w:rPr>
                <w:sz w:val="20"/>
                <w:szCs w:val="20"/>
                <w:color w:val="auto"/>
              </w:rPr>
            </w:pPr>
            <w:r>
              <w:rPr>
                <w:rFonts w:ascii="Arial" w:cs="Arial" w:eastAsia="Arial" w:hAnsi="Arial"/>
                <w:sz w:val="18"/>
                <w:szCs w:val="18"/>
                <w:color w:val="auto"/>
              </w:rPr>
              <w:t>&lt;xxx.x%</w:t>
            </w:r>
          </w:p>
        </w:tc>
        <w:tc>
          <w:tcPr>
            <w:tcW w:w="2560" w:type="dxa"/>
            <w:vAlign w:val="bottom"/>
            <w:tcBorders>
              <w:right w:val="single" w:sz="8" w:color="auto"/>
            </w:tcBorders>
          </w:tcPr>
          <w:p>
            <w:pPr>
              <w:jc w:val="center"/>
              <w:ind w:left="610"/>
              <w:spacing w:after="0"/>
              <w:rPr>
                <w:sz w:val="20"/>
                <w:szCs w:val="20"/>
                <w:color w:val="auto"/>
              </w:rPr>
            </w:pPr>
            <w:r>
              <w:rPr>
                <w:rFonts w:ascii="Arial" w:cs="Arial" w:eastAsia="Arial" w:hAnsi="Arial"/>
                <w:sz w:val="18"/>
                <w:szCs w:val="18"/>
                <w:color w:val="auto"/>
                <w:w w:val="96"/>
              </w:rPr>
              <w:t>&lt;$xxx</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shd w:val="clear" w:color="auto" w:fill="000000"/>
          </w:tcPr>
          <w:p>
            <w:pPr>
              <w:spacing w:after="0"/>
              <w:rPr>
                <w:sz w:val="24"/>
                <w:szCs w:val="24"/>
                <w:color w:val="auto"/>
              </w:rPr>
            </w:pPr>
          </w:p>
        </w:tc>
      </w:tr>
      <w:tr>
        <w:trPr>
          <w:trHeight w:val="36"/>
        </w:trPr>
        <w:tc>
          <w:tcPr>
            <w:tcW w:w="1000" w:type="dxa"/>
            <w:vAlign w:val="bottom"/>
            <w:tcBorders>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bl>
    <w:p>
      <w:pPr>
        <w:spacing w:after="0" w:line="8"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*Interpolation between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10.8</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RESTRICTED STOCK UNIT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(NQDCP Participants)</w:t>
      </w:r>
    </w:p>
    <w:p>
      <w:pPr>
        <w:spacing w:after="0" w:line="200" w:lineRule="exact"/>
        <w:rPr>
          <w:sz w:val="20"/>
          <w:szCs w:val="20"/>
          <w:color w:val="auto"/>
        </w:rPr>
      </w:pPr>
    </w:p>
    <w:p>
      <w:pPr>
        <w:spacing w:after="0" w:line="29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This restricted stock unit agreement is made as of May __,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between Ducommun Incorporated,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and __________ (“</w:t>
      </w:r>
      <w:r>
        <w:rPr>
          <w:rFonts w:ascii="Times New Roman" w:cs="Times New Roman" w:eastAsia="Times New Roman" w:hAnsi="Times New Roman"/>
          <w:sz w:val="22"/>
          <w:szCs w:val="22"/>
          <w:u w:val="single" w:color="auto"/>
          <w:color w:val="auto"/>
        </w:rPr>
        <w:t>Award Holder</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restricted stock unit agreement is pursuant to the 2024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216" w:lineRule="exact"/>
        <w:rPr>
          <w:sz w:val="20"/>
          <w:szCs w:val="20"/>
          <w:color w:val="auto"/>
        </w:rPr>
      </w:pPr>
    </w:p>
    <w:p>
      <w:pPr>
        <w:jc w:val="both"/>
        <w:ind w:right="20" w:firstLine="656"/>
        <w:spacing w:after="0" w:line="265" w:lineRule="auto"/>
        <w:tabs>
          <w:tab w:leader="none" w:pos="102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xml:space="preserve">. The Corporation hereby grants to the Award Holder an award (the “Award”) of </w:t>
      </w:r>
      <w:r>
        <w:rPr>
          <w:rFonts w:ascii="Times New Roman" w:cs="Times New Roman" w:eastAsia="Times New Roman" w:hAnsi="Times New Roman"/>
          <w:sz w:val="22"/>
          <w:szCs w:val="22"/>
          <w:b w:val="1"/>
          <w:bCs w:val="1"/>
          <w:u w:val="single" w:color="auto"/>
          <w:color w:val="auto"/>
        </w:rPr>
        <w:t>x,xxx</w:t>
      </w:r>
      <w:r>
        <w:rPr>
          <w:rFonts w:ascii="Times New Roman" w:cs="Times New Roman" w:eastAsia="Times New Roman" w:hAnsi="Times New Roman"/>
          <w:sz w:val="22"/>
          <w:szCs w:val="22"/>
          <w:color w:val="auto"/>
        </w:rPr>
        <w:t xml:space="preserve"> restricted stock units (the “Restricted Stock Units”), subject to certain adjustments as described herein. Each restricted stock unit represents the right to receive one share of Common Stock, subject to the conditions set forth in this restricted stock unit agreement and the Plan.</w:t>
      </w:r>
    </w:p>
    <w:p>
      <w:pPr>
        <w:spacing w:after="0" w:line="165" w:lineRule="exact"/>
        <w:rPr>
          <w:rFonts w:ascii="Times New Roman" w:cs="Times New Roman" w:eastAsia="Times New Roman" w:hAnsi="Times New Roman"/>
          <w:sz w:val="22"/>
          <w:szCs w:val="22"/>
          <w:color w:val="auto"/>
        </w:rPr>
      </w:pPr>
    </w:p>
    <w:p>
      <w:pPr>
        <w:jc w:val="both"/>
        <w:ind w:firstLine="656"/>
        <w:spacing w:after="0" w:line="257" w:lineRule="auto"/>
        <w:tabs>
          <w:tab w:leader="none" w:pos="105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restricted stock unit agreement, shall have the meanings set forth in this Section 2.</w:t>
      </w:r>
    </w:p>
    <w:p>
      <w:pPr>
        <w:spacing w:after="0" w:line="173" w:lineRule="exact"/>
        <w:rPr>
          <w:sz w:val="20"/>
          <w:szCs w:val="20"/>
          <w:color w:val="auto"/>
        </w:rPr>
      </w:pPr>
    </w:p>
    <w:p>
      <w:pPr>
        <w:ind w:left="660" w:right="20" w:hanging="134"/>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$.01 par value, of the Corporation or such other class of shares or other securities as may be applicable pursuant to the provisions of Section 7 of this restricted stock unit agreement.</w:t>
      </w:r>
    </w:p>
    <w:p>
      <w:pPr>
        <w:spacing w:after="0" w:line="144" w:lineRule="exact"/>
        <w:rPr>
          <w:sz w:val="20"/>
          <w:szCs w:val="20"/>
          <w:color w:val="auto"/>
        </w:rPr>
      </w:pPr>
    </w:p>
    <w:p>
      <w:pPr>
        <w:jc w:val="both"/>
        <w:ind w:left="660" w:hanging="53"/>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173" w:lineRule="exact"/>
        <w:rPr>
          <w:sz w:val="20"/>
          <w:szCs w:val="20"/>
          <w:color w:val="auto"/>
        </w:rPr>
      </w:pPr>
    </w:p>
    <w:p>
      <w:pPr>
        <w:ind w:left="660" w:hanging="134"/>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of Directors of the Corporation, or if there is no such committee acting, the Board of Directors of the Corporation.</w:t>
      </w:r>
    </w:p>
    <w:p>
      <w:pPr>
        <w:spacing w:after="0" w:line="171" w:lineRule="exact"/>
        <w:rPr>
          <w:sz w:val="20"/>
          <w:szCs w:val="20"/>
          <w:color w:val="auto"/>
        </w:rPr>
      </w:pPr>
    </w:p>
    <w:p>
      <w:pPr>
        <w:jc w:val="both"/>
        <w:ind w:firstLine="231"/>
        <w:spacing w:after="0" w:line="257" w:lineRule="auto"/>
        <w:tabs>
          <w:tab w:leader="none" w:pos="60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Provided that the Award Holder has remained in the employ of the Corporation and/or its Subsidiaries throughout the period from the Effective Date until May __, 202_, one-third of the Restricted Stock Units shall vest on May __, 202_ (the “</w:t>
      </w:r>
      <w:r>
        <w:rPr>
          <w:rFonts w:ascii="Times New Roman" w:cs="Times New Roman" w:eastAsia="Times New Roman" w:hAnsi="Times New Roman"/>
          <w:sz w:val="22"/>
          <w:szCs w:val="22"/>
          <w:u w:val="single" w:color="auto"/>
          <w:color w:val="auto"/>
        </w:rPr>
        <w:t>First Vesting Date</w:t>
      </w:r>
      <w:r>
        <w:rPr>
          <w:rFonts w:ascii="Times New Roman" w:cs="Times New Roman" w:eastAsia="Times New Roman" w:hAnsi="Times New Roman"/>
          <w:sz w:val="22"/>
          <w:szCs w:val="22"/>
          <w:color w:val="auto"/>
        </w:rPr>
        <w:t>”). Provided that the Award Holder has remained in the employ of the Corporation and/or</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its Subsidiaries throughout the period from the Effective Date until May __, 202_, an additional one-third of the Restricted Stock Units shall vest on May __, 202_ (the “</w:t>
      </w:r>
      <w:r>
        <w:rPr>
          <w:rFonts w:ascii="Times New Roman" w:cs="Times New Roman" w:eastAsia="Times New Roman" w:hAnsi="Times New Roman"/>
          <w:sz w:val="22"/>
          <w:szCs w:val="22"/>
          <w:u w:val="single" w:color="auto"/>
          <w:color w:val="auto"/>
        </w:rPr>
        <w:t>Second Vesting Date</w:t>
      </w:r>
      <w:r>
        <w:rPr>
          <w:rFonts w:ascii="Times New Roman" w:cs="Times New Roman" w:eastAsia="Times New Roman" w:hAnsi="Times New Roman"/>
          <w:sz w:val="22"/>
          <w:szCs w:val="22"/>
          <w:color w:val="auto"/>
        </w:rPr>
        <w:t>”). Provided that the Award Holder has remained in the employ of the Corporation and/or its Subsidiaries throughout the period from the Effective Date until May __, 202_, an additional one-third of the Restricted Stock Units shall vest on May __, 202_ (the “</w:t>
      </w:r>
      <w:r>
        <w:rPr>
          <w:rFonts w:ascii="Times New Roman" w:cs="Times New Roman" w:eastAsia="Times New Roman" w:hAnsi="Times New Roman"/>
          <w:sz w:val="22"/>
          <w:szCs w:val="22"/>
          <w:u w:val="single" w:color="auto"/>
          <w:color w:val="auto"/>
        </w:rPr>
        <w:t>Third Vesting Date</w:t>
      </w:r>
      <w:r>
        <w:rPr>
          <w:rFonts w:ascii="Times New Roman" w:cs="Times New Roman" w:eastAsia="Times New Roman" w:hAnsi="Times New Roman"/>
          <w:sz w:val="22"/>
          <w:szCs w:val="22"/>
          <w:color w:val="auto"/>
        </w:rPr>
        <w:t>”). The First Vesting Date, the Second Vesting Date and the Third Vesting Date are each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for the Restricted Stock Units that vest on such date. Restricted Stock Units that have vested and are no longer subject to a substantial risk of forfeiture are referred to herein as “</w:t>
      </w:r>
      <w:r>
        <w:rPr>
          <w:rFonts w:ascii="Times New Roman" w:cs="Times New Roman" w:eastAsia="Times New Roman" w:hAnsi="Times New Roman"/>
          <w:sz w:val="22"/>
          <w:szCs w:val="22"/>
          <w:u w:val="single" w:color="auto"/>
          <w:color w:val="auto"/>
        </w:rPr>
        <w:t>Vested Units</w:t>
      </w:r>
      <w:r>
        <w:rPr>
          <w:rFonts w:ascii="Times New Roman" w:cs="Times New Roman" w:eastAsia="Times New Roman" w:hAnsi="Times New Roman"/>
          <w:sz w:val="22"/>
          <w:szCs w:val="22"/>
          <w:color w:val="auto"/>
        </w:rPr>
        <w:t>.” Restricted Stock Units that are not vested and remain subject to a substantial risk of forfeiture are referred to herein as “</w:t>
      </w:r>
      <w:r>
        <w:rPr>
          <w:rFonts w:ascii="Times New Roman" w:cs="Times New Roman" w:eastAsia="Times New Roman" w:hAnsi="Times New Roman"/>
          <w:sz w:val="22"/>
          <w:szCs w:val="22"/>
          <w:u w:val="single" w:color="auto"/>
          <w:color w:val="auto"/>
        </w:rPr>
        <w:t>Unvested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w:t>
      </w:r>
    </w:p>
    <w:p>
      <w:pPr>
        <w:spacing w:after="0" w:line="7" w:lineRule="exact"/>
        <w:rPr>
          <w:sz w:val="20"/>
          <w:szCs w:val="20"/>
          <w:color w:val="auto"/>
        </w:rPr>
      </w:pPr>
    </w:p>
    <w:p>
      <w:pPr>
        <w:jc w:val="both"/>
        <w:ind w:firstLine="656"/>
        <w:spacing w:after="0" w:line="246" w:lineRule="auto"/>
        <w:tabs>
          <w:tab w:leader="none" w:pos="112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Vested Units</w:t>
      </w:r>
      <w:r>
        <w:rPr>
          <w:rFonts w:ascii="Times New Roman" w:cs="Times New Roman" w:eastAsia="Times New Roman" w:hAnsi="Times New Roman"/>
          <w:sz w:val="22"/>
          <w:szCs w:val="22"/>
          <w:color w:val="auto"/>
        </w:rPr>
        <w:t>. Upon the vesting of all or a portion of the Award, one share of Common Stock shall be issuable for each Vested Unit (the “</w:t>
      </w:r>
      <w:r>
        <w:rPr>
          <w:rFonts w:ascii="Times New Roman" w:cs="Times New Roman" w:eastAsia="Times New Roman" w:hAnsi="Times New Roman"/>
          <w:sz w:val="22"/>
          <w:szCs w:val="22"/>
          <w:u w:val="single" w:color="auto"/>
          <w:color w:val="auto"/>
        </w:rPr>
        <w:t>RSU Shares</w:t>
      </w:r>
      <w:r>
        <w:rPr>
          <w:rFonts w:ascii="Times New Roman" w:cs="Times New Roman" w:eastAsia="Times New Roman" w:hAnsi="Times New Roman"/>
          <w:sz w:val="22"/>
          <w:szCs w:val="22"/>
          <w:color w:val="auto"/>
        </w:rPr>
        <w:t>”). Thereafter, the Corporation will transfer such RSU Shares to the Award Holder no later than March 15th of the calendar year after the applicable Vesting Date, subject to the satisfaction of any required tax withholding obligations, securities law registration or other requirements, and applicable stock exchange listing. No fractional shares shall be issued with respect to the Award. The Award Holder shall not acquire or have any rights as a shareholder of the Corporation by virtue of this restricted stock unit agreement (or the Award evidenced hereby) until the certificates representing shares of Common Stock issuable pursuant to this Award are actually issued and delivered to the Award Holder in accordance with the terms of the Plan and this restricted stock unit agreement. Notwithstanding the foregoing, the Award Holder may elect, on a form and in a manner prescribed by the Corporation, to defer any payment of Vested Units, provided that any such deferral of payment must comply with any applicable requirements of Section 409A of the Code.</w:t>
      </w:r>
    </w:p>
    <w:p>
      <w:pPr>
        <w:spacing w:after="0" w:line="190" w:lineRule="exact"/>
        <w:rPr>
          <w:rFonts w:ascii="Times New Roman" w:cs="Times New Roman" w:eastAsia="Times New Roman" w:hAnsi="Times New Roman"/>
          <w:sz w:val="22"/>
          <w:szCs w:val="22"/>
          <w:color w:val="auto"/>
        </w:rPr>
      </w:pPr>
    </w:p>
    <w:p>
      <w:pPr>
        <w:jc w:val="both"/>
        <w:ind w:firstLine="8"/>
        <w:spacing w:after="0" w:line="260" w:lineRule="auto"/>
        <w:tabs>
          <w:tab w:leader="none" w:pos="40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If the Award Holder’s employment with the Corporation or a Subsidiary terminates at any time for any reason prior to the Vesting Date, except as provided in this Section 5 or as determined by the Committee in its sole and absolute discretion, the Unvested Units will be forfeited and cancelled and surrendered to the Corporation without payment of any consideration, effective on the date of the Award Holder’s termination of employment. Upon the termination of the Award Holder’s employment with the Corporation or a Subsidiary as a result of death or “permanent disability” (as defined herein) the Restricted Stock Units shall become fully vested on the date of such death or “permanent disability” and such Vested Units shall be settled into shares of Common Stock as soon as practicable following the Award Holder’s termination of employment but in no event later than sixty (60) days after such termination. As used herein, the term “</w:t>
      </w:r>
      <w:r>
        <w:rPr>
          <w:rFonts w:ascii="Times New Roman" w:cs="Times New Roman" w:eastAsia="Times New Roman" w:hAnsi="Times New Roman"/>
          <w:sz w:val="21"/>
          <w:szCs w:val="21"/>
          <w:u w:val="single" w:color="auto"/>
          <w:color w:val="auto"/>
        </w:rPr>
        <w:t>permanent disability</w:t>
      </w:r>
      <w:r>
        <w:rPr>
          <w:rFonts w:ascii="Times New Roman" w:cs="Times New Roman" w:eastAsia="Times New Roman" w:hAnsi="Times New Roman"/>
          <w:sz w:val="21"/>
          <w:szCs w:val="21"/>
          <w:color w:val="auto"/>
        </w:rPr>
        <w:t>” shall mean the date on which the Award Holder has not worked or been able to work due to physical or mental incapacity for a period of one hundred eighty (180) consecutive days. Upon the termination of the Award Holder’s employment with the Corporation or a Subsidiary as a result of “retirement” (as defined herein) the Restricted Stock Units shall become fully vested and shall be settled into shares of Common Stock within sixty (60) days following the Vesting Date originally applicable thereto for each and every outstanding Award. As used herein, the term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shall mean the Award Holder’s termination of employment with the Corporation or a Subsidiary, when either (x) the Award Holder is sixty-five (65) or more years of age, or (y) the Award Holder is sixty</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98" w:lineRule="exact"/>
        <w:rPr>
          <w:sz w:val="20"/>
          <w:szCs w:val="20"/>
          <w:color w:val="auto"/>
        </w:rPr>
      </w:pPr>
    </w:p>
    <w:p>
      <w:pPr>
        <w:jc w:val="both"/>
        <w:ind w:left="87" w:firstLine="8"/>
        <w:spacing w:after="0" w:line="249" w:lineRule="auto"/>
        <w:tabs>
          <w:tab w:leader="none" w:pos="50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more years of age and has completed at least five (5) years of service with the Corporation or a Subsidiary. To the extent any payment hereunder is considered nonqualified deferred compensation subject to Section 409A of the Code, all such payments and settlements shall be made in compliance with Section 409A of the Code and a termination of employment shall not be deemed to have occurred for purposes of any payments contingent thereon unless such termination is also a “</w:t>
      </w:r>
      <w:r>
        <w:rPr>
          <w:rFonts w:ascii="Times New Roman" w:cs="Times New Roman" w:eastAsia="Times New Roman" w:hAnsi="Times New Roman"/>
          <w:sz w:val="22"/>
          <w:szCs w:val="22"/>
          <w:u w:val="single" w:color="auto"/>
          <w:color w:val="auto"/>
        </w:rPr>
        <w:t>separation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within the meaning of Section 409A of the Code. In addition, if the Award Holder is deemed at the time of such separation from service to be a specified employee (within the meaning of Section 409A of the Code) and such delayed commencement is otherwise required in order to avoid a prohibited distribution under Section 409A(a)(2) of the Code, any payment or benefit hereunder that is deemed to constitute nonqualified deferred compensation shall be delayed and paid, without interest, on the earlier of (i) the first day of the seventh month following the date of such Award Holder’s separation from service or (ii) the date of the Award Holder’s death.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7" w:hanging="372"/>
        <w:spacing w:after="0"/>
        <w:tabs>
          <w:tab w:leader="none" w:pos="46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p>
    <w:p>
      <w:pPr>
        <w:spacing w:after="0" w:line="220" w:lineRule="exact"/>
        <w:rPr>
          <w:sz w:val="20"/>
          <w:szCs w:val="20"/>
          <w:color w:val="auto"/>
        </w:rPr>
      </w:pPr>
    </w:p>
    <w:p>
      <w:pPr>
        <w:jc w:val="both"/>
        <w:ind w:left="87" w:hanging="19"/>
        <w:spacing w:after="0" w:line="251" w:lineRule="auto"/>
        <w:tabs>
          <w:tab w:leader="none" w:pos="58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outstanding shares of Common Stock of the Corporation are increased, decreased, changed into or exchanged for a different number or kind of shares or securities of the Corporation through recapitalization (other than the conversion of convertible securities according to their terms), reclassification, stock dividend, stock split or reverse stock split, an appropriate and proportionate adjustment shall be made, or if the Corporation shall spin-off, spin-out or otherwise distribute assets with respect to the outstanding shares of Common Stock of the Corporation, an appropriate and proportionate adjustment shall be made, in the number of restricted stock units subject to this Award.</w:t>
      </w:r>
    </w:p>
    <w:p>
      <w:pPr>
        <w:spacing w:after="0" w:line="181" w:lineRule="exact"/>
        <w:rPr>
          <w:rFonts w:ascii="Times New Roman" w:cs="Times New Roman" w:eastAsia="Times New Roman" w:hAnsi="Times New Roman"/>
          <w:sz w:val="22"/>
          <w:szCs w:val="22"/>
          <w:color w:val="auto"/>
        </w:rPr>
      </w:pPr>
    </w:p>
    <w:p>
      <w:pPr>
        <w:jc w:val="both"/>
        <w:ind w:left="87" w:hanging="87"/>
        <w:spacing w:after="0" w:line="250" w:lineRule="auto"/>
        <w:tabs>
          <w:tab w:leader="none" w:pos="55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dissolution or liquidation of the Corporation, or upon any merger, consolidation or reorganization of the Corporation with any other corporations or entities as a result of which the Corporation is not the surviving corporation, or upon the sale of all or substantially all of the assets of the Corporation or the acquisition of more than 80% of the stock of the Corporation by another corporation or entity, there shall be substituted for each of the shares of Common Stock then subject to this Award the number and kind of shares of stock, securities or other assets which would have been issuable or payable in respect of or in exchange for such Common Stock then subject to the Award, as if the Award Holder had been the owner of such shares as of the transaction date. Any securities so substituted shall be subject to similar successive adjustments.</w:t>
      </w:r>
    </w:p>
    <w:p>
      <w:pPr>
        <w:spacing w:after="0" w:line="194" w:lineRule="exact"/>
        <w:rPr>
          <w:sz w:val="20"/>
          <w:szCs w:val="20"/>
          <w:color w:val="auto"/>
        </w:rPr>
      </w:pPr>
    </w:p>
    <w:p>
      <w:pPr>
        <w:jc w:val="both"/>
        <w:ind w:left="87" w:firstLine="28"/>
        <w:spacing w:after="0" w:line="252" w:lineRule="auto"/>
        <w:tabs>
          <w:tab w:leader="none" w:pos="34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restricted stock unit agreement or in any other instrument executed pursuant thereto shall confer upon the Award Holder any right to continue in the employ of the Corporation or any Subsidiary of the Corporation or shall interfere in any way with the right of the Corporation or any such Subsidiary to at any time terminate the employment of the Award Holder with or without cause.</w:t>
      </w:r>
    </w:p>
    <w:p>
      <w:pPr>
        <w:spacing w:after="0" w:line="179" w:lineRule="exact"/>
        <w:rPr>
          <w:rFonts w:ascii="Times New Roman" w:cs="Times New Roman" w:eastAsia="Times New Roman" w:hAnsi="Times New Roman"/>
          <w:sz w:val="22"/>
          <w:szCs w:val="22"/>
          <w:color w:val="auto"/>
        </w:rPr>
      </w:pPr>
    </w:p>
    <w:p>
      <w:pPr>
        <w:ind w:left="87" w:firstLine="264"/>
        <w:spacing w:after="0" w:line="271" w:lineRule="auto"/>
        <w:tabs>
          <w:tab w:leader="none" w:pos="76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No shares issuable under this Award shall be issued or delivered unless and until, in the opinion of counsel for the Corporation, all applicable</w:t>
      </w:r>
    </w:p>
    <w:p>
      <w:pPr>
        <w:sectPr>
          <w:pgSz w:w="11900" w:h="16838" w:orient="portrait"/>
          <w:cols w:equalWidth="0" w:num="1">
            <w:col w:w="11327"/>
          </w:cols>
          <w:pgMar w:left="233" w:top="1440" w:right="339" w:bottom="1440" w:gutter="0" w:footer="0" w:header="0"/>
        </w:sectPr>
      </w:pPr>
    </w:p>
    <w:bookmarkStart w:id="91" w:name="page92"/>
    <w:bookmarkEnd w:id="91"/>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requirements of federal and state law and of the Securities and Exchange Commission pertaining to the issuance and sale of such shares and any applicable listing requirements of any national securities exchange on which shares of the same class are then listed, shall have been fully complied with. In connection with any such issuance or transfer, the person acquiring the shares shall, if requested by the Corporation, give assurances satisfactory to counsel to the Corporation in respect of such matters as the Corporation or any Subsidiary of the Corporation may deem desirable to assure compliance with all applicable legal requirements.</w:t>
      </w:r>
    </w:p>
    <w:p>
      <w:pPr>
        <w:spacing w:after="0" w:line="181" w:lineRule="exact"/>
        <w:rPr>
          <w:sz w:val="20"/>
          <w:szCs w:val="20"/>
          <w:color w:val="auto"/>
        </w:rPr>
      </w:pPr>
    </w:p>
    <w:p>
      <w:pPr>
        <w:jc w:val="both"/>
        <w:ind w:firstLine="251"/>
        <w:spacing w:after="0" w:line="256" w:lineRule="auto"/>
        <w:tabs>
          <w:tab w:leader="none" w:pos="64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Award Holder nor any beneficiary or other person claiming under or through the Award Holder shall have any right, title or interest in or to any shares of Common Stock allocated or reserved for the purpose of the Plan or subject to this Agreement except as to such shares of Common Stock, if any, as shall have been issued or transferred to such person.</w:t>
      </w:r>
    </w:p>
    <w:p>
      <w:pPr>
        <w:spacing w:after="0" w:line="176" w:lineRule="exact"/>
        <w:rPr>
          <w:rFonts w:ascii="Times New Roman" w:cs="Times New Roman" w:eastAsia="Times New Roman" w:hAnsi="Times New Roman"/>
          <w:sz w:val="22"/>
          <w:szCs w:val="22"/>
          <w:color w:val="auto"/>
        </w:rPr>
      </w:pPr>
    </w:p>
    <w:p>
      <w:pPr>
        <w:jc w:val="both"/>
        <w:ind w:firstLine="379"/>
        <w:spacing w:after="0" w:line="249" w:lineRule="auto"/>
        <w:tabs>
          <w:tab w:leader="none" w:pos="101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Corporation or any Subsidiary of the Corporation may make such provisions as it may deem appropriate for the withholding of any taxes which the Corporation or such Subsidiary determines it is required to withhold in connection with this restricted stock unit agreement and the transactions contemplated hereby, and the Corporation or any such Subsidiary may require the Award Holder to pay to the Corporation or such Subsidiary in cash any amount or amounts which may be required to be paid as withheld taxes in connection with any issuance of Common Stock pursuant to this Award or any other transaction contemplated hereby as a condition to the issuance of shares of the Common Stock, provided, however, that any amount withheld for taxes in connection with this Award may, at the election of the Award Holder, be paid with previously issued shares of Common Stock or the deduction of shares of Common Stock to be issued in connection with this Award.</w:t>
      </w:r>
    </w:p>
    <w:p>
      <w:pPr>
        <w:spacing w:after="0" w:line="182" w:lineRule="exact"/>
        <w:rPr>
          <w:sz w:val="20"/>
          <w:szCs w:val="20"/>
          <w:color w:val="auto"/>
        </w:rPr>
      </w:pPr>
    </w:p>
    <w:p>
      <w:pPr>
        <w:jc w:val="both"/>
        <w:ind w:firstLine="244"/>
        <w:spacing w:after="0" w:line="248" w:lineRule="auto"/>
        <w:tabs>
          <w:tab w:leader="none" w:pos="73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Neither this restricted stock unit agreement, nor this Award nor any other rights and privileges granted hereby shall be transferred, assigned, pledged or hypothecated in any way, whether by operation of law of descent and distribution. Upon any attempt to so transfer, assign, pledge, hypothecate or otherwise dispose of this restricted stock unit agreement, this Award or any other right or privilege granted hereby contrary to the provisions hereof, this restricted stock unit agreement, this Award and all of such rights and privileges shall immediately become null and void provided however, that the Award Holder may transfer an Award to any “</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(as such term is defined in Section A.1(a)(5) of the General Instructions to Form S-8 under the Securities Act of 1933, as amended (“</w:t>
      </w:r>
      <w:r>
        <w:rPr>
          <w:rFonts w:ascii="Times New Roman" w:cs="Times New Roman" w:eastAsia="Times New Roman" w:hAnsi="Times New Roman"/>
          <w:sz w:val="22"/>
          <w:szCs w:val="22"/>
          <w:u w:val="single" w:color="auto"/>
          <w:color w:val="auto"/>
        </w:rPr>
        <w:t>Form S-8</w:t>
      </w:r>
      <w:r>
        <w:rPr>
          <w:rFonts w:ascii="Times New Roman" w:cs="Times New Roman" w:eastAsia="Times New Roman" w:hAnsi="Times New Roman"/>
          <w:sz w:val="22"/>
          <w:szCs w:val="22"/>
          <w:color w:val="auto"/>
        </w:rPr>
        <w:t>”)),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 transferee acknowledges and agrees that the Award remains subject to all of the terms and conditions of this Agreement and the Plan.</w:t>
      </w:r>
    </w:p>
    <w:p>
      <w:pPr>
        <w:spacing w:after="0" w:line="188" w:lineRule="exact"/>
        <w:rPr>
          <w:rFonts w:ascii="Times New Roman" w:cs="Times New Roman" w:eastAsia="Times New Roman" w:hAnsi="Times New Roman"/>
          <w:sz w:val="22"/>
          <w:szCs w:val="22"/>
          <w:color w:val="auto"/>
        </w:rPr>
      </w:pPr>
    </w:p>
    <w:p>
      <w:pPr>
        <w:jc w:val="both"/>
        <w:ind w:firstLine="271"/>
        <w:spacing w:after="0" w:line="263" w:lineRule="auto"/>
        <w:tabs>
          <w:tab w:leader="none" w:pos="79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Programs</w:t>
      </w:r>
      <w:r>
        <w:rPr>
          <w:rFonts w:ascii="Times New Roman" w:cs="Times New Roman" w:eastAsia="Times New Roman" w:hAnsi="Times New Roman"/>
          <w:sz w:val="22"/>
          <w:szCs w:val="22"/>
          <w:color w:val="auto"/>
        </w:rPr>
        <w:t>. Nothing contained in this restricted stock unit agreement shall affect the right of the Award Holder to participate in and receive benefits under and in accordance with the then current provisions of any pension, insurance, profit-sharing or other employee benefit plan or program of the Corporation or of any Subsidiary of the Corporation.</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8" w:lineRule="exact"/>
        <w:rPr>
          <w:sz w:val="20"/>
          <w:szCs w:val="20"/>
          <w:color w:val="auto"/>
        </w:rPr>
      </w:pPr>
    </w:p>
    <w:p>
      <w:pPr>
        <w:jc w:val="both"/>
        <w:ind w:firstLine="231"/>
        <w:spacing w:after="0" w:line="256" w:lineRule="auto"/>
        <w:tabs>
          <w:tab w:leader="none" w:pos="71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Award hereby granted is subject to, and the Corporation and Award Holder agree to be bound by all of the terms and conditions of the Plan as the same may be amended from time to time in accordance with the terms thereof, but no such amendment may adversely affect the Award Holder’s rights under this restricted stock unit agreement. Award Holder acknowledges receipt of a complete copy of the Plan.</w:t>
      </w:r>
    </w:p>
    <w:p>
      <w:pPr>
        <w:spacing w:after="0" w:line="176" w:lineRule="exact"/>
        <w:rPr>
          <w:rFonts w:ascii="Times New Roman" w:cs="Times New Roman" w:eastAsia="Times New Roman" w:hAnsi="Times New Roman"/>
          <w:sz w:val="22"/>
          <w:szCs w:val="22"/>
          <w:color w:val="auto"/>
        </w:rPr>
      </w:pPr>
    </w:p>
    <w:p>
      <w:pPr>
        <w:jc w:val="both"/>
        <w:ind w:firstLine="251"/>
        <w:spacing w:after="0" w:line="252" w:lineRule="auto"/>
        <w:tabs>
          <w:tab w:leader="none" w:pos="756"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All questions arising under the Plan or under this restricted stock unit agreement shall be decided by the Committee in its total and absolute discretion. It is expressly understood that the Committee is authorized to administer, construe and make all determinations necessary or appropriate to the administration of the Plan and this restricted stock unit agreement, all of which shall be binding upon the Award Holder to the maximum extent permitted by the Plan.</w:t>
      </w:r>
    </w:p>
    <w:p>
      <w:pPr>
        <w:spacing w:after="0" w:line="192" w:lineRule="exact"/>
        <w:rPr>
          <w:rFonts w:ascii="Times New Roman" w:cs="Times New Roman" w:eastAsia="Times New Roman" w:hAnsi="Times New Roman"/>
          <w:sz w:val="22"/>
          <w:szCs w:val="22"/>
          <w:color w:val="auto"/>
        </w:rPr>
      </w:pPr>
    </w:p>
    <w:p>
      <w:pPr>
        <w:ind w:firstLine="271"/>
        <w:spacing w:after="0" w:line="271" w:lineRule="auto"/>
        <w:tabs>
          <w:tab w:leader="none" w:pos="796" w:val="left"/>
        </w:tabs>
        <w:numPr>
          <w:ilvl w:val="3"/>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Award Holder by this Award are the services rendered by the Award Holder after and not before the grant of this Award.</w:t>
      </w:r>
    </w:p>
    <w:p>
      <w:pPr>
        <w:spacing w:after="0" w:line="157" w:lineRule="exact"/>
        <w:rPr>
          <w:rFonts w:ascii="Times New Roman" w:cs="Times New Roman" w:eastAsia="Times New Roman" w:hAnsi="Times New Roman"/>
          <w:sz w:val="22"/>
          <w:szCs w:val="22"/>
          <w:color w:val="auto"/>
        </w:rPr>
      </w:pPr>
    </w:p>
    <w:p>
      <w:pPr>
        <w:ind w:firstLine="237"/>
        <w:spacing w:after="0" w:line="271" w:lineRule="auto"/>
        <w:tabs>
          <w:tab w:leader="none" w:pos="729"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Award has been granted as of the effective date set forth above at Los Angeles, California, and the interpretation, performance and enforcement of this Agreement shall be governed by the laws of the State of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Award Holder</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10.9</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STOCK OPTION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stock option agreement is made as of ______ (the “Effective Date”), between Ducommun Incorporated, a 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(the “Corporation”), and ______ (“Option Holder”).</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This stock option agreement is pursuant to the 2024 Stock Incentive Plan (the “Plan”). This stock option agreement DOES NOT represent an incentive stock option as defined in Section 422A of the Internal Revenue Code. This stock option agreement expires on _____ (the “Expiration Date”). Attention is called to the non-compete provisions (applicable to Option Holders</w:t>
      </w:r>
    </w:p>
    <w:p>
      <w:pPr>
        <w:spacing w:after="0" w:line="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1"/>
          <w:szCs w:val="21"/>
          <w:color w:val="auto"/>
        </w:rPr>
        <w:t>employed by the Corporation outside of California) in this stock option agreement. Failure to comply with these provisions will result in the forfeiture of the option. These provisions will be binding on the Option Holder whether or not the option vests.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247" w:lineRule="exact"/>
        <w:rPr>
          <w:sz w:val="20"/>
          <w:szCs w:val="20"/>
          <w:color w:val="auto"/>
        </w:rPr>
      </w:pPr>
    </w:p>
    <w:p>
      <w:pPr>
        <w:jc w:val="both"/>
        <w:ind w:firstLine="258"/>
        <w:spacing w:after="0" w:line="252" w:lineRule="auto"/>
        <w:tabs>
          <w:tab w:leader="none" w:pos="66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Corporation hereby grants to the Option Holder the right and option to purchase, on the terms and conditions hereinafter set forth, all or any part of an aggregate of ______ shares of the Common Stock at the purchase price of $______ per share, being 100% of the fair market value of the Common Stock on the date the option is granted, exercisable from time to time in accordance with the provisions of this Agreement until the close of business on the Expiration Date.</w:t>
      </w:r>
    </w:p>
    <w:p>
      <w:pPr>
        <w:spacing w:after="0" w:line="219" w:lineRule="exact"/>
        <w:rPr>
          <w:rFonts w:ascii="Times New Roman" w:cs="Times New Roman" w:eastAsia="Times New Roman" w:hAnsi="Times New Roman"/>
          <w:sz w:val="22"/>
          <w:szCs w:val="22"/>
          <w:color w:val="auto"/>
        </w:rPr>
      </w:pPr>
    </w:p>
    <w:p>
      <w:pPr>
        <w:jc w:val="both"/>
        <w:ind w:firstLine="231"/>
        <w:spacing w:after="0" w:line="257" w:lineRule="auto"/>
        <w:tabs>
          <w:tab w:leader="none" w:pos="60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stock option agreement, shall have the meanings set forth in this Section 2.</w:t>
      </w:r>
    </w:p>
    <w:p>
      <w:pPr>
        <w:spacing w:after="0" w:line="200" w:lineRule="exact"/>
        <w:rPr>
          <w:sz w:val="20"/>
          <w:szCs w:val="20"/>
          <w:color w:val="auto"/>
        </w:rPr>
      </w:pPr>
    </w:p>
    <w:p>
      <w:pPr>
        <w:ind w:left="660" w:right="20" w:hanging="134"/>
        <w:spacing w:after="0" w:line="271" w:lineRule="auto"/>
        <w:rPr>
          <w:sz w:val="20"/>
          <w:szCs w:val="20"/>
          <w:color w:val="auto"/>
        </w:rPr>
      </w:pPr>
      <w:r>
        <w:rPr>
          <w:rFonts w:ascii="Times New Roman" w:cs="Times New Roman" w:eastAsia="Times New Roman" w:hAnsi="Times New Roman"/>
          <w:sz w:val="22"/>
          <w:szCs w:val="22"/>
          <w:color w:val="auto"/>
        </w:rPr>
        <w:t>“Common Stock” shall mean the Common Stock, $.01 par value, of the Corporation or such other class of shares or other securities as may be applicable pursuant to the provisions of Section 7 of this stock option agreement.</w:t>
      </w:r>
    </w:p>
    <w:p>
      <w:pPr>
        <w:spacing w:after="0" w:line="198" w:lineRule="exact"/>
        <w:rPr>
          <w:sz w:val="20"/>
          <w:szCs w:val="20"/>
          <w:color w:val="auto"/>
        </w:rPr>
      </w:pPr>
    </w:p>
    <w:p>
      <w:pPr>
        <w:jc w:val="both"/>
        <w:ind w:left="660" w:hanging="49"/>
        <w:spacing w:after="0" w:line="257" w:lineRule="auto"/>
        <w:rPr>
          <w:sz w:val="20"/>
          <w:szCs w:val="20"/>
          <w:color w:val="auto"/>
        </w:rPr>
      </w:pPr>
      <w:r>
        <w:rPr>
          <w:rFonts w:ascii="Times New Roman" w:cs="Times New Roman" w:eastAsia="Times New Roman" w:hAnsi="Times New Roman"/>
          <w:sz w:val="22"/>
          <w:szCs w:val="22"/>
          <w:color w:val="auto"/>
        </w:rPr>
        <w:t>“Subsidiary”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200" w:lineRule="exact"/>
        <w:rPr>
          <w:sz w:val="20"/>
          <w:szCs w:val="20"/>
          <w:color w:val="auto"/>
        </w:rPr>
      </w:pPr>
    </w:p>
    <w:p>
      <w:pPr>
        <w:ind w:left="660" w:hanging="135"/>
        <w:spacing w:after="0" w:line="271" w:lineRule="auto"/>
        <w:rPr>
          <w:sz w:val="20"/>
          <w:szCs w:val="20"/>
          <w:color w:val="auto"/>
        </w:rPr>
      </w:pPr>
      <w:r>
        <w:rPr>
          <w:rFonts w:ascii="Times New Roman" w:cs="Times New Roman" w:eastAsia="Times New Roman" w:hAnsi="Times New Roman"/>
          <w:sz w:val="22"/>
          <w:szCs w:val="22"/>
          <w:color w:val="auto"/>
        </w:rPr>
        <w:t>“Committee” shall mean the Compensation Committee of the Board of Directors of the Corporation, or if there is no such committee acting, the Board of Directors of the Corporation.</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1" w:lineRule="exact"/>
        <w:rPr>
          <w:sz w:val="20"/>
          <w:szCs w:val="20"/>
          <w:color w:val="auto"/>
        </w:rPr>
      </w:pPr>
    </w:p>
    <w:p>
      <w:pPr>
        <w:jc w:val="both"/>
        <w:ind w:left="100" w:firstLine="312"/>
        <w:spacing w:after="0" w:line="251" w:lineRule="auto"/>
        <w:tabs>
          <w:tab w:leader="none" w:pos="869" w:val="left"/>
        </w:tabs>
        <w:numPr>
          <w:ilvl w:val="4"/>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Exercise</w:t>
      </w:r>
      <w:r>
        <w:rPr>
          <w:rFonts w:ascii="Times New Roman" w:cs="Times New Roman" w:eastAsia="Times New Roman" w:hAnsi="Times New Roman"/>
          <w:sz w:val="22"/>
          <w:szCs w:val="22"/>
          <w:color w:val="auto"/>
        </w:rPr>
        <w:t>. The Option Holder may not purchase any shares by exercise of this option unless the Option Holder shall have remained in the employ of the Corporation and/or a Subsidiary until at least _______. On and after ________, the Option Holder may purchase, by exercise of this option, an aggregate of not more than one-third of the total number of shares subject to this option. On and after _______, the Option Holder may purchase, by exercise of this option, an additional one-third of such total number of shares. On and after _______, until this option expires, the Option Holder may purchase, by exercise of this option, all or any part of the shares subject to this option.</w:t>
      </w:r>
    </w:p>
    <w:p>
      <w:pPr>
        <w:spacing w:after="0" w:line="208" w:lineRule="exact"/>
        <w:rPr>
          <w:rFonts w:ascii="Times New Roman" w:cs="Times New Roman" w:eastAsia="Times New Roman" w:hAnsi="Times New Roman"/>
          <w:sz w:val="22"/>
          <w:szCs w:val="22"/>
          <w:color w:val="auto"/>
        </w:rPr>
      </w:pPr>
    </w:p>
    <w:p>
      <w:pPr>
        <w:ind w:left="100" w:firstLine="231"/>
        <w:spacing w:after="0" w:line="271" w:lineRule="auto"/>
        <w:tabs>
          <w:tab w:leader="none" w:pos="707"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by the Option Holder</w:t>
      </w:r>
      <w:r>
        <w:rPr>
          <w:rFonts w:ascii="Times New Roman" w:cs="Times New Roman" w:eastAsia="Times New Roman" w:hAnsi="Times New Roman"/>
          <w:sz w:val="22"/>
          <w:szCs w:val="22"/>
          <w:color w:val="auto"/>
        </w:rPr>
        <w:t>. This option may be exercised solely by the Option Holder, except as provided in Section 5 below in the event of the Option Holder’s death.</w:t>
      </w:r>
    </w:p>
    <w:p>
      <w:pPr>
        <w:spacing w:after="0" w:line="184" w:lineRule="exact"/>
        <w:rPr>
          <w:rFonts w:ascii="Times New Roman" w:cs="Times New Roman" w:eastAsia="Times New Roman" w:hAnsi="Times New Roman"/>
          <w:sz w:val="22"/>
          <w:szCs w:val="22"/>
          <w:color w:val="auto"/>
        </w:rPr>
      </w:pPr>
    </w:p>
    <w:p>
      <w:pPr>
        <w:ind w:left="100" w:firstLine="251"/>
        <w:spacing w:after="0" w:line="271" w:lineRule="auto"/>
        <w:tabs>
          <w:tab w:leader="none" w:pos="748" w:val="left"/>
        </w:tabs>
        <w:numPr>
          <w:ilvl w:val="3"/>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option shall terminate if and when the Option Holder shall cease to be an employee of the Corporation or a Subsidiary, except as follows:</w:t>
      </w:r>
    </w:p>
    <w:p>
      <w:pPr>
        <w:spacing w:after="0" w:line="198" w:lineRule="exact"/>
        <w:rPr>
          <w:rFonts w:ascii="Times New Roman" w:cs="Times New Roman" w:eastAsia="Times New Roman" w:hAnsi="Times New Roman"/>
          <w:sz w:val="22"/>
          <w:szCs w:val="22"/>
          <w:color w:val="auto"/>
        </w:rPr>
      </w:pPr>
    </w:p>
    <w:p>
      <w:pPr>
        <w:jc w:val="both"/>
        <w:ind w:left="100" w:hanging="82"/>
        <w:spacing w:after="0" w:line="249" w:lineRule="auto"/>
        <w:tabs>
          <w:tab w:leader="none" w:pos="42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the Option Holder dies while employed by the Corporation or a Subsidiary, or while this option was exercisable by him or her in accordance with paragraph (b) or (c) below after his or her retirement, permanent disability or the termination of his or her employment other than for cause, this option may be exercised (for not more than the number of shares as to which the Option Holder might have exercised this Option at the time of such death) by the personal representative of the decedent or, by such person or persons as shall have acquired the Option Holder’s rights under this option by will or by the laws of descent and distribution at any time (i) prior to the Expiration Date, in the event the Expiration Date is not more than one year following the date of death, or (ii) within such one year, in the event that the Expiration Date is more than one year following such date of death;</w:t>
      </w:r>
    </w:p>
    <w:p>
      <w:pPr>
        <w:spacing w:after="0" w:line="208" w:lineRule="exact"/>
        <w:rPr>
          <w:rFonts w:ascii="Times New Roman" w:cs="Times New Roman" w:eastAsia="Times New Roman" w:hAnsi="Times New Roman"/>
          <w:sz w:val="22"/>
          <w:szCs w:val="22"/>
          <w:color w:val="auto"/>
        </w:rPr>
      </w:pPr>
    </w:p>
    <w:p>
      <w:pPr>
        <w:jc w:val="both"/>
        <w:ind w:left="100" w:firstLine="939"/>
        <w:spacing w:after="0" w:line="249" w:lineRule="auto"/>
        <w:tabs>
          <w:tab w:leader="none" w:pos="1567" w:val="left"/>
        </w:tabs>
        <w:numPr>
          <w:ilvl w:val="5"/>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or Permanent Disability</w:t>
      </w:r>
      <w:r>
        <w:rPr>
          <w:rFonts w:ascii="Times New Roman" w:cs="Times New Roman" w:eastAsia="Times New Roman" w:hAnsi="Times New Roman"/>
          <w:sz w:val="22"/>
          <w:szCs w:val="22"/>
          <w:color w:val="auto"/>
        </w:rPr>
        <w:t>. If the Option Holder retires or becomes permanently disabled, this option may be exercised (for not more than the number of shares as to which the Option Holder might have exercised this option on the date of his or her retirement or permanent disability) at any time prior to the Expiration Date. As used herein, the term “retirement” shall mean that, on the date on which the Option Holder terminates employment with the Corporation or a Subsidiary, either (x) the Option Holder is sixty-five (65) or more years of age, or (y) ) the Award Holder is sixty (60) or more years of age and has completed at least five (5) years of service with the Corporation or a Subsidiary. As used herein, the term “permanent disability” shall mean the date on which the Option Holder has not worked or been able to work due to physical or mental incapacity for a period of one-hundred eighty (180) consecutive days.</w:t>
      </w:r>
    </w:p>
    <w:p>
      <w:pPr>
        <w:spacing w:after="0" w:line="222" w:lineRule="exact"/>
        <w:rPr>
          <w:rFonts w:ascii="Times New Roman" w:cs="Times New Roman" w:eastAsia="Times New Roman" w:hAnsi="Times New Roman"/>
          <w:sz w:val="22"/>
          <w:szCs w:val="22"/>
          <w:color w:val="auto"/>
        </w:rPr>
      </w:pPr>
    </w:p>
    <w:p>
      <w:pPr>
        <w:jc w:val="both"/>
        <w:ind w:left="100" w:hanging="100"/>
        <w:spacing w:after="0" w:line="265" w:lineRule="auto"/>
        <w:tabs>
          <w:tab w:leader="none" w:pos="39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If the employment of the Option Holder with the Corporation or a Subsidiary is terminated for any reason other than by death, permanent disability or retirement, this option may be exercised (for not more than the number of shares as to which the Option Holder might have exercised this option on the date on which his or her employment was terminated) at any time (i) prior to the Expiration Date in the event the Expiration Date is not more than three months following the date of such retirement or termination, or (ii) within such three-month period, in the event that the Expiration Date is more</w:t>
      </w:r>
    </w:p>
    <w:p>
      <w:pPr>
        <w:sectPr>
          <w:pgSz w:w="11900" w:h="16838" w:orient="portrait"/>
          <w:cols w:equalWidth="0" w:num="1">
            <w:col w:w="11340"/>
          </w:cols>
          <w:pgMar w:left="220" w:top="1440" w:right="339" w:bottom="1440" w:gutter="0" w:footer="0" w:header="0"/>
        </w:sectPr>
      </w:pPr>
    </w:p>
    <w:bookmarkStart w:id="95" w:name="page96"/>
    <w:bookmarkEnd w:id="95"/>
    <w:p>
      <w:pPr>
        <w:spacing w:after="0" w:line="131" w:lineRule="exact"/>
        <w:rPr>
          <w:sz w:val="20"/>
          <w:szCs w:val="20"/>
          <w:color w:val="auto"/>
        </w:rPr>
      </w:pPr>
    </w:p>
    <w:p>
      <w:pPr>
        <w:jc w:val="both"/>
        <w:ind w:left="55"/>
        <w:spacing w:after="0" w:line="250" w:lineRule="auto"/>
        <w:rPr>
          <w:sz w:val="20"/>
          <w:szCs w:val="20"/>
          <w:color w:val="auto"/>
        </w:rPr>
      </w:pPr>
      <w:r>
        <w:rPr>
          <w:rFonts w:ascii="Times New Roman" w:cs="Times New Roman" w:eastAsia="Times New Roman" w:hAnsi="Times New Roman"/>
          <w:sz w:val="22"/>
          <w:szCs w:val="22"/>
          <w:color w:val="auto"/>
        </w:rPr>
        <w:t>than three months following the date of such termination of employment; provided, however, that if the Option Holder is dismissed for cause, of which the Committee shall be the sole judge, this option shall terminate forthwith. The Committee may determine that, for the purpose of the Plan, the Option Holder while on a leave of absence will be considered as still in the employ of the Corporation, provided that this option shall be exercisable during a leave of absence only as to the number of shares as to which it was exercisable at the commencement of such leave of absence.</w:t>
      </w:r>
    </w:p>
    <w:p>
      <w:pPr>
        <w:spacing w:after="0" w:line="221" w:lineRule="exact"/>
        <w:rPr>
          <w:sz w:val="20"/>
          <w:szCs w:val="20"/>
          <w:color w:val="auto"/>
        </w:rPr>
      </w:pPr>
    </w:p>
    <w:p>
      <w:pPr>
        <w:jc w:val="both"/>
        <w:ind w:left="55" w:firstLine="271"/>
        <w:spacing w:after="0" w:line="250" w:lineRule="auto"/>
        <w:tabs>
          <w:tab w:leader="none" w:pos="743" w:val="left"/>
        </w:tabs>
        <w:numPr>
          <w:ilvl w:val="4"/>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A person electing to exercise this option shall deliver to the Secretary of the Corporation a written notice of such election and of the number of shares such person has elected to purchase and shall at the time of exercise tender the full purchase price of the shares such person has elected to purchase. The purchase price for the shares may, at the election of the Option Holder, be paid with previously issued shares of Common Stock of the Company, or the deduction of shares of Common Stock to be issued in connection with the exercise of this Option.</w:t>
      </w:r>
    </w:p>
    <w:p>
      <w:pPr>
        <w:spacing w:after="0" w:line="221" w:lineRule="exact"/>
        <w:rPr>
          <w:rFonts w:ascii="Times New Roman" w:cs="Times New Roman" w:eastAsia="Times New Roman" w:hAnsi="Times New Roman"/>
          <w:sz w:val="22"/>
          <w:szCs w:val="22"/>
          <w:color w:val="auto"/>
        </w:rPr>
      </w:pPr>
    </w:p>
    <w:p>
      <w:pPr>
        <w:ind w:left="655" w:hanging="376"/>
        <w:spacing w:after="0"/>
        <w:tabs>
          <w:tab w:leader="none" w:pos="655" w:val="left"/>
        </w:tabs>
        <w:numPr>
          <w:ilvl w:val="3"/>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p>
    <w:p>
      <w:pPr>
        <w:spacing w:after="0" w:line="246" w:lineRule="exact"/>
        <w:rPr>
          <w:rFonts w:ascii="Times New Roman" w:cs="Times New Roman" w:eastAsia="Times New Roman" w:hAnsi="Times New Roman"/>
          <w:sz w:val="22"/>
          <w:szCs w:val="22"/>
          <w:color w:val="auto"/>
        </w:rPr>
      </w:pPr>
    </w:p>
    <w:p>
      <w:pPr>
        <w:jc w:val="both"/>
        <w:ind w:left="55" w:hanging="6"/>
        <w:spacing w:after="0" w:line="261" w:lineRule="auto"/>
        <w:tabs>
          <w:tab w:leader="none" w:pos="597"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outstanding shares of Common Stock of the Company are increased, decreased, changed into or exchanged for a different number or kind of shares or securities of the Company through recapitalization (other than the conversion of convertible securities according to their terms), reclassification, stock dividend, stock split or reverse stock split, an appropriate and proportionate adjustment shall be made, or if the Company shall spin-off, spin-out or otherwise distribute assets with respect to the outstanding shares of Common Stock of the Company, an appropriate and proportionate adjustment may be made in the discretion of the Committee, in (i) the maximum number and kind of shares as to which options may be granted under the Plan,</w:t>
      </w:r>
    </w:p>
    <w:p>
      <w:pPr>
        <w:jc w:val="both"/>
        <w:ind w:left="55" w:firstLine="8"/>
        <w:spacing w:after="0" w:line="245" w:lineRule="auto"/>
        <w:tabs>
          <w:tab w:leader="none" w:pos="394"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kind of shares subject to outstanding options, and (iii) the exercise price for each share under outstanding options, without any change in the aggregate purchase price or value applicable to the unexercised portion of the outstanding options.</w:t>
      </w:r>
    </w:p>
    <w:p>
      <w:pPr>
        <w:spacing w:after="0" w:line="213" w:lineRule="exact"/>
        <w:rPr>
          <w:rFonts w:ascii="Times New Roman" w:cs="Times New Roman" w:eastAsia="Times New Roman" w:hAnsi="Times New Roman"/>
          <w:sz w:val="22"/>
          <w:szCs w:val="22"/>
          <w:color w:val="auto"/>
        </w:rPr>
      </w:pPr>
    </w:p>
    <w:p>
      <w:pPr>
        <w:jc w:val="both"/>
        <w:ind w:left="55" w:hanging="55"/>
        <w:spacing w:after="0" w:line="252" w:lineRule="auto"/>
        <w:tabs>
          <w:tab w:leader="none" w:pos="53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dissolution or liquidation of the Company, or upon any merger, consolidation or reorganization of the Company with any other corporations or entities as a result of which the Company is not the surviving corporation, or upon the sale of all or substantially all of the assets of the Company or the acquisition of more than 80% of the stock of the Company by another corporation or entity, there shall be substituted for each of the shares of Common Stock then subject to the Plan the number and kind of shares of stock, securities or other assets which would have been issuable or payable in respect of or in exchange for such Common Stock then subject to the Plan, as if the optionee had been the owner of such shares as of the transaction date. Any securities so substituted shall be subject to similar successive adjustments.</w:t>
      </w:r>
    </w:p>
    <w:p>
      <w:pPr>
        <w:spacing w:after="0" w:line="206" w:lineRule="exact"/>
        <w:rPr>
          <w:rFonts w:ascii="Times New Roman" w:cs="Times New Roman" w:eastAsia="Times New Roman" w:hAnsi="Times New Roman"/>
          <w:sz w:val="22"/>
          <w:szCs w:val="22"/>
          <w:color w:val="auto"/>
        </w:rPr>
      </w:pPr>
    </w:p>
    <w:p>
      <w:pPr>
        <w:jc w:val="both"/>
        <w:ind w:left="55" w:firstLine="386"/>
        <w:spacing w:after="0" w:line="257" w:lineRule="auto"/>
        <w:tabs>
          <w:tab w:leader="none" w:pos="905" w:val="left"/>
        </w:tabs>
        <w:numPr>
          <w:ilvl w:val="5"/>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stock option agreement or in any other instrument executed pursuant thereto shall confer upon the Option Holder any right to continue in the employ of the Corporation or any Subsidiary of the</w:t>
      </w:r>
    </w:p>
    <w:p>
      <w:pPr>
        <w:sectPr>
          <w:pgSz w:w="11900" w:h="16838" w:orient="portrait"/>
          <w:cols w:equalWidth="0" w:num="1">
            <w:col w:w="11295"/>
          </w:cols>
          <w:pgMar w:left="265" w:top="1440" w:right="339" w:bottom="1440" w:gutter="0" w:footer="0" w:header="0"/>
        </w:sectPr>
      </w:pPr>
    </w:p>
    <w:bookmarkStart w:id="96" w:name="page97"/>
    <w:bookmarkEnd w:id="96"/>
    <w:p>
      <w:pPr>
        <w:spacing w:after="0" w:line="13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Corporation or shall interfere in any way with the right of the Corporation or any such Subsidiary to at any time terminate the employment of the Option Holder with or without cause.</w:t>
      </w:r>
    </w:p>
    <w:p>
      <w:pPr>
        <w:spacing w:after="0" w:line="198" w:lineRule="exact"/>
        <w:rPr>
          <w:sz w:val="20"/>
          <w:szCs w:val="20"/>
          <w:color w:val="auto"/>
        </w:rPr>
      </w:pPr>
    </w:p>
    <w:p>
      <w:pPr>
        <w:jc w:val="both"/>
        <w:ind w:firstLine="323"/>
        <w:spacing w:after="0" w:line="250" w:lineRule="auto"/>
        <w:tabs>
          <w:tab w:leader="none" w:pos="72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No shares issuable upon the exercise of this option shall be issued or delivered unless and until, in the opinion of counsel for the Corporation, all applicable requirements of federal and state law and of the Securities and Exchange Commission pertaining to the issuance and sale of such shares and any applicable listing requirements of any national securities exchange on which shares of the same class are then listed, shall have been fully complied with. In connection with any such issuance or transfer, the person acquiring the shares shall, if requested by the Corporation, give assurances satisfactory to counsel to the Corporation in respect of such matters as the Corporation or any Subsidiary of the Corporation may deem desirable to assure compliance with all applicable legal requirements.</w:t>
      </w:r>
    </w:p>
    <w:p>
      <w:pPr>
        <w:spacing w:after="0" w:line="221" w:lineRule="exact"/>
        <w:rPr>
          <w:sz w:val="20"/>
          <w:szCs w:val="20"/>
          <w:color w:val="auto"/>
        </w:rPr>
      </w:pPr>
    </w:p>
    <w:p>
      <w:pPr>
        <w:jc w:val="both"/>
        <w:ind w:firstLine="231"/>
        <w:spacing w:after="0" w:line="252" w:lineRule="auto"/>
        <w:tabs>
          <w:tab w:leader="none" w:pos="7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Option Holder nor any beneficiary or other person claiming under or through the Option Holder shall have any right, title or interest in or to any shares of Common Stock allocated or reserved for the purpose of the Plan or subject to this Agreement except as to such shares of Common Stock, if any, as shall have been issued or transferred to such person.</w:t>
      </w:r>
    </w:p>
    <w:p>
      <w:pPr>
        <w:spacing w:after="0" w:line="206" w:lineRule="exact"/>
        <w:rPr>
          <w:rFonts w:ascii="Times New Roman" w:cs="Times New Roman" w:eastAsia="Times New Roman" w:hAnsi="Times New Roman"/>
          <w:sz w:val="22"/>
          <w:szCs w:val="22"/>
          <w:color w:val="auto"/>
        </w:rPr>
      </w:pPr>
    </w:p>
    <w:p>
      <w:pPr>
        <w:jc w:val="both"/>
        <w:ind w:firstLine="386"/>
        <w:spacing w:after="0" w:line="250" w:lineRule="auto"/>
        <w:tabs>
          <w:tab w:leader="none" w:pos="1018"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Corporation or any Subsidiary of the Corporation may make such provisions as it may deem appropriate for the withholding of any taxes which the Corporation or such Subsidiary determines it is required to withhold in connection with this stock option agreement and the transactions contemplated hereby, and the Corporation or any such Subsidiary may require the Option Holder or other person exercising this Option to pay to the Corporation or such Subsidiary in cash any amount or amounts which may be required to be paid as withheld taxes in connection with any exercise of this Option or any other transaction contemplated hereby as a condition to the exercise of this Option and issuance of shares of the Common Stock, provided, however, that any amount withheld for taxes in connection with any exercise of this Option may, at the election of the Option Holder, be paid with previously issued shares of Common Stock or the deduction of shares of Common Stock to be issued in connection with the exercise of this Option.</w:t>
      </w:r>
    </w:p>
    <w:p>
      <w:pPr>
        <w:spacing w:after="0" w:line="206" w:lineRule="exact"/>
        <w:rPr>
          <w:rFonts w:ascii="Times New Roman" w:cs="Times New Roman" w:eastAsia="Times New Roman" w:hAnsi="Times New Roman"/>
          <w:sz w:val="22"/>
          <w:szCs w:val="22"/>
          <w:color w:val="auto"/>
        </w:rPr>
      </w:pPr>
    </w:p>
    <w:p>
      <w:pPr>
        <w:jc w:val="both"/>
        <w:ind w:firstLine="251"/>
        <w:spacing w:after="0" w:line="261" w:lineRule="auto"/>
        <w:tabs>
          <w:tab w:leader="none" w:pos="756"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Assignments</w:t>
      </w:r>
      <w:r>
        <w:rPr>
          <w:rFonts w:ascii="Times New Roman" w:cs="Times New Roman" w:eastAsia="Times New Roman" w:hAnsi="Times New Roman"/>
          <w:sz w:val="21"/>
          <w:szCs w:val="21"/>
          <w:color w:val="auto"/>
        </w:rPr>
        <w:t>. Neither this stock option agreement, nor this option nor any other rights and privileges granted hereby shall be transferred, assigned, pledged or hypothecated in any way, whether by operation of law of descent and distribution. Upon any attempt to so transfer, assign, pledge, hypothecate or otherwise dispose of this stock option agreement, this option or any other right or privilege granted hereby contrary to the provisions hereof, this stock option agreement, this option and all of such rights and privileges shall immediately become null and void provided however, that the Award Holder may transfer an Award to any “family member” (as such term is defined in Section A.1(a)(5) of the General Instructions to Form S-8 under the Securities Act of 1933, as amended (“Form S-8”)),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transferee acknowledges and agrees that the Award remains subject to all of the terms and conditions of this Agreement and the Plan.</w:t>
      </w:r>
    </w:p>
    <w:p>
      <w:pPr>
        <w:spacing w:after="0" w:line="185" w:lineRule="exact"/>
        <w:rPr>
          <w:sz w:val="20"/>
          <w:szCs w:val="20"/>
          <w:color w:val="auto"/>
        </w:rPr>
      </w:pPr>
    </w:p>
    <w:p>
      <w:pPr>
        <w:jc w:val="both"/>
        <w:ind w:firstLine="366"/>
        <w:spacing w:after="0" w:line="257" w:lineRule="auto"/>
        <w:tabs>
          <w:tab w:leader="none" w:pos="985"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Programs</w:t>
      </w:r>
      <w:r>
        <w:rPr>
          <w:rFonts w:ascii="Times New Roman" w:cs="Times New Roman" w:eastAsia="Times New Roman" w:hAnsi="Times New Roman"/>
          <w:sz w:val="22"/>
          <w:szCs w:val="22"/>
          <w:color w:val="auto"/>
        </w:rPr>
        <w:t>. Nothing contained in this stock option agreement shall affect the right of the Option Holder to participate in and receive benefits under and in accordance with the then current provisions of any pension, insurance, profit-sharing or other employee benefit plan or program of the Corporation or of any Subsidiary of the Corporation.</w:t>
      </w:r>
    </w:p>
    <w:p>
      <w:pPr>
        <w:spacing w:after="0" w:line="213" w:lineRule="exact"/>
        <w:rPr>
          <w:rFonts w:ascii="Times New Roman" w:cs="Times New Roman" w:eastAsia="Times New Roman" w:hAnsi="Times New Roman"/>
          <w:sz w:val="22"/>
          <w:szCs w:val="22"/>
          <w:color w:val="auto"/>
        </w:rPr>
      </w:pPr>
    </w:p>
    <w:p>
      <w:pPr>
        <w:jc w:val="both"/>
        <w:ind w:firstLine="237"/>
        <w:spacing w:after="0" w:line="259" w:lineRule="auto"/>
        <w:tabs>
          <w:tab w:leader="none" w:pos="72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Customers; Non-Competition</w:t>
      </w:r>
      <w:r>
        <w:rPr>
          <w:rFonts w:ascii="Times New Roman" w:cs="Times New Roman" w:eastAsia="Times New Roman" w:hAnsi="Times New Roman"/>
          <w:sz w:val="21"/>
          <w:szCs w:val="21"/>
          <w:color w:val="auto"/>
        </w:rPr>
        <w:t>. By signing this stock option agreement, the Option Holder agrees that while employed by the Corporation and for a period of one year following the Option Holder’s departure from the Corporation, the Option Holder will not (directly or in association with others) call on or solicit any of the Corporation’s customers with whom the Option Holder had personal contact while employed by the Corporation, for the purpose of providing the customers with goods and/or services similar in nature to those provided by the Corporation in its Business (as defined below). The Option Holder further agrees that for the same time period, the Option Holder will not, directly or indirectly, engage in any activity which is the same as or competitive with the Business including, without limitation, engagement as an officer, director, proprietor, employee, partner, investor (other than as a holder of less than 2% of the outstanding capital stock of a publicly traded corporation), guarantor, consultant, advisor, agent, sales representative or other participant, in any market which the Corporation conducts its Business. For purposes of this stock option agreement, the term “Business” means engineering and manufacturing services for high-performance products and high-cost-of failure applications used primarily in the aerospace and defense, industrial, medical and other industries, and any other activity of the Corporation or any of its affiliates. This Section 14 is not intended to prevent the Option Holder from engaging in any activity that is not the same as or competitive with the Business. The Option Holder acknowledges that the Corporation would not have awarded the option granted under this stock option agreement absent the Option Holder’s agreement to be bound by the promises made in this Section 14.</w:t>
      </w:r>
    </w:p>
    <w:p>
      <w:pPr>
        <w:spacing w:after="0" w:line="208" w:lineRule="exact"/>
        <w:rPr>
          <w:rFonts w:ascii="Times New Roman" w:cs="Times New Roman" w:eastAsia="Times New Roman" w:hAnsi="Times New Roman"/>
          <w:sz w:val="21"/>
          <w:szCs w:val="21"/>
          <w:color w:val="auto"/>
        </w:rPr>
      </w:pPr>
    </w:p>
    <w:p>
      <w:pPr>
        <w:jc w:val="both"/>
        <w:ind w:firstLine="278"/>
        <w:spacing w:after="0" w:line="261" w:lineRule="auto"/>
        <w:tabs>
          <w:tab w:leader="none" w:pos="81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 Injunctive Relief</w:t>
      </w:r>
      <w:r>
        <w:rPr>
          <w:rFonts w:ascii="Times New Roman" w:cs="Times New Roman" w:eastAsia="Times New Roman" w:hAnsi="Times New Roman"/>
          <w:sz w:val="21"/>
          <w:szCs w:val="21"/>
          <w:color w:val="auto"/>
        </w:rPr>
        <w:t>. By signing this stock option agreement, the Option Holder acknowledges having carefully read and considered all the terms and conditions of this stock option agreement, including the restraints imposed pursuant to Section 14. The Option Holder also agrees that each of the restraints contained herein is necessary for the protection of the goodwill, confidential information, trade secrets and other legitimate interests of the Corporation; that each and every one of these restraints is reasonable in respect to subject matter, length of time and geographic area; and that these restraints, individually or in the aggregate, will not prevent the Option Holder from obtaining other suitable employment during the period of such restraints. The Option Holder further acknowledges that breach any of the covenants contained in Section 14 would result in irreparable damage to the Corporation. The Option Holder therefore agrees that the Corporation, in addition to any other remedies available to it, shall be entitled to injunctive relief against the breach or threatened breach of said covenants. The Option Holder and the Corporation further agree that, in the event that any provision of Section 14 shall be determined by any court of competent jurisdiction to be unenforceable by reason of its being extended over too great a time, too large a geographic area</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or too great a range of activities, such provision shall be deemed to be modified to permit its enforcement to the maximum extent permitted by law.</w:t>
      </w:r>
    </w:p>
    <w:p>
      <w:pPr>
        <w:spacing w:after="0" w:line="185" w:lineRule="exact"/>
        <w:rPr>
          <w:sz w:val="20"/>
          <w:szCs w:val="20"/>
          <w:color w:val="auto"/>
        </w:rPr>
      </w:pPr>
    </w:p>
    <w:p>
      <w:pPr>
        <w:jc w:val="both"/>
        <w:ind w:firstLine="332"/>
        <w:spacing w:after="0" w:line="275" w:lineRule="auto"/>
        <w:tabs>
          <w:tab w:leader="none" w:pos="918" w:val="left"/>
        </w:tabs>
        <w:numPr>
          <w:ilvl w:val="2"/>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Violation of Promises</w:t>
      </w:r>
      <w:r>
        <w:rPr>
          <w:rFonts w:ascii="Times New Roman" w:cs="Times New Roman" w:eastAsia="Times New Roman" w:hAnsi="Times New Roman"/>
          <w:sz w:val="21"/>
          <w:szCs w:val="21"/>
          <w:color w:val="auto"/>
        </w:rPr>
        <w:t>. By signing this stock option agreement, the Option Holder agrees that if the Option Holder violates any of the promises in Section 14, the Option Holder’s right to the shares of Common Stock upon exercise of the option shall not have been earned and the unexercised portion of the option, whether vested or not, will be immediately cancelled.</w:t>
      </w:r>
    </w:p>
    <w:p>
      <w:pPr>
        <w:spacing w:after="0" w:line="195" w:lineRule="exact"/>
        <w:rPr>
          <w:rFonts w:ascii="Times New Roman" w:cs="Times New Roman" w:eastAsia="Times New Roman" w:hAnsi="Times New Roman"/>
          <w:sz w:val="21"/>
          <w:szCs w:val="21"/>
          <w:color w:val="auto"/>
        </w:rPr>
      </w:pPr>
    </w:p>
    <w:p>
      <w:pPr>
        <w:jc w:val="both"/>
        <w:ind w:firstLine="231"/>
        <w:spacing w:after="0" w:line="252" w:lineRule="auto"/>
        <w:tabs>
          <w:tab w:leader="none" w:pos="71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option hereby granted is subject to, and the Corporation and Option Holder agree to be bound by all of the terms and conditions of the Plan as the same may be amended from time to time in accordance with the terms thereof, but no such amendment may adversely affect the Option Holder’s rights under this stock option agreement. Option Holder acknowledges receipt of a complete copy of the Plan.</w:t>
      </w:r>
    </w:p>
    <w:p>
      <w:pPr>
        <w:spacing w:after="0" w:line="206" w:lineRule="exact"/>
        <w:rPr>
          <w:rFonts w:ascii="Times New Roman" w:cs="Times New Roman" w:eastAsia="Times New Roman" w:hAnsi="Times New Roman"/>
          <w:sz w:val="22"/>
          <w:szCs w:val="22"/>
          <w:color w:val="auto"/>
        </w:rPr>
      </w:pPr>
    </w:p>
    <w:p>
      <w:pPr>
        <w:ind w:right="20" w:firstLine="271"/>
        <w:spacing w:after="0" w:line="284" w:lineRule="auto"/>
        <w:tabs>
          <w:tab w:leader="none" w:pos="79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Option Holder by this option are the services rendered by the Option Holder after and not before the grant of this option.</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1" w:lineRule="exact"/>
        <w:rPr>
          <w:sz w:val="20"/>
          <w:szCs w:val="20"/>
          <w:color w:val="auto"/>
        </w:rPr>
      </w:pPr>
    </w:p>
    <w:p>
      <w:pPr>
        <w:jc w:val="both"/>
        <w:ind w:firstLine="224"/>
        <w:spacing w:after="0" w:line="257" w:lineRule="auto"/>
        <w:tabs>
          <w:tab w:leader="none" w:pos="70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interpretation, performance and enforcement of this Agreement shall be governed by the laws of the state in which the Option Holder is employed by the Corporation. Sections 14, 15 and 16 shall not apply to Option Holders employed by the Corporation in California.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DUCOMMUN INCORPORATED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Option Holder</w:t>
      </w:r>
    </w:p>
    <w:p>
      <w:pPr>
        <w:sectPr>
          <w:pgSz w:w="11900" w:h="16838" w:orient="portrait"/>
          <w:cols w:equalWidth="0" w:num="1">
            <w:col w:w="11240"/>
          </w:cols>
          <w:pgMar w:left="320" w:top="144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June 29, 2024;</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Suman B. Mookerji, certify that:</w:t>
      </w:r>
    </w:p>
    <w:p>
      <w:pPr>
        <w:spacing w:after="0" w:line="104"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June 29, 2024;</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June 29, 2024,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1160" w:hanging="261"/>
        <w:spacing w:after="0"/>
        <w:tabs>
          <w:tab w:leader="none" w:pos="11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August 8,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8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Ducommun Incorporated (the “Company”) on Form 10-Q for the period ending June 29, 2024, as filed with the Securities and Exchange Commission on the date hereof (the “Report”), I, Suman B. Mookerji, Senior Vice President, Chief Financial Officer of the Company, certify pursuant to 18 U.S.C. § 1350, as adopted pursuant to § 906 of the Sarbanes-Oxley Act of 2002, that to the best of my knowledge:</w:t>
      </w:r>
    </w:p>
    <w:p>
      <w:pPr>
        <w:spacing w:after="0" w:line="104" w:lineRule="exact"/>
        <w:rPr>
          <w:sz w:val="20"/>
          <w:szCs w:val="20"/>
          <w:color w:val="auto"/>
        </w:rPr>
      </w:pPr>
    </w:p>
    <w:p>
      <w:pPr>
        <w:ind w:left="1160" w:hanging="261"/>
        <w:spacing w:after="0"/>
        <w:tabs>
          <w:tab w:leader="none" w:pos="11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August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x"/>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1)"/>
      <w:numFmt w:val="decimal"/>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1)"/>
      <w:numFmt w:val="lowerLetter"/>
      <w:start w:val="1"/>
    </w:lvl>
    <w:lvl w:ilvl="1">
      <w:lvlJc w:val="left"/>
      <w:lvlText w:val="(%2)"/>
      <w:numFmt w:val="lowerRoman"/>
      <w:start w:val="1"/>
    </w:lvl>
  </w:abstractNum>
  <w:abstractNum w:abstractNumId="23">
    <w:nsid w:val="310C50B3"/>
    <w:multiLevelType w:val="hybridMultilevel"/>
    <w:lvl w:ilvl="0">
      <w:lvlJc w:val="left"/>
      <w:lvlText w:val="%1"/>
      <w:numFmt w:val="lowerLetter"/>
      <w:start w:val="1"/>
    </w:lvl>
    <w:lvl w:ilvl="1">
      <w:lvlJc w:val="left"/>
      <w:lvlText w:val="(%2)"/>
      <w:numFmt w:val="lowerLetter"/>
      <w:start w:val="1"/>
    </w:lvl>
  </w:abstractNum>
  <w:abstractNum w:abstractNumId="24">
    <w:nsid w:val="5FF87E05"/>
    <w:multiLevelType w:val="hybridMultilevel"/>
    <w:lvl w:ilvl="0">
      <w:lvlJc w:val="left"/>
      <w:lvlText w:val="(%1)"/>
      <w:numFmt w:val="lowerLetter"/>
      <w:start w:val="35"/>
    </w:lvl>
    <w:lvl w:ilvl="1">
      <w:lvlJc w:val="left"/>
      <w:lvlText w:val="(%2)"/>
      <w:numFmt w:val="lowerLetter"/>
      <w:start w:val="2"/>
    </w:lvl>
  </w:abstractNum>
  <w:abstractNum w:abstractNumId="25">
    <w:nsid w:val="2F305DEF"/>
    <w:multiLevelType w:val="hybridMultilevel"/>
    <w:lvl w:ilvl="0">
      <w:lvlJc w:val="left"/>
      <w:lvlText w:val="(%1)"/>
      <w:numFmt w:val="lowerLetter"/>
      <w:start w:val="3"/>
    </w:lvl>
  </w:abstractNum>
  <w:abstractNum w:abstractNumId="26">
    <w:nsid w:val="25A70BF7"/>
    <w:multiLevelType w:val="hybridMultilevel"/>
    <w:lvl w:ilvl="0">
      <w:lvlJc w:val="left"/>
      <w:lvlText w:val="%1"/>
      <w:numFmt w:val="lowerLetter"/>
      <w:start w:val="1"/>
    </w:lvl>
    <w:lvl w:ilvl="1">
      <w:lvlJc w:val="left"/>
      <w:lvlText w:val="(%2)"/>
      <w:numFmt w:val="lowerLetter"/>
      <w:start w:val="5"/>
    </w:lvl>
  </w:abstractNum>
  <w:abstractNum w:abstractNumId="27">
    <w:nsid w:val="1DBABF00"/>
    <w:multiLevelType w:val="hybridMultilevel"/>
    <w:lvl w:ilvl="0">
      <w:lvlJc w:val="left"/>
      <w:lvlText w:val="(%1)"/>
      <w:numFmt w:val="lowerLetter"/>
      <w:start w:val="35"/>
    </w:lvl>
    <w:lvl w:ilvl="1">
      <w:lvlJc w:val="left"/>
      <w:lvlText w:val="%2"/>
      <w:numFmt w:val="lowerLetter"/>
      <w:start w:val="1"/>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30">
    <w:nsid w:val="1381823A"/>
    <w:multiLevelType w:val="hybridMultilevel"/>
    <w:lvl w:ilvl="0">
      <w:lvlJc w:val="left"/>
      <w:lvlText w:val="(%1)"/>
      <w:numFmt w:val="lowerLetter"/>
      <w:start w:val="2"/>
    </w:lvl>
    <w:lvl w:ilvl="1">
      <w:lvlJc w:val="left"/>
      <w:lvlText w:val="%2"/>
      <w:numFmt w:val="decimal"/>
      <w:start w:val="1"/>
    </w:lvl>
    <w:lvl w:ilvl="2">
      <w:lvlJc w:val="left"/>
      <w:lvlText w:val="%3."/>
      <w:numFmt w:val="decimal"/>
      <w:start w:val="4"/>
    </w:lvl>
  </w:abstractNum>
  <w:abstractNum w:abstractNumId="31">
    <w:nsid w:val="5DB70AE5"/>
    <w:multiLevelType w:val="hybridMultilevel"/>
    <w:lvl w:ilvl="0">
      <w:lvlJc w:val="left"/>
      <w:lvlText w:val="%1."/>
      <w:numFmt w:val="decimal"/>
      <w:start w:val="5"/>
    </w:lvl>
    <w:lvl w:ilvl="1">
      <w:lvlJc w:val="left"/>
      <w:lvlText w:val="(%2)"/>
      <w:numFmt w:val="lowerLetter"/>
      <w:start w:val="1"/>
    </w:lvl>
  </w:abstractNum>
  <w:abstractNum w:abstractNumId="32">
    <w:nsid w:val="100F8FCA"/>
    <w:multiLevelType w:val="hybridMultilevel"/>
    <w:lvl w:ilvl="0">
      <w:lvlJc w:val="left"/>
      <w:lvlText w:val="(%1)"/>
      <w:numFmt w:val="lowerLetter"/>
      <w:start w:val="9"/>
    </w:lvl>
    <w:lvl w:ilvl="1">
      <w:lvlJc w:val="left"/>
      <w:lvlText w:val="(%2)"/>
      <w:numFmt w:val="lowerLetter"/>
      <w:start w:val="2"/>
    </w:lvl>
  </w:abstractNum>
  <w:abstractNum w:abstractNumId="33">
    <w:nsid w:val="6590700B"/>
    <w:multiLevelType w:val="hybridMultilevel"/>
    <w:lvl w:ilvl="0">
      <w:lvlJc w:val="left"/>
      <w:lvlText w:val="%1."/>
      <w:numFmt w:val="decimal"/>
      <w:start w:val="6"/>
    </w:lvl>
  </w:abstractNum>
  <w:abstractNum w:abstractNumId="34">
    <w:nsid w:val="15014AC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35">
    <w:nsid w:val="5F5E7FD0"/>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8"/>
    </w:lvl>
    <w:lvl w:ilvl="3">
      <w:lvlJc w:val="left"/>
      <w:lvlText w:val="%4."/>
      <w:numFmt w:val="decimal"/>
      <w:start w:val="7"/>
    </w:lvl>
    <w:lvl w:ilvl="4">
      <w:lvlJc w:val="left"/>
      <w:lvlText w:val="%5."/>
      <w:numFmt w:val="decimal"/>
      <w:start w:val="7"/>
    </w:lvl>
  </w:abstractNum>
  <w:abstractNum w:abstractNumId="36">
    <w:nsid w:val="98A314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7">
    <w:nsid w:val="799D024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8">
    <w:nsid w:val="6B94764"/>
    <w:multiLevelType w:val="hybridMultilevel"/>
    <w:lvl w:ilvl="0">
      <w:lvlJc w:val="left"/>
      <w:lvlText w:val="%1."/>
      <w:numFmt w:val="decimal"/>
      <w:start w:val="12"/>
    </w:lvl>
    <w:lvl w:ilvl="1">
      <w:lvlJc w:val="left"/>
      <w:lvlText w:val="%2"/>
      <w:numFmt w:val="decimal"/>
      <w:start w:val="1"/>
    </w:lvl>
    <w:lvl w:ilvl="2">
      <w:lvlJc w:val="left"/>
      <w:lvlText w:val="%3."/>
      <w:numFmt w:val="decimal"/>
      <w:start w:val="14"/>
    </w:lvl>
  </w:abstractNum>
  <w:abstractNum w:abstractNumId="39">
    <w:nsid w:val="42C296BD"/>
    <w:multiLevelType w:val="hybridMultilevel"/>
    <w:lvl w:ilvl="0">
      <w:lvlJc w:val="left"/>
      <w:lvlText w:val="%1"/>
      <w:numFmt w:val="decimal"/>
      <w:start w:val="1"/>
    </w:lvl>
    <w:lvl w:ilvl="1">
      <w:lvlJc w:val="left"/>
      <w:lvlText w:val="%2"/>
      <w:numFmt w:val="decimal"/>
      <w:start w:val="1"/>
    </w:lvl>
    <w:lvl w:ilvl="2">
      <w:lvlJc w:val="left"/>
      <w:lvlText w:val="%3."/>
      <w:numFmt w:val="decimal"/>
      <w:start w:val="15"/>
    </w:lvl>
  </w:abstractNum>
  <w:abstractNum w:abstractNumId="40">
    <w:nsid w:val="168E121F"/>
    <w:multiLevelType w:val="hybridMultilevel"/>
    <w:lvl w:ilvl="0">
      <w:lvlJc w:val="left"/>
      <w:lvlText w:val="%1"/>
      <w:numFmt w:val="decimal"/>
      <w:start w:val="1"/>
    </w:lvl>
    <w:lvl w:ilvl="1">
      <w:lvlJc w:val="left"/>
      <w:lvlText w:val="%2."/>
      <w:numFmt w:val="decimal"/>
      <w:start w:val="16"/>
    </w:lvl>
    <w:lvl w:ilvl="2">
      <w:lvlJc w:val="left"/>
      <w:lvlText w:val="%3"/>
      <w:numFmt w:val="decimal"/>
      <w:start w:val="1"/>
    </w:lvl>
  </w:abstractNum>
  <w:abstractNum w:abstractNumId="41">
    <w:nsid w:val="1EBA5D23"/>
    <w:multiLevelType w:val="hybridMultilevel"/>
    <w:lvl w:ilvl="0">
      <w:lvlJc w:val="left"/>
      <w:lvlText w:val="%1."/>
      <w:numFmt w:val="decimal"/>
      <w:start w:val="17"/>
    </w:lvl>
    <w:lvl w:ilvl="1">
      <w:lvlJc w:val="left"/>
      <w:lvlText w:val="%2"/>
      <w:numFmt w:val="decimal"/>
      <w:start w:val="1"/>
    </w:lvl>
    <w:lvl w:ilvl="2">
      <w:lvlJc w:val="left"/>
      <w:lvlText w:val="%3"/>
      <w:numFmt w:val="decimal"/>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3"/>
    </w:lvl>
  </w:abstractNum>
  <w:abstractNum w:abstractNumId="44">
    <w:nsid w:val="540A471C"/>
    <w:multiLevelType w:val="hybridMultilevel"/>
    <w:lvl w:ilvl="0">
      <w:lvlJc w:val="left"/>
      <w:lvlText w:val="(%1)"/>
      <w:numFmt w:val="lowerLetter"/>
      <w:start w:val="2"/>
    </w:lvl>
    <w:lvl w:ilvl="1">
      <w:lvlJc w:val="left"/>
      <w:lvlText w:val="%2."/>
      <w:numFmt w:val="decimal"/>
      <w:start w:val="4"/>
    </w:lvl>
  </w:abstractNum>
  <w:abstractNum w:abstractNumId="45">
    <w:nsid w:val="7BD3EE7B"/>
    <w:multiLevelType w:val="hybridMultilevel"/>
    <w:lvl w:ilvl="0">
      <w:lvlJc w:val="left"/>
      <w:lvlText w:val="%1."/>
      <w:numFmt w:val="decimal"/>
      <w:start w:val="5"/>
    </w:lvl>
    <w:lvl w:ilvl="1">
      <w:lvlJc w:val="left"/>
      <w:lvlText w:val="(%2)"/>
      <w:numFmt w:val="lowerLetter"/>
      <w:start w:val="1"/>
    </w:lvl>
  </w:abstractNum>
  <w:abstractNum w:abstractNumId="46">
    <w:nsid w:val="51D9C564"/>
    <w:multiLevelType w:val="hybridMultilevel"/>
    <w:lvl w:ilvl="0">
      <w:lvlJc w:val="left"/>
      <w:lvlText w:val="(%1)"/>
      <w:numFmt w:val="decimal"/>
      <w:start w:val="5"/>
    </w:lvl>
    <w:lvl w:ilvl="1">
      <w:lvlJc w:val="left"/>
      <w:lvlText w:val="(%2)"/>
      <w:numFmt w:val="lowerLetter"/>
      <w:start w:val="2"/>
    </w:lvl>
  </w:abstractNum>
  <w:abstractNum w:abstractNumId="47">
    <w:nsid w:val="613EFDC5"/>
    <w:multiLevelType w:val="hybridMultilevel"/>
    <w:lvl w:ilvl="0">
      <w:lvlJc w:val="left"/>
      <w:lvlText w:val="%1."/>
      <w:numFmt w:val="decimal"/>
      <w:start w:val="7"/>
    </w:lvl>
  </w:abstractNum>
  <w:abstractNum w:abstractNumId="48">
    <w:nsid w:val="BF72B14"/>
    <w:multiLevelType w:val="hybridMultilevel"/>
    <w:lvl w:ilvl="0">
      <w:lvlJc w:val="left"/>
      <w:lvlText w:val="%1."/>
      <w:numFmt w:val="decimal"/>
      <w:start w:val="8"/>
    </w:lvl>
    <w:lvl w:ilvl="1">
      <w:lvlJc w:val="left"/>
      <w:lvlText w:val="%2."/>
      <w:numFmt w:val="decimal"/>
      <w:start w:val="9"/>
    </w:lvl>
    <w:lvl w:ilvl="2">
      <w:lvlJc w:val="left"/>
      <w:lvlText w:val="%3."/>
      <w:numFmt w:val="decimal"/>
      <w:start w:val="11"/>
    </w:lvl>
    <w:lvl w:ilvl="3">
      <w:lvlJc w:val="left"/>
      <w:lvlText w:val="%4."/>
      <w:numFmt w:val="decimal"/>
      <w:start w:val="11"/>
    </w:lvl>
  </w:abstractNum>
  <w:abstractNum w:abstractNumId="49">
    <w:nsid w:val="11447B73"/>
    <w:multiLevelType w:val="hybridMultilevel"/>
    <w:lvl w:ilvl="0">
      <w:lvlJc w:val="left"/>
      <w:lvlText w:val="%1."/>
      <w:numFmt w:val="decimal"/>
      <w:start w:val="13"/>
    </w:lvl>
    <w:lvl w:ilvl="1">
      <w:lvlJc w:val="left"/>
      <w:lvlText w:val="%2."/>
      <w:numFmt w:val="decimal"/>
      <w:start w:val="14"/>
    </w:lvl>
  </w:abstractNum>
  <w:abstractNum w:abstractNumId="50">
    <w:nsid w:val="42963E5A"/>
    <w:multiLevelType w:val="hybridMultilevel"/>
    <w:lvl w:ilvl="0">
      <w:lvlJc w:val="left"/>
      <w:lvlText w:val="%1."/>
      <w:numFmt w:val="decimal"/>
      <w:start w:val="15"/>
    </w:lvl>
    <w:lvl w:ilvl="1">
      <w:lvlJc w:val="left"/>
      <w:lvlText w:val="%2."/>
      <w:numFmt w:val="decimal"/>
      <w:start w:val="16"/>
    </w:lvl>
    <w:lvl w:ilvl="2">
      <w:lvlJc w:val="left"/>
      <w:lvlText w:val="%3."/>
      <w:numFmt w:val="decimal"/>
      <w:start w:val="16"/>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3"/>
    </w:lvl>
  </w:abstractNum>
  <w:abstractNum w:abstractNumId="53">
    <w:nsid w:val="1A32234B"/>
    <w:multiLevelType w:val="hybridMultilevel"/>
    <w:lvl w:ilvl="0">
      <w:lvlJc w:val="left"/>
      <w:lvlText w:val="%1"/>
      <w:numFmt w:val="decimal"/>
      <w:start w:val="1"/>
    </w:lvl>
    <w:lvl w:ilvl="1">
      <w:lvlJc w:val="left"/>
      <w:lvlText w:val="%2."/>
      <w:numFmt w:val="decimal"/>
      <w:start w:val="4"/>
    </w:lvl>
  </w:abstractNum>
  <w:abstractNum w:abstractNumId="54">
    <w:nsid w:val="3B0FD379"/>
    <w:multiLevelType w:val="hybridMultilevel"/>
    <w:lvl w:ilvl="0">
      <w:lvlJc w:val="left"/>
      <w:lvlText w:val="%1."/>
      <w:numFmt w:val="decimal"/>
      <w:start w:val="5"/>
    </w:lvl>
    <w:lvl w:ilvl="1">
      <w:lvlJc w:val="left"/>
      <w:lvlText w:val="%2"/>
      <w:numFmt w:val="decimal"/>
      <w:start w:val="1"/>
    </w:lvl>
  </w:abstractNum>
  <w:abstractNum w:abstractNumId="55">
    <w:nsid w:val="68EB2F63"/>
    <w:multiLevelType w:val="hybridMultilevel"/>
    <w:lvl w:ilvl="0">
      <w:lvlJc w:val="left"/>
      <w:lvlText w:val="%1."/>
      <w:numFmt w:val="decimal"/>
      <w:start w:val="6"/>
    </w:lvl>
    <w:lvl w:ilvl="1">
      <w:lvlJc w:val="left"/>
      <w:lvlText w:val="(%2)"/>
      <w:numFmt w:val="lowerLetter"/>
      <w:start w:val="1"/>
    </w:lvl>
  </w:abstractNum>
  <w:abstractNum w:abstractNumId="56">
    <w:nsid w:val="4962813B"/>
    <w:multiLevelType w:val="hybridMultilevel"/>
    <w:lvl w:ilvl="0">
      <w:lvlJc w:val="left"/>
      <w:lvlText w:val="%1"/>
      <w:numFmt w:val="decimal"/>
      <w:start w:val="1"/>
    </w:lvl>
    <w:lvl w:ilvl="1">
      <w:lvlJc w:val="left"/>
      <w:lvlText w:val="(%2)"/>
      <w:numFmt w:val="lowerLetter"/>
      <w:start w:val="2"/>
    </w:lvl>
  </w:abstractNum>
  <w:abstractNum w:abstractNumId="57">
    <w:nsid w:val="60B6DF70"/>
    <w:multiLevelType w:val="hybridMultilevel"/>
    <w:lvl w:ilvl="0">
      <w:lvlJc w:val="left"/>
      <w:lvlText w:val="%1."/>
      <w:numFmt w:val="decimal"/>
      <w:start w:val="7"/>
    </w:lvl>
    <w:lvl w:ilvl="1">
      <w:lvlJc w:val="left"/>
      <w:lvlText w:val="%2"/>
      <w:numFmt w:val="lowerLetter"/>
      <w:start w:val="1"/>
    </w:lvl>
  </w:abstractNum>
  <w:abstractNum w:abstractNumId="58">
    <w:nsid w:val="6A5EE64"/>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abstractNum>
  <w:abstractNum w:abstractNumId="59">
    <w:nsid w:val="14330624"/>
    <w:multiLevelType w:val="hybridMultilevel"/>
    <w:lvl w:ilvl="0">
      <w:lvlJc w:val="left"/>
      <w:lvlText w:val="%1."/>
      <w:numFmt w:val="decimal"/>
      <w:start w:val="9"/>
    </w:lvl>
    <w:lvl w:ilvl="1">
      <w:lvlJc w:val="left"/>
      <w:lvlText w:val="%2"/>
      <w:numFmt w:val="decimal"/>
      <w:start w:val="1"/>
    </w:lvl>
    <w:lvl w:ilvl="2">
      <w:lvlJc w:val="left"/>
      <w:lvlText w:val="%3."/>
      <w:numFmt w:val="decimal"/>
      <w:start w:val="10"/>
    </w:lvl>
    <w:lvl w:ilvl="3">
      <w:lvlJc w:val="left"/>
      <w:lvlText w:val="%4."/>
      <w:numFmt w:val="decimal"/>
      <w:start w:val="10"/>
    </w:lvl>
  </w:abstractNum>
  <w:abstractNum w:abstractNumId="60">
    <w:nsid w:val="7FFFCA11"/>
    <w:multiLevelType w:val="hybridMultilevel"/>
    <w:lvl w:ilvl="0">
      <w:lvlJc w:val="left"/>
      <w:lvlText w:val="%1."/>
      <w:numFmt w:val="decimal"/>
      <w:start w:val="12"/>
    </w:lvl>
    <w:lvl w:ilvl="1">
      <w:lvlJc w:val="left"/>
      <w:lvlText w:val="%2."/>
      <w:numFmt w:val="decimal"/>
      <w:start w:val="14"/>
    </w:lvl>
    <w:lvl w:ilvl="2">
      <w:lvlJc w:val="left"/>
      <w:lvlText w:val="%3."/>
      <w:numFmt w:val="decimal"/>
      <w:start w:val="16"/>
    </w:lvl>
    <w:lvl w:ilvl="3">
      <w:lvlJc w:val="left"/>
      <w:lvlText w:val="%4."/>
      <w:numFmt w:val="decimal"/>
      <w:start w:val="14"/>
    </w:lvl>
  </w:abstractNum>
  <w:abstractNum w:abstractNumId="61">
    <w:nsid w:val="1A27709E"/>
    <w:multiLevelType w:val="hybridMultilevel"/>
    <w:lvl w:ilvl="0">
      <w:lvlJc w:val="left"/>
      <w:lvlText w:val="%1."/>
      <w:numFmt w:val="decimal"/>
      <w:start w:val="17"/>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3"/>
    </w:lvl>
  </w:abstractNum>
  <w:abstractNum w:abstractNumId="64">
    <w:nsid w:val="7FB7E0AA"/>
    <w:multiLevelType w:val="hybridMultilevel"/>
    <w:lvl w:ilvl="0">
      <w:lvlJc w:val="left"/>
      <w:lvlText w:val="%1"/>
      <w:numFmt w:val="decimal"/>
      <w:start w:val="1"/>
    </w:lvl>
    <w:lvl w:ilvl="1">
      <w:lvlJc w:val="left"/>
      <w:lvlText w:val="%2."/>
      <w:numFmt w:val="decimal"/>
      <w:start w:val="4"/>
    </w:lvl>
  </w:abstractNum>
  <w:abstractNum w:abstractNumId="65">
    <w:nsid w:val="6EB5BD4"/>
    <w:multiLevelType w:val="hybridMultilevel"/>
    <w:lvl w:ilvl="0">
      <w:lvlJc w:val="left"/>
      <w:lvlText w:val="%1."/>
      <w:numFmt w:val="decimal"/>
      <w:start w:val="5"/>
    </w:lvl>
    <w:lvl w:ilvl="1">
      <w:lvlJc w:val="left"/>
      <w:lvlText w:val="%2"/>
      <w:numFmt w:val="decimal"/>
      <w:start w:val="1"/>
    </w:lvl>
  </w:abstractNum>
  <w:abstractNum w:abstractNumId="66">
    <w:nsid w:val="6F6DD9AC"/>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decimal"/>
      <w:start w:val="1"/>
    </w:lvl>
  </w:abstractNum>
  <w:abstractNum w:abstractNumId="67">
    <w:nsid w:val="94211F2"/>
    <w:multiLevelType w:val="hybridMultilevel"/>
    <w:lvl w:ilvl="0">
      <w:lvlJc w:val="left"/>
      <w:lvlText w:val="%1."/>
      <w:numFmt w:val="decimal"/>
      <w:start w:val="7"/>
    </w:lvl>
    <w:lvl w:ilvl="1">
      <w:lvlJc w:val="left"/>
      <w:lvlText w:val="%2"/>
      <w:numFmt w:val="decimal"/>
      <w:start w:val="1"/>
    </w:lvl>
    <w:lvl w:ilvl="2">
      <w:lvlJc w:val="left"/>
      <w:lvlText w:val="%3."/>
      <w:numFmt w:val="decimal"/>
      <w:start w:val="8"/>
    </w:lvl>
    <w:lvl w:ilvl="3">
      <w:lvlJc w:val="left"/>
      <w:lvlText w:val="%4."/>
      <w:numFmt w:val="decimal"/>
      <w:start w:val="9"/>
    </w:lvl>
    <w:lvl w:ilvl="4">
      <w:lvlJc w:val="left"/>
      <w:lvlText w:val="%5."/>
      <w:numFmt w:val="decimal"/>
      <w:start w:val="11"/>
    </w:lvl>
    <w:lvl w:ilvl="5">
      <w:lvlJc w:val="left"/>
      <w:lvlText w:val="%6."/>
      <w:numFmt w:val="decimal"/>
      <w:start w:val="10"/>
    </w:lvl>
    <w:lvl w:ilvl="6">
      <w:lvlJc w:val="left"/>
      <w:lvlText w:val="%7."/>
      <w:numFmt w:val="decimal"/>
      <w:start w:val="10"/>
    </w:lvl>
  </w:abstractNum>
  <w:abstractNum w:abstractNumId="68">
    <w:nsid w:val="885E1B"/>
    <w:multiLevelType w:val="hybridMultilevel"/>
    <w:lvl w:ilvl="0">
      <w:lvlJc w:val="left"/>
      <w:lvlText w:val="%1."/>
      <w:numFmt w:val="decimal"/>
      <w:start w:val="13"/>
    </w:lvl>
    <w:lvl w:ilvl="1">
      <w:lvlJc w:val="left"/>
      <w:lvlText w:val="%2."/>
      <w:numFmt w:val="decimal"/>
      <w:start w:val="14"/>
    </w:lvl>
  </w:abstractNum>
  <w:abstractNum w:abstractNumId="69">
    <w:nsid w:val="76272110"/>
    <w:multiLevelType w:val="hybridMultilevel"/>
    <w:lvl w:ilvl="0">
      <w:lvlJc w:val="left"/>
      <w:lvlText w:val="%1."/>
      <w:numFmt w:val="decimal"/>
      <w:start w:val="15"/>
    </w:lvl>
    <w:lvl w:ilvl="1">
      <w:lvlJc w:val="left"/>
      <w:lvlText w:val="%2."/>
      <w:numFmt w:val="decimal"/>
      <w:start w:val="16"/>
    </w:lvl>
  </w:abstractNum>
  <w:abstractNum w:abstractNumId="70">
    <w:nsid w:val="4C04A8AF"/>
    <w:multiLevelType w:val="hybridMultilevel"/>
    <w:lvl w:ilvl="0">
      <w:lvlJc w:val="left"/>
      <w:lvlText w:val="%1."/>
      <w:numFmt w:val="decimal"/>
      <w:start w:val="17"/>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1."/>
      <w:numFmt w:val="decimal"/>
      <w:start w:val="3"/>
    </w:lvl>
  </w:abstractNum>
  <w:abstractNum w:abstractNumId="73">
    <w:nsid w:val="3222E7CD"/>
    <w:multiLevelType w:val="hybridMultilevel"/>
    <w:lvl w:ilvl="0">
      <w:lvlJc w:val="left"/>
      <w:lvlText w:val="%1"/>
      <w:numFmt w:val="decimal"/>
      <w:start w:val="1"/>
    </w:lvl>
    <w:lvl w:ilvl="1">
      <w:lvlJc w:val="left"/>
      <w:lvlText w:val="%2."/>
      <w:numFmt w:val="decimal"/>
      <w:start w:val="4"/>
    </w:lvl>
  </w:abstractNum>
  <w:abstractNum w:abstractNumId="74">
    <w:nsid w:val="74DE0EE3"/>
    <w:multiLevelType w:val="hybridMultilevel"/>
    <w:lvl w:ilvl="0">
      <w:lvlJc w:val="left"/>
      <w:lvlText w:val="%1."/>
      <w:numFmt w:val="decimal"/>
      <w:start w:val="5"/>
    </w:lvl>
    <w:lvl w:ilvl="1">
      <w:lvlJc w:val="left"/>
      <w:lvlText w:val="%2"/>
      <w:numFmt w:val="decimal"/>
      <w:start w:val="1"/>
    </w:lvl>
  </w:abstractNum>
  <w:abstractNum w:abstractNumId="75">
    <w:nsid w:val="68EBC550"/>
    <w:multiLevelType w:val="hybridMultilevel"/>
    <w:lvl w:ilvl="0">
      <w:lvlJc w:val="left"/>
      <w:lvlText w:val="(%1)"/>
      <w:numFmt w:val="decimal"/>
      <w:start w:val="60"/>
    </w:lvl>
  </w:abstractNum>
  <w:abstractNum w:abstractNumId="76">
    <w:nsid w:val="2DF6D648"/>
    <w:multiLevelType w:val="hybridMultilevel"/>
    <w:lvl w:ilvl="0">
      <w:lvlJc w:val="left"/>
      <w:lvlText w:val="%1."/>
      <w:numFmt w:val="decimal"/>
      <w:start w:val="6"/>
    </w:lvl>
  </w:abstractNum>
  <w:abstractNum w:abstractNumId="77">
    <w:nsid w:val="46B7D447"/>
    <w:multiLevelType w:val="hybridMultilevel"/>
    <w:lvl w:ilvl="0">
      <w:lvlJc w:val="left"/>
      <w:lvlText w:val="%1"/>
      <w:numFmt w:val="lowerLetter"/>
      <w:start w:val="1"/>
    </w:lvl>
    <w:lvl w:ilvl="1">
      <w:lvlJc w:val="left"/>
      <w:lvlText w:val="(%2)"/>
      <w:numFmt w:val="lowerLetter"/>
      <w:start w:val="1"/>
    </w:lvl>
  </w:abstractNum>
  <w:abstractNum w:abstractNumId="78">
    <w:nsid w:val="4A2AC315"/>
    <w:multiLevelType w:val="hybridMultilevel"/>
    <w:lvl w:ilvl="0">
      <w:lvlJc w:val="left"/>
      <w:lvlText w:val="(%1)"/>
      <w:numFmt w:val="lowerLetter"/>
      <w:start w:val="2"/>
    </w:lvl>
    <w:lvl w:ilvl="1">
      <w:lvlJc w:val="left"/>
      <w:lvlText w:val="%2"/>
      <w:numFmt w:val="lowerLetter"/>
      <w:start w:val="1"/>
    </w:lvl>
  </w:abstractNum>
  <w:abstractNum w:abstractNumId="79">
    <w:nsid w:val="39EE015C"/>
    <w:multiLevelType w:val="hybridMultilevel"/>
    <w:lvl w:ilvl="0">
      <w:lvlJc w:val="left"/>
      <w:lvlText w:val="%1."/>
      <w:numFmt w:val="decimal"/>
      <w:start w:val="7"/>
    </w:lvl>
    <w:lvl w:ilvl="1">
      <w:lvlJc w:val="left"/>
      <w:lvlText w:val="%2."/>
      <w:numFmt w:val="decimal"/>
      <w:start w:val="8"/>
    </w:lvl>
  </w:abstractNum>
  <w:abstractNum w:abstractNumId="80">
    <w:nsid w:val="57FC4FBB"/>
    <w:multiLevelType w:val="hybridMultilevel"/>
    <w:lvl w:ilvl="0">
      <w:lvlJc w:val="left"/>
      <w:lvlText w:val="%1."/>
      <w:numFmt w:val="decimal"/>
      <w:start w:val="9"/>
    </w:lvl>
    <w:lvl w:ilvl="1">
      <w:lvlJc w:val="left"/>
      <w:lvlText w:val="%2."/>
      <w:numFmt w:val="decimal"/>
      <w:start w:val="10"/>
    </w:lvl>
  </w:abstractNum>
  <w:abstractNum w:abstractNumId="81">
    <w:nsid w:val="CC1016F"/>
    <w:multiLevelType w:val="hybridMultilevel"/>
    <w:lvl w:ilvl="0">
      <w:lvlJc w:val="left"/>
      <w:lvlText w:val="%1."/>
      <w:numFmt w:val="decimal"/>
      <w:start w:val="11"/>
    </w:lvl>
    <w:lvl w:ilvl="1">
      <w:lvlJc w:val="left"/>
      <w:lvlText w:val="%2."/>
      <w:numFmt w:val="decimal"/>
      <w:start w:val="12"/>
    </w:lvl>
  </w:abstractNum>
  <w:abstractNum w:abstractNumId="82">
    <w:nsid w:val="43F18422"/>
    <w:multiLevelType w:val="hybridMultilevel"/>
    <w:lvl w:ilvl="0">
      <w:lvlJc w:val="left"/>
      <w:lvlText w:val="%1."/>
      <w:numFmt w:val="decimal"/>
      <w:start w:val="13"/>
    </w:lvl>
    <w:lvl w:ilvl="1">
      <w:lvlJc w:val="left"/>
      <w:lvlText w:val="%2."/>
      <w:numFmt w:val="decimal"/>
      <w:start w:val="15"/>
    </w:lvl>
    <w:lvl w:ilvl="2">
      <w:lvlJc w:val="left"/>
      <w:lvlText w:val="%3."/>
      <w:numFmt w:val="decimal"/>
      <w:start w:val="14"/>
    </w:lvl>
    <w:lvl w:ilvl="3">
      <w:lvlJc w:val="left"/>
      <w:lvlText w:val="%4."/>
      <w:numFmt w:val="decimal"/>
      <w:start w:val="15"/>
    </w:lvl>
  </w:abstractNum>
  <w:abstractNum w:abstractNumId="83">
    <w:nsid w:val="60EF0119"/>
    <w:multiLevelType w:val="hybridMultilevel"/>
    <w:lvl w:ilvl="0">
      <w:lvlJc w:val="left"/>
      <w:lvlText w:val="%1"/>
      <w:numFmt w:val="decimal"/>
      <w:start w:val="1"/>
    </w:lvl>
    <w:lvl w:ilvl="1">
      <w:lvlJc w:val="left"/>
      <w:lvlText w:val="%2."/>
      <w:numFmt w:val="decimal"/>
      <w:start w:val="1"/>
    </w:lvl>
  </w:abstractNum>
  <w:abstractNum w:abstractNumId="84">
    <w:nsid w:val="26F324BA"/>
    <w:multiLevelType w:val="hybridMultilevel"/>
    <w:lvl w:ilvl="0">
      <w:lvlJc w:val="left"/>
      <w:lvlText w:val="%1."/>
      <w:numFmt w:val="decimal"/>
      <w:start w:val="2"/>
    </w:lvl>
    <w:lvl w:ilvl="1">
      <w:lvlJc w:val="left"/>
      <w:lvlText w:val="%2"/>
      <w:numFmt w:val="decimal"/>
      <w:start w:val="1"/>
    </w:lvl>
  </w:abstractNum>
  <w:abstractNum w:abstractNumId="85">
    <w:nsid w:val="7F01579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decimal"/>
      <w:start w:val="3"/>
    </w:lvl>
    <w:lvl w:ilvl="5">
      <w:lvlJc w:val="left"/>
      <w:lvlText w:val="%6"/>
      <w:numFmt w:val="lowerLetter"/>
      <w:start w:val="1"/>
    </w:lvl>
  </w:abstractNum>
  <w:abstractNum w:abstractNumId="86">
    <w:nsid w:val="49DA307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lvl w:ilvl="3">
      <w:lvlJc w:val="left"/>
      <w:lvlText w:val="%4."/>
      <w:numFmt w:val="decimal"/>
      <w:start w:val="5"/>
    </w:lvl>
    <w:lvl w:ilvl="4">
      <w:lvlJc w:val="left"/>
      <w:lvlText w:val="%5"/>
      <w:numFmt w:val="decimal"/>
      <w:start w:val="1"/>
    </w:lvl>
    <w:lvl w:ilvl="5">
      <w:lvlJc w:val="left"/>
      <w:lvlText w:val="%6"/>
      <w:numFmt w:val="lowerLetter"/>
      <w:start w:val="1"/>
    </w:lvl>
  </w:abstractNum>
  <w:abstractNum w:abstractNumId="87">
    <w:nsid w:val="7055A5F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lowerLetter"/>
      <w:start w:val="2"/>
    </w:lvl>
  </w:abstractNum>
  <w:abstractNum w:abstractNumId="88">
    <w:nsid w:val="5FB8370B"/>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89">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6"/>
    </w:lvl>
    <w:lvl w:ilvl="5">
      <w:lvlJc w:val="left"/>
      <w:lvlText w:val="%6"/>
      <w:numFmt w:val="decimal"/>
      <w:start w:val="1"/>
    </w:lvl>
  </w:abstractNum>
  <w:abstractNum w:abstractNumId="90">
    <w:nsid w:val="488AC1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7"/>
    </w:lvl>
    <w:lvl w:ilvl="4">
      <w:lvlJc w:val="left"/>
      <w:lvlText w:val="%5"/>
      <w:numFmt w:val="decimal"/>
      <w:start w:val="1"/>
    </w:lvl>
    <w:lvl w:ilvl="5">
      <w:lvlJc w:val="left"/>
      <w:lvlText w:val="%6"/>
      <w:numFmt w:val="decimal"/>
      <w:start w:val="1"/>
    </w:lvl>
  </w:abstractNum>
  <w:abstractNum w:abstractNumId="91">
    <w:nsid w:val="5FB8011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92">
    <w:nsid w:val="6AA78F7F"/>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1"/>
    </w:lvl>
    <w:lvl w:ilvl="5">
      <w:lvlJc w:val="left"/>
      <w:lvlText w:val="%6."/>
      <w:numFmt w:val="decimal"/>
      <w:start w:val="8"/>
    </w:lvl>
  </w:abstractNum>
  <w:abstractNum w:abstractNumId="93">
    <w:nsid w:val="7672BD23"/>
    <w:multiLevelType w:val="hybridMultilevel"/>
    <w:lvl w:ilvl="0">
      <w:lvlJc w:val="left"/>
      <w:lvlText w:val="%1."/>
      <w:numFmt w:val="decimal"/>
      <w:start w:val="9"/>
    </w:lvl>
  </w:abstractNum>
  <w:abstractNum w:abstractNumId="94">
    <w:nsid w:val="6FC75AF8"/>
    <w:multiLevelType w:val="hybridMultilevel"/>
    <w:lvl w:ilvl="0">
      <w:lvlJc w:val="left"/>
      <w:lvlText w:val="%1."/>
      <w:numFmt w:val="decimal"/>
      <w:start w:val="10"/>
    </w:lvl>
    <w:lvl w:ilvl="1">
      <w:lvlJc w:val="left"/>
      <w:lvlText w:val="%2."/>
      <w:numFmt w:val="decimal"/>
      <w:start w:val="11"/>
    </w:lvl>
    <w:lvl w:ilvl="2">
      <w:lvlJc w:val="left"/>
      <w:lvlText w:val="%3."/>
      <w:numFmt w:val="decimal"/>
      <w:start w:val="11"/>
    </w:lvl>
  </w:abstractNum>
  <w:abstractNum w:abstractNumId="95">
    <w:nsid w:val="6A5F7029"/>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abstractNum>
  <w:abstractNum w:abstractNumId="96">
    <w:nsid w:val="7D5E18F8"/>
    <w:multiLevelType w:val="hybridMultilevel"/>
    <w:lvl w:ilvl="0">
      <w:lvlJc w:val="left"/>
      <w:lvlText w:val="%1."/>
      <w:numFmt w:val="decimal"/>
      <w:start w:val="14"/>
    </w:lvl>
    <w:lvl w:ilvl="1">
      <w:lvlJc w:val="left"/>
      <w:lvlText w:val="%2."/>
      <w:numFmt w:val="decimal"/>
      <w:start w:val="15"/>
    </w:lvl>
    <w:lvl w:ilvl="2">
      <w:lvlJc w:val="left"/>
      <w:lvlText w:val="%3"/>
      <w:numFmt w:val="decimal"/>
      <w:start w:val="1"/>
    </w:lvl>
  </w:abstractNum>
  <w:abstractNum w:abstractNumId="97">
    <w:nsid w:val="5F3534A4"/>
    <w:multiLevelType w:val="hybridMultilevel"/>
    <w:lvl w:ilvl="0">
      <w:lvlJc w:val="left"/>
      <w:lvlText w:val="%1"/>
      <w:numFmt w:val="decimal"/>
      <w:start w:val="1"/>
    </w:lvl>
    <w:lvl w:ilvl="1">
      <w:lvlJc w:val="left"/>
      <w:lvlText w:val="%2"/>
      <w:numFmt w:val="decimal"/>
      <w:start w:val="1"/>
    </w:lvl>
    <w:lvl w:ilvl="2">
      <w:lvlJc w:val="left"/>
      <w:lvlText w:val="%3."/>
      <w:numFmt w:val="decimal"/>
      <w:start w:val="16"/>
    </w:lvl>
  </w:abstractNum>
  <w:abstractNum w:abstractNumId="98">
    <w:nsid w:val="73A1821B"/>
    <w:multiLevelType w:val="hybridMultilevel"/>
    <w:lvl w:ilvl="0">
      <w:lvlJc w:val="left"/>
      <w:lvlText w:val="%1."/>
      <w:numFmt w:val="decimal"/>
      <w:start w:val="17"/>
    </w:lvl>
    <w:lvl w:ilvl="1">
      <w:lvlJc w:val="left"/>
      <w:lvlText w:val="%2."/>
      <w:numFmt w:val="decimal"/>
      <w:start w:val="18"/>
    </w:lvl>
    <w:lvl w:ilvl="2">
      <w:lvlJc w:val="left"/>
      <w:lvlText w:val="%3"/>
      <w:numFmt w:val="decimal"/>
      <w:start w:val="1"/>
    </w:lvl>
  </w:abstractNum>
  <w:abstractNum w:abstractNumId="99">
    <w:nsid w:val="7DE67713"/>
    <w:multiLevelType w:val="hybridMultilevel"/>
    <w:lvl w:ilvl="0">
      <w:lvlJc w:val="left"/>
      <w:lvlText w:val="%1."/>
      <w:numFmt w:val="decimal"/>
      <w:start w:val="19"/>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51" Type="http://schemas.openxmlformats.org/officeDocument/2006/relationships/hyperlink" Target="https://www.sec.gov/Archives/edgar/data/30305/0000892569-99-000620-index.html" TargetMode="External"/><Relationship Id="rId52" Type="http://schemas.openxmlformats.org/officeDocument/2006/relationships/hyperlink" Target="https://www.sec.gov/Archives/edgar/data/30305/000119312524114064/d820807dex101.htm" TargetMode="External"/><Relationship Id="rId53" Type="http://schemas.openxmlformats.org/officeDocument/2006/relationships/hyperlink" Target="https://www.sec.gov/Archives/edgar/data/30305/000119312524136295/d827020dex991.htm" TargetMode="External"/><Relationship Id="rId54" Type="http://schemas.openxmlformats.org/officeDocument/2006/relationships/hyperlink" Target="https://www.sec.gov/Archives/edgar/data/30305/000119312524136295/d827020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2024-08-08T06:01:13Z</dcterms:created>
  <dcterms:modified xsi:type="dcterms:W3CDTF">2024-08-08T06:01:13Z</dcterms:modified>
</cp:coreProperties>
</file>