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tbl>
      <w:tblPr>
        <w:tblW w:w="10205" w:type="dxa"/>
        <w:jc w:val="center"/>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4, 2026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001-08174</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60" w:after="283"/>
        <w:jc w:val="center"/>
        <w:rPr>
          <w:rFonts w:ascii="Times New Roman;serif" w:hAnsi="Times New Roman;serif"/>
          <w:b/>
          <w:color w:val="000000"/>
          <w:sz w:val="44"/>
        </w:rPr>
      </w:pPr>
      <w:r>
        <w:rPr>
          <w:rFonts w:ascii="Times New Roman;serif" w:hAnsi="Times New Roman;serif"/>
          <w:b/>
          <w:color w:val="000000"/>
          <w:sz w:val="44"/>
        </w:rPr>
        <w:t>DUCOMMUN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tbl>
      <w:tblPr>
        <w:tblW w:w="6760" w:type="dxa"/>
        <w:jc w:val="center"/>
        <w:tblInd w:w="0" w:type="dxa"/>
        <w:tblLayout w:type="fixed"/>
        <w:tblCellMar>
          <w:top w:w="28" w:type="dxa"/>
          <w:left w:w="28" w:type="dxa"/>
          <w:bottom w:w="28" w:type="dxa"/>
          <w:right w:w="28" w:type="dxa"/>
        </w:tblCellMar>
      </w:tblPr>
      <w:tblGrid>
        <w:gridCol w:w="1790"/>
        <w:gridCol w:w="1568"/>
        <w:gridCol w:w="1591"/>
        <w:gridCol w:w="109"/>
        <w:gridCol w:w="109"/>
        <w:gridCol w:w="109"/>
        <w:gridCol w:w="433"/>
        <w:gridCol w:w="433"/>
        <w:gridCol w:w="618"/>
      </w:tblGrid>
      <w:tr>
        <w:trPr/>
        <w:tc>
          <w:tcPr>
            <w:tcW w:w="179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95-0693330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600 Anton Boulevard, Suite 1100, Costa Mesa,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92626-7100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(657) 335-3665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976" w:type="dxa"/>
        <w:jc w:val="left"/>
        <w:tblInd w:w="0" w:type="dxa"/>
        <w:tblLayout w:type="fixed"/>
        <w:tblCellMar>
          <w:top w:w="28" w:type="dxa"/>
          <w:left w:w="28" w:type="dxa"/>
          <w:bottom w:w="28" w:type="dxa"/>
          <w:right w:w="28" w:type="dxa"/>
        </w:tblCellMar>
      </w:tblPr>
      <w:tblGrid>
        <w:gridCol w:w="1285"/>
        <w:gridCol w:w="1127"/>
        <w:gridCol w:w="1142"/>
        <w:gridCol w:w="109"/>
        <w:gridCol w:w="109"/>
        <w:gridCol w:w="109"/>
        <w:gridCol w:w="484"/>
        <w:gridCol w:w="484"/>
        <w:gridCol w:w="486"/>
        <w:gridCol w:w="109"/>
        <w:gridCol w:w="109"/>
        <w:gridCol w:w="109"/>
        <w:gridCol w:w="970"/>
        <w:gridCol w:w="970"/>
        <w:gridCol w:w="1374"/>
      </w:tblGrid>
      <w:tr>
        <w:trPr/>
        <w:tc>
          <w:tcPr>
            <w:tcW w:w="12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18"/>
        </w:rPr>
        <w:t>_________________________________________________________</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4"/>
        </w:rPr>
        <w:t xml:space="preserve">x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sans-serif" w:hAnsi="Wingdings;sans-serif"/>
          <w:b w:val="false"/>
          <w:color w:val="000000"/>
          <w:sz w:val="24"/>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4"/>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July 30, 2026, the registrant had 15,099,779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tbl>
      <w:tblPr>
        <w:tblW w:w="10205" w:type="dxa"/>
        <w:jc w:val="center"/>
        <w:tblInd w:w="0" w:type="dxa"/>
        <w:tblLayout w:type="fixed"/>
        <w:tblCellMar>
          <w:top w:w="28" w:type="dxa"/>
          <w:left w:w="28" w:type="dxa"/>
          <w:bottom w:w="28" w:type="dxa"/>
          <w:right w:w="28" w:type="dxa"/>
        </w:tblCellMar>
      </w:tblPr>
      <w:tblGrid>
        <w:gridCol w:w="221"/>
        <w:gridCol w:w="194"/>
        <w:gridCol w:w="194"/>
        <w:gridCol w:w="326"/>
        <w:gridCol w:w="317"/>
        <w:gridCol w:w="210"/>
        <w:gridCol w:w="2732"/>
        <w:gridCol w:w="2565"/>
        <w:gridCol w:w="2571"/>
        <w:gridCol w:w="250"/>
        <w:gridCol w:w="250"/>
        <w:gridCol w:w="375"/>
      </w:tblGrid>
      <w:tr>
        <w:trPr/>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3">
              <w:r>
                <w:rPr>
                  <w:rStyle w:val="InternetLink"/>
                  <w:rFonts w:ascii="Times New Roman;serif" w:hAnsi="Times New Roman;serif"/>
                  <w:b/>
                  <w:color w:val="0000FF"/>
                  <w:sz w:val="20"/>
                  <w:u w:val="single"/>
                </w:rPr>
                <w:t>PART I</w:t>
              </w:r>
            </w:hyperlink>
            <w:r>
              <w:rPr>
                <w:rFonts w:ascii="Times New Roman;serif" w:hAnsi="Times New Roman;serif"/>
                <w:b/>
                <w:color w:val="000000"/>
                <w:sz w:val="20"/>
              </w:rPr>
              <w:t>. FINANCIAL INFORMATION</w:t>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868"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868"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Forward Looking Statements</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0">
              <w:r>
                <w:rPr>
                  <w:rStyle w:val="InternetLink"/>
                  <w:rFonts w:ascii="Times New Roman;serif" w:hAnsi="Times New Roman;serif"/>
                  <w:b w:val="false"/>
                  <w:color w:val="0000FF"/>
                  <w:sz w:val="20"/>
                  <w:u w:val="single"/>
                </w:rPr>
                <w:t>3</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6">
              <w:r>
                <w:rPr>
                  <w:rStyle w:val="InternetLink"/>
                  <w:rFonts w:ascii="Times New Roman;serif" w:hAnsi="Times New Roman;serif"/>
                  <w:b w:val="false"/>
                  <w:color w:val="0000FF"/>
                  <w:sz w:val="20"/>
                  <w:u w:val="single"/>
                </w:rPr>
                <w:t>Financial Statements (unaudited)</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6">
              <w:r>
                <w:rPr>
                  <w:rStyle w:val="InternetLink"/>
                  <w:rFonts w:ascii="Times New Roman;serif" w:hAnsi="Times New Roman;serif"/>
                  <w:b w:val="false"/>
                  <w:color w:val="0000FF"/>
                  <w:sz w:val="20"/>
                  <w:u w:val="single"/>
                </w:rPr>
                <w:t>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9">
              <w:r>
                <w:rPr>
                  <w:rStyle w:val="InternetLink"/>
                  <w:rFonts w:ascii="Times New Roman;serif" w:hAnsi="Times New Roman;serif"/>
                  <w:b w:val="false"/>
                  <w:color w:val="0000FF"/>
                  <w:sz w:val="20"/>
                  <w:u w:val="single"/>
                </w:rPr>
                <w:t>Condensed Consolidated Balance Sheets as of July 4, 2026 and December 31, 2025</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9">
              <w:r>
                <w:rPr>
                  <w:rStyle w:val="InternetLink"/>
                  <w:rFonts w:ascii="Times New Roman;serif" w:hAnsi="Times New Roman;serif"/>
                  <w:b w:val="false"/>
                  <w:color w:val="0000FF"/>
                  <w:sz w:val="20"/>
                  <w:u w:val="single"/>
                </w:rPr>
                <w:t>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25">
              <w:r>
                <w:rPr>
                  <w:rStyle w:val="InternetLink"/>
                  <w:rFonts w:ascii="Times New Roman;serif" w:hAnsi="Times New Roman;serif"/>
                  <w:b w:val="false"/>
                  <w:color w:val="0000FF"/>
                  <w:sz w:val="20"/>
                  <w:u w:val="single"/>
                </w:rPr>
                <w:t>Condensed Consolidated Statements of Income for the Three and Six Months Ended July 4, 2026 and June 28, 2025 (As Restated)</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25">
              <w:r>
                <w:rPr>
                  <w:rStyle w:val="InternetLink"/>
                  <w:rFonts w:ascii="Times New Roman;serif" w:hAnsi="Times New Roman;serif"/>
                  <w:b w:val="false"/>
                  <w:color w:val="0000FF"/>
                  <w:sz w:val="20"/>
                  <w:u w:val="single"/>
                </w:rPr>
                <w:t>6</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28">
              <w:r>
                <w:rPr>
                  <w:rStyle w:val="InternetLink"/>
                  <w:rFonts w:ascii="Times New Roman;serif" w:hAnsi="Times New Roman;serif"/>
                  <w:b w:val="false"/>
                  <w:color w:val="0000FF"/>
                  <w:sz w:val="20"/>
                  <w:u w:val="single"/>
                </w:rPr>
                <w:t>Condensed Consolidated Statements of Comprehensive Income for the Three and Six Months Ended July 4, 2026 and June 28, 2025 (As Restated)</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28">
              <w:r>
                <w:rPr>
                  <w:rStyle w:val="InternetLink"/>
                  <w:rFonts w:ascii="Times New Roman;serif" w:hAnsi="Times New Roman;serif"/>
                  <w:b w:val="false"/>
                  <w:color w:val="0000FF"/>
                  <w:sz w:val="20"/>
                  <w:u w:val="single"/>
                </w:rPr>
                <w:t>7</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34">
              <w:r>
                <w:rPr>
                  <w:rStyle w:val="InternetLink"/>
                  <w:rFonts w:ascii="Times New Roman;serif" w:hAnsi="Times New Roman;serif"/>
                  <w:b w:val="false"/>
                  <w:color w:val="0000FF"/>
                  <w:sz w:val="20"/>
                  <w:u w:val="single"/>
                </w:rPr>
                <w:t>Condensed Consolidated Statements of Changes in Shareholders’ Equity for the Three and Six Months Ended July 4, 2026 and June 28, 2025 (As Restated)</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34">
              <w:r>
                <w:rPr>
                  <w:rStyle w:val="InternetLink"/>
                  <w:rFonts w:ascii="Times New Roman;serif" w:hAnsi="Times New Roman;serif"/>
                  <w:b w:val="false"/>
                  <w:color w:val="0000FF"/>
                  <w:sz w:val="20"/>
                  <w:u w:val="single"/>
                </w:rPr>
                <w:t>8</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37">
              <w:r>
                <w:rPr>
                  <w:rStyle w:val="InternetLink"/>
                  <w:rFonts w:ascii="Times New Roman;serif" w:hAnsi="Times New Roman;serif"/>
                  <w:b w:val="false"/>
                  <w:color w:val="0000FF"/>
                  <w:sz w:val="20"/>
                  <w:u w:val="single"/>
                </w:rPr>
                <w:t>Condensed Consolidated Statements of Cash Flows for the Six Months Ended July 4, 2026 and June 28, 2025 (As Restated)</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37">
              <w:r>
                <w:rPr>
                  <w:rStyle w:val="InternetLink"/>
                  <w:rFonts w:ascii="Times New Roman;serif" w:hAnsi="Times New Roman;serif"/>
                  <w:b w:val="false"/>
                  <w:color w:val="0000FF"/>
                  <w:sz w:val="20"/>
                  <w:u w:val="single"/>
                </w:rPr>
                <w:t>9</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40">
              <w:r>
                <w:rPr>
                  <w:rStyle w:val="InternetLink"/>
                  <w:rFonts w:ascii="Times New Roman;serif" w:hAnsi="Times New Roman;serif"/>
                  <w:b w:val="false"/>
                  <w:color w:val="0000FF"/>
                  <w:sz w:val="20"/>
                  <w:u w:val="single"/>
                </w:rPr>
                <w:t>Notes to Condensed Consolidated Financial Statements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40">
              <w:r>
                <w:rPr>
                  <w:rStyle w:val="InternetLink"/>
                  <w:rFonts w:ascii="Times New Roman;serif" w:hAnsi="Times New Roman;serif"/>
                  <w:b w:val="false"/>
                  <w:color w:val="0000FF"/>
                  <w:sz w:val="20"/>
                  <w:u w:val="single"/>
                </w:rPr>
                <w:t>10</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82">
              <w:r>
                <w:rPr>
                  <w:rStyle w:val="InternetLink"/>
                  <w:rFonts w:ascii="Times New Roman;serif" w:hAnsi="Times New Roman;serif"/>
                  <w:b w:val="false"/>
                  <w:color w:val="0000FF"/>
                  <w:sz w:val="20"/>
                  <w:u w:val="single"/>
                </w:rPr>
                <w:t>30</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94">
              <w:r>
                <w:rPr>
                  <w:rStyle w:val="InternetLink"/>
                  <w:rFonts w:ascii="Times New Roman;serif" w:hAnsi="Times New Roman;serif"/>
                  <w:b w:val="false"/>
                  <w:color w:val="0000FF"/>
                  <w:sz w:val="20"/>
                  <w:u w:val="single"/>
                </w:rPr>
                <w:t>Quantitative and Qualitative Disclosures About Market Risk</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94">
              <w:r>
                <w:rPr>
                  <w:rStyle w:val="InternetLink"/>
                  <w:rFonts w:ascii="Times New Roman;serif" w:hAnsi="Times New Roman;serif"/>
                  <w:b w:val="false"/>
                  <w:color w:val="0000FF"/>
                  <w:sz w:val="20"/>
                  <w:u w:val="single"/>
                </w:rPr>
                <w:t>43</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97">
              <w:r>
                <w:rPr>
                  <w:rStyle w:val="InternetLink"/>
                  <w:rFonts w:ascii="Times New Roman;serif" w:hAnsi="Times New Roman;serif"/>
                  <w:b w:val="false"/>
                  <w:color w:val="0000FF"/>
                  <w:sz w:val="20"/>
                  <w:u w:val="single"/>
                </w:rPr>
                <w:t>Controls and Procedures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97">
              <w:r>
                <w:rPr>
                  <w:rStyle w:val="InternetLink"/>
                  <w:rFonts w:ascii="Times New Roman;serif" w:hAnsi="Times New Roman;serif"/>
                  <w:b w:val="false"/>
                  <w:color w:val="0000FF"/>
                  <w:sz w:val="20"/>
                  <w:u w:val="single"/>
                </w:rPr>
                <w:t>44</w:t>
              </w:r>
            </w:hyperlink>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00">
              <w:r>
                <w:rPr>
                  <w:rStyle w:val="InternetLink"/>
                  <w:rFonts w:ascii="Times New Roman;serif" w:hAnsi="Times New Roman;serif"/>
                  <w:b/>
                  <w:color w:val="0000FF"/>
                  <w:sz w:val="20"/>
                  <w:u w:val="single"/>
                </w:rPr>
                <w:t>PART II</w:t>
              </w:r>
            </w:hyperlink>
            <w:r>
              <w:rPr>
                <w:rFonts w:ascii="Times New Roman;serif" w:hAnsi="Times New Roman;serif"/>
                <w:b/>
                <w:color w:val="000000"/>
                <w:sz w:val="20"/>
              </w:rPr>
              <w:t>. OTHER INFORMATION</w:t>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03">
              <w:r>
                <w:rPr>
                  <w:rStyle w:val="InternetLink"/>
                  <w:rFonts w:ascii="Times New Roman;serif" w:hAnsi="Times New Roman;serif"/>
                  <w:b w:val="false"/>
                  <w:color w:val="0000FF"/>
                  <w:sz w:val="20"/>
                  <w:u w:val="single"/>
                </w:rPr>
                <w:t>Legal Proceedings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03">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06">
              <w:r>
                <w:rPr>
                  <w:rStyle w:val="InternetLink"/>
                  <w:rFonts w:ascii="Times New Roman;serif" w:hAnsi="Times New Roman;serif"/>
                  <w:b w:val="false"/>
                  <w:color w:val="0000FF"/>
                  <w:sz w:val="20"/>
                  <w:u w:val="single"/>
                </w:rPr>
                <w:t>Risk Factors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06">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09">
              <w:r>
                <w:rPr>
                  <w:rStyle w:val="InternetLink"/>
                  <w:rFonts w:ascii="Times New Roman;serif" w:hAnsi="Times New Roman;serif"/>
                  <w:b w:val="false"/>
                  <w:color w:val="0000FF"/>
                  <w:sz w:val="20"/>
                  <w:u w:val="single"/>
                </w:rPr>
                <w:t>Unregistered Sales of Equity Securities and Use of Proceeds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09">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12">
              <w:r>
                <w:rPr>
                  <w:rStyle w:val="InternetLink"/>
                  <w:rFonts w:ascii="Times New Roman;serif" w:hAnsi="Times New Roman;serif"/>
                  <w:b w:val="false"/>
                  <w:color w:val="0000FF"/>
                  <w:sz w:val="20"/>
                  <w:u w:val="single"/>
                </w:rPr>
                <w:t>Defaults Upon Senior Securities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12">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15">
              <w:r>
                <w:rPr>
                  <w:rStyle w:val="InternetLink"/>
                  <w:rFonts w:ascii="Times New Roman;serif" w:hAnsi="Times New Roman;serif"/>
                  <w:b w:val="false"/>
                  <w:color w:val="0000FF"/>
                  <w:sz w:val="20"/>
                  <w:u w:val="single"/>
                </w:rPr>
                <w:t>Mine Safety Disclosures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15">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18">
              <w:r>
                <w:rPr>
                  <w:rStyle w:val="InternetLink"/>
                  <w:rFonts w:ascii="Times New Roman;serif" w:hAnsi="Times New Roman;serif"/>
                  <w:b w:val="false"/>
                  <w:color w:val="0000FF"/>
                  <w:sz w:val="20"/>
                  <w:u w:val="single"/>
                </w:rPr>
                <w:t>Other Information</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18">
              <w:r>
                <w:rPr>
                  <w:rStyle w:val="InternetLink"/>
                  <w:rFonts w:ascii="Times New Roman;serif" w:hAnsi="Times New Roman;serif"/>
                  <w:b w:val="false"/>
                  <w:color w:val="0000FF"/>
                  <w:sz w:val="20"/>
                  <w:u w:val="single"/>
                </w:rPr>
                <w:t>45</w:t>
              </w:r>
            </w:hyperlink>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21">
              <w:r>
                <w:rPr>
                  <w:rStyle w:val="InternetLink"/>
                  <w:rFonts w:ascii="Times New Roman;serif" w:hAnsi="Times New Roman;serif"/>
                  <w:b w:val="false"/>
                  <w:color w:val="0000FF"/>
                  <w:sz w:val="20"/>
                  <w:u w:val="single"/>
                </w:rPr>
                <w:t>Exhibits</w:t>
              </w:r>
            </w:hyperlink>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21">
              <w:r>
                <w:rPr>
                  <w:rStyle w:val="InternetLink"/>
                  <w:rFonts w:ascii="Times New Roman;serif" w:hAnsi="Times New Roman;serif"/>
                  <w:b w:val="false"/>
                  <w:color w:val="0000FF"/>
                  <w:sz w:val="20"/>
                  <w:u w:val="single"/>
                </w:rPr>
                <w:t>46</w:t>
              </w:r>
            </w:hyperlink>
          </w:p>
        </w:tc>
      </w:tr>
      <w:tr>
        <w:trPr/>
        <w:tc>
          <w:tcPr>
            <w:tcW w:w="93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9af9372861e4404885c4320b675f9d3_124">
              <w:r>
                <w:rPr>
                  <w:rStyle w:val="InternetLink"/>
                  <w:rFonts w:ascii="Times New Roman;serif" w:hAnsi="Times New Roman;serif"/>
                  <w:b w:val="false"/>
                  <w:color w:val="0000FF"/>
                  <w:sz w:val="20"/>
                  <w:u w:val="single"/>
                </w:rPr>
                <w:t>Signatures</w:t>
              </w:r>
            </w:hyperlink>
          </w:p>
        </w:tc>
        <w:tc>
          <w:tcPr>
            <w:tcW w:w="7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af9372861e4404885c4320b675f9d3_124">
              <w:r>
                <w:rPr>
                  <w:rStyle w:val="InternetLink"/>
                  <w:rFonts w:ascii="Times New Roman;serif" w:hAnsi="Times New Roman;serif"/>
                  <w:b w:val="false"/>
                  <w:color w:val="0000FF"/>
                  <w:sz w:val="20"/>
                  <w:u w:val="single"/>
                </w:rPr>
                <w:t>47</w:t>
              </w:r>
            </w:hyperlink>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 AND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revenues, earnings, cash flow, revenue recognition, uses of cash and other measures of financial performance, projections or expectations for future operations, including costs to complete contracts, goodwill impairment evaluations, useful life of intangible assets, unrecognized tax benefits and effective tax rate, possible labor disruptions, the imposition of tariffs, environmental remediation costs, insurance recoveries, industry trends and expectations, including ramp up times for build rates, our plans with respect to restructuring activities, capital expenditures, completed acquisitions, future acquisitions and dispositions, and expected business opportunities that may be available to us.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Amendment No. 1 to our Annual Report on Form 10-K for the year ended December 31, 2025 (“2025 Form 10-K/A”).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2025 Form 10-K/A and the following: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considerable amount of cash needed to run our business and its impact on our ability to service our indebtedness;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indebtedness could limit our financing options;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covenants in our credit facilities impose restrictions that may limit our operating and financial flexibility;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the typical trading volume of our common stock may affect an investor’s ability to sell significant stock holdings in the future without negatively impacting our stock price;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amount of debt may require us to raise additional capital to fund acquisitions;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end-use markets are cyclical;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depend on a select base of industries and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 significant portion of our business depends on the U.S. government defense spending, which could be impacted by a prolonged U.S. federal government shutdown;</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exports of certain of our products and our production facility in Guaymas, Mexico are subject to various export control regulations and authorizations for proposed sales to certain foreign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existing and new tariffs imposed by the U.S. administration or foreign governments could impact the operation and conduct of our business outside the United States, including our production facility in Mexico, the sale of products to customers outside the United States and the import of raw materials and equipment from suppliers outside the United States;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contracts with some of our customers give them a variety of rights that are unfavorable to us and the OEMs (as defined below) to whom we provide products and services, including the ability to terminate a contract at any time for convenience;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further consolidation in the aerospace industry could adversely affect our business;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ability to execute our growth strategy, which includes evaluating select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not be successful in achieving expected operating efficiencies and sustaining or improving operating expense reductions, and may experience business disruptions associated with restructuring, performance center consolidations, realignment, cost reduction, and other strategic initiatives;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enhanced design, product development, manufacturing, supply chain project management and other skills will be required as we move up the value chain to become a more value added supplier;</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operating and conducting our business outside the United States;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customer pricing pressures could reduce the demand and/or price for our products and services;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products and processes are subject to risk of obsolescence as a result of changes in technology and evolving industrial and regulatory standards;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not have the ability to renew facilities leases on terms favorable to us, and relocation of operations present risks due to business interruptions;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may be subject to litigation, other legal proceedings, indemnity and product liability claims, including claims that could exceed the limits of our insurance coverage and subrogation claims asserted by third-party insurers, including the Mexican-based carrier of the entity that initiated a lawsuit against us in federal court in California for losses incurred during the June 2020 fire in Guaymas, Mexico, which may become material;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our operations are subject to numerous extensive, complex, costly and evolving laws, regulations and restrictions, including the Defense Contract Audit Agency and cybersecurity requirements;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we are subject to a number of procurement laws with which we must comply;</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unanticipated changes in our tax provision or exposure to additional income tax liabilities;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possible goodwill and other asset impairments could result in substantial charges;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the risk of environmental liabilities and our sustainability responsibilities;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our ability to implement changes in estimates when bidding on fixed-price contracts;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the identified material weakness in our internal control over financial reporting;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the restatement of our prior consolidated financial statements;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ability to accurately report our financial results, including fully remediating any material weakness on a timely basis, or prevent fraud if our internal control over financial reporting is not effective;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dependence upon our ability to attract and retain key personnel;</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labor disruptions and the ability of our suppliers to meet the quality and delivery expectations of our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our reliance on our suppliers to meet quality and delivery expectations of our customers;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associated with cybersecurity preparedness and attacks;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risks related to assertions by third parties of violations of intellectual property rights or the inability to successfully enjoin the misappropriation of our intellectual property rights;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damage or destruction of our facilities caused by natural disasters could affect our financial results.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656"/>
        <w:gridCol w:w="2153"/>
        <w:gridCol w:w="2103"/>
        <w:gridCol w:w="109"/>
        <w:gridCol w:w="109"/>
        <w:gridCol w:w="109"/>
        <w:gridCol w:w="211"/>
        <w:gridCol w:w="976"/>
        <w:gridCol w:w="109"/>
        <w:gridCol w:w="109"/>
        <w:gridCol w:w="109"/>
        <w:gridCol w:w="109"/>
        <w:gridCol w:w="211"/>
        <w:gridCol w:w="976"/>
        <w:gridCol w:w="156"/>
      </w:tblGrid>
      <w:tr>
        <w:trPr/>
        <w:tc>
          <w:tcPr>
            <w:tcW w:w="2656"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$1,690 and $1,802 at July 4,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$190,526 and $196,508 at July 4,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(Notes 9,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$0.01 par value; 35,000,000 shares authorized; 15,099,264 and 14,949,671 shares issued and outstanding at July 4,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661,481 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shares in thousands, except per share amounts)</w:t>
      </w:r>
    </w:p>
    <w:tbl>
      <w:tblPr>
        <w:tblW w:w="10205" w:type="dxa"/>
        <w:jc w:val="left"/>
        <w:tblInd w:w="0" w:type="dxa"/>
        <w:tblLayout w:type="fixed"/>
        <w:tblCellMar>
          <w:top w:w="28" w:type="dxa"/>
          <w:left w:w="28" w:type="dxa"/>
          <w:bottom w:w="28" w:type="dxa"/>
          <w:right w:w="28" w:type="dxa"/>
        </w:tblCellMar>
      </w:tblPr>
      <w:tblGrid>
        <w:gridCol w:w="1646"/>
        <w:gridCol w:w="1306"/>
        <w:gridCol w:w="1315"/>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6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4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695"/>
        <w:gridCol w:w="1487"/>
        <w:gridCol w:w="150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6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4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actuarial losses and prior service costs, net of tax expense of $6 and $7 for the three months ended July 4, 2026 and June 28, 2025, respectively, and $12 and $13 for the six months ended July 4, 2026 and June 28,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unrealized gains (losses) on cash flow hedges, net of tax expense (benefit) of $235 and $(470) for the three months ended July 4, 2026 and June 28, 2025, respectively, and $380 and $(1,185) for the six months ended July 4, 2026 and June 28,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567" w:type="dxa"/>
        <w:jc w:val="center"/>
        <w:tblInd w:w="0" w:type="dxa"/>
        <w:tblLayout w:type="fixed"/>
        <w:tblCellMar>
          <w:top w:w="28" w:type="dxa"/>
          <w:left w:w="28" w:type="dxa"/>
          <w:bottom w:w="28" w:type="dxa"/>
          <w:right w:w="28" w:type="dxa"/>
        </w:tblCellMar>
      </w:tblPr>
      <w:tblGrid>
        <w:gridCol w:w="728"/>
        <w:gridCol w:w="311"/>
        <w:gridCol w:w="312"/>
        <w:gridCol w:w="109"/>
        <w:gridCol w:w="109"/>
        <w:gridCol w:w="109"/>
        <w:gridCol w:w="548"/>
        <w:gridCol w:w="548"/>
        <w:gridCol w:w="316"/>
        <w:gridCol w:w="109"/>
        <w:gridCol w:w="109"/>
        <w:gridCol w:w="109"/>
        <w:gridCol w:w="211"/>
        <w:gridCol w:w="481"/>
        <w:gridCol w:w="109"/>
        <w:gridCol w:w="109"/>
        <w:gridCol w:w="109"/>
        <w:gridCol w:w="109"/>
        <w:gridCol w:w="109"/>
        <w:gridCol w:w="109"/>
        <w:gridCol w:w="211"/>
        <w:gridCol w:w="841"/>
        <w:gridCol w:w="109"/>
        <w:gridCol w:w="109"/>
        <w:gridCol w:w="109"/>
        <w:gridCol w:w="109"/>
        <w:gridCol w:w="211"/>
        <w:gridCol w:w="841"/>
        <w:gridCol w:w="109"/>
        <w:gridCol w:w="109"/>
        <w:gridCol w:w="109"/>
        <w:gridCol w:w="109"/>
        <w:gridCol w:w="236"/>
        <w:gridCol w:w="826"/>
        <w:gridCol w:w="124"/>
        <w:gridCol w:w="109"/>
        <w:gridCol w:w="109"/>
        <w:gridCol w:w="109"/>
        <w:gridCol w:w="211"/>
        <w:gridCol w:w="841"/>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Shareholders’</w:t>
              <w:br/>
              <w:t>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14,781,218</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224,933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443,657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11,384</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680,122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123,580 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29, 2025 (As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14,868,305</w:t>
            </w:r>
            <w:r>
              <w:rPr>
                <w:color w:val="000000"/>
              </w:rPr>
              <w:t>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237,829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445,059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9,030</w:t>
            </w: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692,067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(As restated)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28, 2025 (As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14,922,797</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240,307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457,813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7,491</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705,760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14,949,671</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6,546</w:t>
            </w: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661,481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15,083,102</w:t>
            </w:r>
            <w:r>
              <w:rPr>
                <w:color w:val="000000"/>
              </w:rPr>
              <w:t>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246,378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416,220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7,047</w:t>
            </w: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669,796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awards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repurchased related to the exercise of stock options and stock awards 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July 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15,099,264</w:t>
            </w:r>
            <w:r>
              <w:rPr>
                <w:color w:val="000000"/>
              </w:rPr>
              <w:t>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245,823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436,619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7,845</w:t>
            </w:r>
            <w:r>
              <w:rPr>
                <w:color w:val="000000"/>
              </w:rPr>
              <w:t>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690,438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p>
      <w:pPr>
        <w:pStyle w:val="TextBody"/>
        <w:bidi w:val="0"/>
        <w:spacing w:lineRule="auto" w:line="288" w:before="0" w:after="0"/>
        <w:jc w:val="left"/>
        <w:rPr>
          <w:color w:val="000000"/>
        </w:rPr>
      </w:pPr>
      <w:r>
        <w:rPr>
          <w:color w:val="000000"/>
        </w:rPr>
        <w:t> </w:t>
      </w:r>
    </w:p>
    <w:tbl>
      <w:tblPr>
        <w:tblW w:w="8136" w:type="dxa"/>
        <w:jc w:val="left"/>
        <w:tblInd w:w="0" w:type="dxa"/>
        <w:tblLayout w:type="fixed"/>
        <w:tblCellMar>
          <w:top w:w="28" w:type="dxa"/>
          <w:left w:w="28" w:type="dxa"/>
          <w:bottom w:w="28" w:type="dxa"/>
          <w:right w:w="28" w:type="dxa"/>
        </w:tblCellMar>
      </w:tblPr>
      <w:tblGrid>
        <w:gridCol w:w="1929"/>
        <w:gridCol w:w="1693"/>
        <w:gridCol w:w="1703"/>
        <w:gridCol w:w="109"/>
        <w:gridCol w:w="109"/>
        <w:gridCol w:w="109"/>
        <w:gridCol w:w="211"/>
        <w:gridCol w:w="736"/>
        <w:gridCol w:w="109"/>
        <w:gridCol w:w="109"/>
        <w:gridCol w:w="109"/>
        <w:gridCol w:w="109"/>
        <w:gridCol w:w="211"/>
        <w:gridCol w:w="736"/>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44,786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23,181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(6,414)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upon issuance of common stock under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(16,200)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39,804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37,117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Ducommun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Business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designer and manufacturer of and provider of manufacturing solutions for high-performance products often used in high-cost-of failure applications primarily in the aerospace and defense (“A&amp;D”), industrial, medical, and other industries (collectively, “Industrial”). Our operations are organized into two primary businesses: Electronic Systems segment (“Electronic Systems”) and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military and commercial rotary-wing aircraft, and military ground vehicles. All reportable operating segments generally follow the same accounting principles. </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include the accounts of Ducommun Incorporated and its subsidiaries (“Ducommun,” the “Company,” “we,” “us” or “our”), after eliminating intercompany balances and transactions. The December 31, 2025 unaudited condensed consolidated balance sheet data was derived from audited financial statements, but does not contain all disclosures required by accounting principles generally accepted in the United States of America (“GAAP”).</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significant accounting policies were described in Part IV, Item 15(a)1, “Note 1. Summary of Significant Accounting Policies” in our Amendment No. 1 to our Annual Report on Form 10-K for the year ended December 31, 2025 (“2025 Form 10-K/A”). The financial information included in this Quarterly Report on Form 10-Q (“Form 10-Q”) should be read in conjunction with the 2025 Form 10-K/A.</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all adjustments, including recurring accruals, have been made that are necessary to fairly state our unaudited condensed consolidated financial position, statements of operations, comprehensive income, changes in shareholders’ equity, and cash flows in accordance with GAAP for the periods covered by this Form 10-Q. The results of operations for the three and six months ended July 4, 2026 are not necessarily indicative of the results to be expected for the full year ending December 31, 2026.</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Our fiscal quarters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prior period amounts to conform to the current year’s presentation.</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Compensation Clawback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the 2025 Form 10-K/A, we restated our audited consolidated financial statements for the years ended December 31, 2025 and 2024 and our unaudited quarterly financial information for each quarter in the year ended December 31, 2025, among other periods (collectively, the “Affected Periods”). This restatement (the “Restatement”) resulted from the identification of an error in our historical consolidated financial statements for the Affected Periods, namely that the Company did not apply the proper accounting for changes made in April 2024 to the retirement provision in the Company’s performance stock unit and restricted stock unit award agreements and did not record stock-based compensation expense in the correct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periods for retirement eligible employees. The primary impact of the Restatement was a decrease to net income and an increase to stock-based compensation across the Affected Periods. See Note 2.</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Company’s Second Amended and Restated Clawback Policy, the Restatement required a recovery analysis of incentive-based compensation received by the Company’s covered executives (which also impacted certain other employees) (“Affected Individuals”) during the recovery period. As a result of the Restatement and its impact on certain financial statement measures, various performance metrics underlying some of the previously granted and vested incentive-based compensation awards to the Affected Individuals were adjusted downwards. Accordingly, during the quarter ended July 4, 2026, excess compensation related to such awards was recovered from the Affected Individuals subject to the policy in the form of cash or returned Company common stock (“Common Stock”), in an aggregate amount of $5.0 million. Specifically, the Company received $4.0 million in Common Stock and $1.0 million in cash from the Affected Individuals to fully satisfy their recovery obligations. The $4.0 million fair value of Common Stock returned was based on the closing stock price on the date such shares were returned.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July 4, 2026, the clawback payments up to the amount of stock-based compensation expense previously recognized of $2.4 million and bonus expense of $1.5 million were recorded as a reduction within selling, general, and administrative expenses within the condensed consolidated statements of income and the $1.1 million excess of previously recognized compensation expense was recorded to additional paid-in capital. Further, we recognized $4.0 million in treasury stock associated with the clawback payments, which were subsequently retired during the quarter ended July 4, 2026.</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Supplemental Cash Flow Information</w:t>
      </w:r>
    </w:p>
    <w:tbl>
      <w:tblPr>
        <w:tblW w:w="10205" w:type="dxa"/>
        <w:jc w:val="left"/>
        <w:tblInd w:w="0" w:type="dxa"/>
        <w:tblLayout w:type="fixed"/>
        <w:tblCellMar>
          <w:top w:w="28" w:type="dxa"/>
          <w:left w:w="28" w:type="dxa"/>
          <w:bottom w:w="28" w:type="dxa"/>
          <w:right w:w="28" w:type="dxa"/>
        </w:tblCellMar>
      </w:tblPr>
      <w:tblGrid>
        <w:gridCol w:w="2823"/>
        <w:gridCol w:w="2395"/>
        <w:gridCol w:w="2415"/>
        <w:gridCol w:w="109"/>
        <w:gridCol w:w="109"/>
        <w:gridCol w:w="109"/>
        <w:gridCol w:w="211"/>
        <w:gridCol w:w="616"/>
        <w:gridCol w:w="109"/>
        <w:gridCol w:w="109"/>
        <w:gridCol w:w="109"/>
        <w:gridCol w:w="109"/>
        <w:gridCol w:w="211"/>
        <w:gridCol w:w="616"/>
        <w:gridCol w:w="155"/>
      </w:tblGrid>
      <w:tr>
        <w:trPr/>
        <w:tc>
          <w:tcPr>
            <w:tcW w:w="2823"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(refunded) paid,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not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received with fair value in excess of original compensation related to 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Earnings Per Share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net income and weighted-average common shares outstanding used to compute earnings per share were as follows:</w:t>
      </w:r>
    </w:p>
    <w:tbl>
      <w:tblPr>
        <w:tblW w:w="10205" w:type="dxa"/>
        <w:jc w:val="left"/>
        <w:tblInd w:w="0" w:type="dxa"/>
        <w:tblLayout w:type="fixed"/>
        <w:tblCellMar>
          <w:top w:w="28" w:type="dxa"/>
          <w:left w:w="28" w:type="dxa"/>
          <w:bottom w:w="28" w:type="dxa"/>
          <w:right w:w="28" w:type="dxa"/>
        </w:tblCellMar>
      </w:tblPr>
      <w:tblGrid>
        <w:gridCol w:w="1696"/>
        <w:gridCol w:w="1488"/>
        <w:gridCol w:w="150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69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and shares in thousands,</w:t>
              <w:br/>
              <w:t>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and shares in thousands,</w:t>
              <w:br/>
              <w:t>except per share data)</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5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stock awards, as shown below, were excluded from the computation of diluted earnings per share because their inclusion would have been anti-dilutive. However, these awards may be potentially dilutive common shares in the future.</w:t>
      </w:r>
    </w:p>
    <w:tbl>
      <w:tblPr>
        <w:tblW w:w="6744" w:type="dxa"/>
        <w:jc w:val="left"/>
        <w:tblInd w:w="0" w:type="dxa"/>
        <w:tblLayout w:type="fixed"/>
        <w:tblCellMar>
          <w:top w:w="28" w:type="dxa"/>
          <w:left w:w="28" w:type="dxa"/>
          <w:bottom w:w="28" w:type="dxa"/>
          <w:right w:w="28" w:type="dxa"/>
        </w:tblCellMar>
      </w:tblPr>
      <w:tblGrid>
        <w:gridCol w:w="911"/>
        <w:gridCol w:w="801"/>
        <w:gridCol w:w="808"/>
        <w:gridCol w:w="109"/>
        <w:gridCol w:w="109"/>
        <w:gridCol w:w="109"/>
        <w:gridCol w:w="207"/>
        <w:gridCol w:w="199"/>
        <w:gridCol w:w="190"/>
        <w:gridCol w:w="174"/>
        <w:gridCol w:w="174"/>
        <w:gridCol w:w="174"/>
        <w:gridCol w:w="229"/>
        <w:gridCol w:w="229"/>
        <w:gridCol w:w="232"/>
        <w:gridCol w:w="109"/>
        <w:gridCol w:w="109"/>
        <w:gridCol w:w="109"/>
        <w:gridCol w:w="189"/>
        <w:gridCol w:w="189"/>
        <w:gridCol w:w="191"/>
        <w:gridCol w:w="153"/>
        <w:gridCol w:w="153"/>
        <w:gridCol w:w="153"/>
        <w:gridCol w:w="215"/>
        <w:gridCol w:w="215"/>
        <w:gridCol w:w="30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Fair Value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money market funds of $20.1 million and $0.6 million as of July 4, 2026 and December 31, 2025, respectively, which are included as cash and cash equivalents and are Level 1 financial instruments. We also have forward interest rate swap agreements and the fair value of the forward interest rate swap agreements was determined using pricing models that use observable market inputs as of the balance sheet date, a Level 2 measurement.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financial instruments in the three and six months ended July 4, 2026.</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all cash on hand, money market instruments with original maturities of three months or less, and investments with original maturities of three months or less. We extinguish liabilities and reduce cash when the creditor receives our payment, and we are relieved of our obligation for the liability, which generally occurs when our bank clears the payment. These assets are valued at cost, which approximates fair value, which we classify as Level 1. See Fair Value above.</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Derivative Instruments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recognize derivative instruments on our unaudited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2024 (“Forward Interest Rate Swaps”), to manage our exposure to interest rate movements on a portion of our debt. At the time we entered into the Forward Interest Rate Swaps, there was a high probability of forecasted interest payments on our debts occurring and the swaps were highly effective in offsetting those interest payments; therefore, we elected to apply cash flow hedge accounting. In July 2022, as a result of refinancing all our existing debt, which allowed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relationships were still highly effective as of the amendment date. See Note 4 and Note 8. As of July 4, 2026, all of our derivative instruments were designated as cash flow hedges.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unaudited condensed consolidated statements of cash flows in the same category as the item being hedged or on a basis consistent with the nature of the instrument. See Note 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unaudited condensed consolidated balance sheets and recognize subsequent changes in its fair value in our current period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Inventories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allocated to a customer order.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control of the goods transfers to our customer. Our ending inventory consists of raw materials, work-in-process, and finished goods.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Accumulated Other Comprehensive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as reflected on the unaudited condensed consolidated balance sheets under the equity section, was comprised of cumulative pension and retirement liability adjustments, net of tax, and change in net unrealized gains and losses on cash flow hedges, net of tax.</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Recognition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customers typically engage us to manufacture products based on designs and specifications provided by the end-use customer. In some instances, this requires the building of tooling and manufacturing first article inspection products (prototypes) before volume manufacturing. Contracts with our customers generally include a termination for convenience clause.</w:t>
      </w:r>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manufacture most products to customer specifications, and the products cannot be easily modified for another customer. As such, these products are deemed to have no alternative use once we have allocated the raw materials to a customer order.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contracts with performance obligations being satisfied at a point in time, revenue is recognized when control of the goods or services transfers to our customer. For contracts with shipping terms at origin, we made the accounting policy election that allows us to account for shipping and handling activities as a fulfillment cost instead of being an additional promised service. A portion of the transaction price is not allocated to the shipping service; however, the cost of shipping and handling are accrued when the related revenue is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Contract estimates, known as “estimates at completion,” are based on various assumptions to project the outcome of future events that can span multiple months or years. These assumptions include, among others, actual gross profits on the same or similar products manufactured previously; labor productivity and availability; the complexity of the work to be performed; the cost and availability of materials; overhead cost rates; and the performance of subcontractors. 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In any given reporting period, we have a large number of active contracts, which we have defined as a customer purchase order, and changes in estimates may occur on a significant number of these contracts. Given the significant number of contracts that we may have at any given point in time, the varied nature of products produced under such contracts, and the different assumptions, facts and circumstances associated with each individual contract, and the fact that such changes at the contract level are typically not material, we disclose cumulative catch-up adjustments on a net basis.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cumulative favorable and unfavorable catch-up adjustments to contracts had the following impact on our operating results:</w:t>
      </w:r>
    </w:p>
    <w:tbl>
      <w:tblPr>
        <w:tblW w:w="7193" w:type="dxa"/>
        <w:jc w:val="left"/>
        <w:tblInd w:w="0" w:type="dxa"/>
        <w:tblLayout w:type="fixed"/>
        <w:tblCellMar>
          <w:top w:w="28" w:type="dxa"/>
          <w:left w:w="28" w:type="dxa"/>
          <w:bottom w:w="28" w:type="dxa"/>
          <w:right w:w="28" w:type="dxa"/>
        </w:tblCellMar>
      </w:tblPr>
      <w:tblGrid>
        <w:gridCol w:w="585"/>
        <w:gridCol w:w="516"/>
        <w:gridCol w:w="518"/>
        <w:gridCol w:w="109"/>
        <w:gridCol w:w="109"/>
        <w:gridCol w:w="109"/>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541"/>
        <w:gridCol w:w="109"/>
        <w:gridCol w:w="109"/>
        <w:gridCol w:w="109"/>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Payments under long-term contracts may be received before or after revenue is recognized. When revenue is recognized before we bill our customer, a contract asset is created for the work performed but not yet billed. Similarly, when we receive payment before revenue is recognized, a contract liability is created for the advance or progress payment. When a contract liability and a contract asset exist on the same contract, we report it on a net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unaudited condensed consolidated balance sheets. As of July 4, 2026 and December 31, 2025, the provision for estimated losses on contracts were $6.5 million and $7.0 million, respectively. It is reasonably possible we may incur additional losses in the future.</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July 4, 2026 and December 31, 2025, production cost of contracts were $6.2 million and $7.2 million, respectively.</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Contract Assets and Contract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32" w:after="283"/>
        <w:jc w:val="left"/>
        <w:rPr>
          <w:rFonts w:ascii="Times New Roman;serif" w:hAnsi="Times New Roman;serif"/>
          <w:b w:val="false"/>
          <w:color w:val="000000"/>
          <w:sz w:val="20"/>
        </w:rPr>
      </w:pPr>
      <w:r>
        <w:rPr>
          <w:rFonts w:ascii="Times New Roman;serif" w:hAnsi="Times New Roman;serif"/>
          <w:b w:val="false"/>
          <w:color w:val="000000"/>
          <w:sz w:val="20"/>
        </w:rPr>
        <w:t>Contract assets and contract liabilities from revenue contracts with customers are as follows:</w:t>
      </w:r>
    </w:p>
    <w:tbl>
      <w:tblPr>
        <w:tblW w:w="4641"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211"/>
        <w:gridCol w:w="82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contract assets as of July 4, 2026 compared to December 31, 2025 was primarily due to a net increase of products in work in process in the current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increase in our contract liabilities as of July 4, 2026 compared to December 31, 2025 was primarily due to a net increase of advance or progress payments received from our customers in the current period. We recognized $12.7 million of the contract liabilities as of December 31, 2025 as revenues during the six months ended July 4,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are defined as customer placed purchase orders (“POs”) with firm fixed price and firm delivery dates. Our remaining performance obligations as of July 4, 2026 totaled $1,158.9 million. Of the remaining performance obligations as of July 4, 2026, we anticipate recognizing an estimated 70% of our remaining performance obligations as revenue during the next 12 months with the remaining performance obligations being recognized in the subsequent 12 months.</w:t>
      </w:r>
    </w:p>
    <w:p>
      <w:pPr>
        <w:pStyle w:val="TextBody"/>
        <w:bidi w:val="0"/>
        <w:spacing w:lineRule="auto" w:line="288" w:before="2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Revenue by Category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the revenue categories disclosed above, the following table reflects our revenue disaggregated by major end-use market:</w:t>
      </w:r>
    </w:p>
    <w:tbl>
      <w:tblPr>
        <w:tblW w:w="8186"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Ducommun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0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Recent Accounting Pronouncements</w:t>
      </w:r>
    </w:p>
    <w:p>
      <w:pPr>
        <w:pStyle w:val="TextBody"/>
        <w:bidi w:val="0"/>
        <w:spacing w:lineRule="auto" w:line="288" w:before="180" w:after="100"/>
        <w:jc w:val="both"/>
        <w:rPr>
          <w:rFonts w:ascii="Times New Roman;serif" w:hAnsi="Times New Roman;serif"/>
          <w:b w:val="false"/>
          <w:i/>
          <w:color w:val="000000"/>
          <w:sz w:val="20"/>
        </w:rPr>
      </w:pPr>
      <w:r>
        <w:rPr>
          <w:rFonts w:ascii="Times New Roman;serif" w:hAnsi="Times New Roman;serif"/>
          <w:b w:val="false"/>
          <w:i/>
          <w:color w:val="000000"/>
          <w:sz w:val="20"/>
        </w:rPr>
        <w:t>New Accounting Pronouncements Adopted in 2026</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2025-05, “Financial Instruments - Credit Losses (Topic 326): Measurement of Credit Losses for Accounts Receivable and Contract Assets,” which provides a practical expedient on assessing credit losses that assumes that current conditions as of the balance sheet date do not change for the remaining life of the asset. The new guidance is effective for fiscal years beginning after December 15, 2025, which is our annual period beginning January 1, 2026, and interim reporting periods within those annual reporting periods. Early adoption is permitted in both interim and annual reporting periods in which financial statements have not yet been issued or made available for issuance. The adoption of this accounting standard did not have a material impact on our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10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“Accounting Standards Update Codification Improvements,” which addresses 33 issues such as (1) clarify the calculation of earnings per share when a loss from continuing operations exists, (2) update references to capitalization guidance for environmental remediation costs, and (3) remove other than temporary impairment guidance. The new guidance is effective for fiscal years beginning after December 15, 2026, which is our annual period beginning January 1, 2027, and interim reporting periods within those annual reporting periods. Early adoption is permitted.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which improves the navigability of the required interim disclosures and clarifying when that guidance is applicable. The amendments also provide additional guidance on what disclosures should be provided in interim reporting periods. The amendments can be applied either (1) prospectively or (2) retrospectively to any or all periods presented in the financial statements. The new guidance is effective for interim reporting periods within annual reporting periods beginning after December 15, 2027, which is our interim period beginning January 1, 2028. Early adoption is permitted.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“Derivatives and Hedging (Topic 815): Hedge Accounting Improvements” (“ASU 2025-09”), which clarifies certain aspects of the guidance on hedge accounting and to address several incremental hedge accounting issues arising from the global reference rate reform initiative. It will more closely align accounting with the economics of an entity’s risk management activities. The new guidance is effective for fiscal years beginning after December 15, 2026, which is our annual period beginning January 1, 2027, and interim reporting periods within those annual reporting periods. Early adoption is permitted on any date on or after the issuance of ASU 2025-09.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removes all references to prescriptive and sequential software development stages. Therefore, an entity is required to start capitalizing software costs when i) management has authorized and committed to funding the software project, and ii) it is probable that the project will be completed and the software will be used to perform the function intended. The new guidance is effective for fiscal years beginning after December 15, 2027, which is our annual period beginning January 1, 2028, and interim reporting periods within those annual reporting periods. Early adoption is permitted as of the beginning of an annual reporting period.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January 2025, the FASB issued ASU 2025-01, “Income Statement - Reporting Comprehensive Income - Expense Disaggregation Disclosures (Subtopic 220-40): Clarifying the Effective Date,” which clarifies that all public business entities should initially adopt the disclosure requirements in the final annual reporting period beginning after December 15, 2026, and interim reporting periods within annual reporting periods beginning after December 15, 2027. The new guidance is effective for fiscal years beginning after December 15, 2026, which is our annual period beginning January 1, 2027, and interim reporting periods beginning after December 15, 2027, which will be our interim period beginning January 1, 2028. Early adoption of ASU 2024-03 (described below) is permitted. We are evaluating the impact of this standard in conjunction with ASU 2024-03 below.</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(“ASU 2024-03”), which requires additional information about specific expense categories in the notes to the financial statements at interim and annual reporting periods. The new guidance is effective for fiscal years beginning after December 15, 2026, which is our annual period beginning January 1, 2027, and interim reporting periods beginning after December 15, 2027, which will be our interim period beginning January 1, 2028. Early adoption is permitted. The amendments in ASU 2024-03 should be applied either (1) prospectively to financial statements issued for reporting periods after the effective date, or (2) retrospectively to any or all prior periods presented in the financial statements. We are evaluating the impact of this standard.</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the FASB issued ASU 2023-06, “Disclosure Improvements: Codification Amendments in Response to the SEC’s Disclosure Update and Simplification Initiative,” which incorporates updates to the Accounting Standards Codification (“Codification”) to align certain Securities and Exchange Commission (“SEC”) disclosure requirements. The amendments impact a variety of topics but are relatively narrow in nature. For entities required to comply with the SEC’s existing disclosure requirements, the effective date for each amendment will be the effective date of the removal of the disclosure requirement from SEC Regulation S-X or SEC Regulation S-K, with early adoption prohibited. The amendments should be applied prospectively. If by June 30, 2027, the SEC has not removed the applicable requirement from Regulation S-X or Regulation S-K, the pending content of the related amendment will be removed from the Codification and will not become effective for any entity. We are evaluating the impact of this standard. </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Restatement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our 2025 Form 10-K/A for the year ended December 31, 2025, we restated our audited consolidated financial statements for the year ended December 31, 2025, and our unaudited quarterly financial information for each quarter in the year ended December 31, 2025 (the “Affected Periods”), among other periods, and corrected certain other immaterial items that were previously identified and concluded as immaterial, individually and in the aggregate, to its financial statements during the Affected Periods as further described below.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While preparing the first quarter of 2026 consolidated financial statements, management identified an error in our historical consolidated financial statements for the Affected Periods relating to the timing of stock-based compensation expense recognition (the “Error”). In particular, the Company did not apply the proper accounting for changes made in April 2024 to the retirement provision in the Company’s performance stock unit and restricted stock unit award agreements and did not record stock-based compensation expense in the correct periods for retirement eligible employees. As a result of the changes to the stock unit award agreements in April 2024, the stock-based compensation expense for any employee eligible for retirement on or before the grant date should have been accelerated and fully recognized on the grant date. Further, the stock-based compensation expense related to employees expected to become retirement eligible during the vesting period should have been accelerated and recognized from the grant date through the retirement eligible date instead of being recognized over the typical vesting period applicable to other employees. The correction for the Error impacted (i) selling, general and administrative expenses, (ii) accrued and other liabilities, (iii) other long-term liabilities, and (iv) additional paid-in capital.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Company corrected certain immaterial items that were previously corrected out of period and that were previously identified and concluded as immaterial, individually and in the aggregate, to its consolidated financial statements during the Affected Periods. These items primarily related to (i) revenue and cost of sales being recognized in the wrong period, which also impacted accounts receivable, contract assets, inventory, and other current assets (ii) employee compensation and benefits costs being recorded in the wrong period which also impacted accrued and other liabilities and other long-term liabilities, and (iii) incorrect netting of contract liabilities against contract assets. In addition, the tax effects of these adjustments impacted other current assets and deferred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28, 2025, the primary impact of the restatement on the unaudited condensed consolidated statements of changes in shareholders’ equity was an increase (decrease) to net income of $0.2 million and $(8.9) million, respectively, and a (decrease) increase to stock-based compensation expense of $(1.3) million and $9.1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for the quarter ended July 4, 2026 includes the impact of the restatement on the comparative unaudited quarterly financial information for the three and six months ended June 28, 2025. In addition, our future Form 10-Qs for subsequent quarterly periods during 2026 will reflect the impact of the restatement in the 2025 comparative prior quarter and year-to-date periods.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account balances labeled “As Previously Reported” in the following tables for the three and six months ended June 28, 2025 represent the previously reported unaudited balances in our Form 10-Q for the three and six months ended June 28, 2025. The effects of the prior period errors on our unaudited condensed consolidated financial statements are as follows (dollars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1"/>
        <w:gridCol w:w="1784"/>
        <w:gridCol w:w="1794"/>
        <w:gridCol w:w="109"/>
        <w:gridCol w:w="109"/>
        <w:gridCol w:w="109"/>
        <w:gridCol w:w="224"/>
        <w:gridCol w:w="997"/>
        <w:gridCol w:w="124"/>
        <w:gridCol w:w="109"/>
        <w:gridCol w:w="109"/>
        <w:gridCol w:w="109"/>
        <w:gridCol w:w="209"/>
        <w:gridCol w:w="650"/>
        <w:gridCol w:w="116"/>
        <w:gridCol w:w="109"/>
        <w:gridCol w:w="109"/>
        <w:gridCol w:w="109"/>
        <w:gridCol w:w="196"/>
        <w:gridCol w:w="871"/>
        <w:gridCol w:w="158"/>
      </w:tblGrid>
      <w:tr>
        <w:trPr/>
        <w:tc>
          <w:tcPr>
            <w:tcW w:w="210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15"/>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4"/>
              </w:rPr>
            </w:pPr>
            <w:r>
              <w:rPr>
                <w:rFonts w:ascii="Times New Roman;serif" w:hAnsi="Times New Roman;serif"/>
                <w:b w:val="false"/>
                <w:color w:val="000000"/>
                <w:sz w:val="14"/>
              </w:rPr>
              <w:t>June 28, 2025</w:t>
            </w:r>
          </w:p>
        </w:tc>
      </w:tr>
      <w:tr>
        <w:trPr/>
        <w:tc>
          <w:tcPr>
            <w:tcW w:w="5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$2,008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598,237 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596,333 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$199,238 at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1,140,831 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184,495 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182,468 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218,084 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433,000 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433,334 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$0.01 par value; 35,000,000 shares authorized; 14,922,797 shares issued and outstanding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707,831 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705,760 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1,140,831 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1,139,094 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accrued and other liabilities by less than $0.1 million, (ii) other long-term liabilities by $1.8 million, and (iii) additional paid-in capital by $16.7 million. The impact to income taxes was immaterial. See description of the Error in the paragraphs above.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Additionally, the impact of the Error and other adjustments on retained earnings. See the paragraphs above for a description of the other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62"/>
        <w:gridCol w:w="485"/>
        <w:gridCol w:w="488"/>
        <w:gridCol w:w="109"/>
        <w:gridCol w:w="109"/>
        <w:gridCol w:w="109"/>
        <w:gridCol w:w="214"/>
        <w:gridCol w:w="805"/>
        <w:gridCol w:w="119"/>
        <w:gridCol w:w="109"/>
        <w:gridCol w:w="109"/>
        <w:gridCol w:w="109"/>
        <w:gridCol w:w="223"/>
        <w:gridCol w:w="650"/>
        <w:gridCol w:w="124"/>
        <w:gridCol w:w="109"/>
        <w:gridCol w:w="109"/>
        <w:gridCol w:w="109"/>
        <w:gridCol w:w="196"/>
        <w:gridCol w:w="736"/>
        <w:gridCol w:w="109"/>
        <w:gridCol w:w="109"/>
        <w:gridCol w:w="109"/>
        <w:gridCol w:w="109"/>
        <w:gridCol w:w="214"/>
        <w:gridCol w:w="805"/>
        <w:gridCol w:w="119"/>
        <w:gridCol w:w="109"/>
        <w:gridCol w:w="109"/>
        <w:gridCol w:w="109"/>
        <w:gridCol w:w="223"/>
        <w:gridCol w:w="650"/>
        <w:gridCol w:w="124"/>
        <w:gridCol w:w="109"/>
        <w:gridCol w:w="109"/>
        <w:gridCol w:w="109"/>
        <w:gridCol w:w="196"/>
        <w:gridCol w:w="736"/>
        <w:gridCol w:w="165"/>
      </w:tblGrid>
      <w:tr>
        <w:trPr/>
        <w:tc>
          <w:tcPr>
            <w:tcW w:w="86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June 28, 2025</w:t>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202,260 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393,284 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291,039 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53,738 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105,335 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103,427 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17,171 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(11,048)</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22,700 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14,156 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selling, general and administrative expenses by $(1.4) million and $9.0 million for the three and six months ended June 28, 2025, respectively. The impact to income taxes was immaterial. See description of the Error in the paragraphs above.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the paragraphs above for a description of the other adjustments.</w:t>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863"/>
        <w:gridCol w:w="759"/>
        <w:gridCol w:w="761"/>
        <w:gridCol w:w="109"/>
        <w:gridCol w:w="109"/>
        <w:gridCol w:w="109"/>
        <w:gridCol w:w="209"/>
        <w:gridCol w:w="690"/>
        <w:gridCol w:w="116"/>
        <w:gridCol w:w="109"/>
        <w:gridCol w:w="109"/>
        <w:gridCol w:w="109"/>
        <w:gridCol w:w="227"/>
        <w:gridCol w:w="487"/>
        <w:gridCol w:w="127"/>
        <w:gridCol w:w="109"/>
        <w:gridCol w:w="109"/>
        <w:gridCol w:w="109"/>
        <w:gridCol w:w="196"/>
        <w:gridCol w:w="646"/>
        <w:gridCol w:w="109"/>
        <w:gridCol w:w="109"/>
        <w:gridCol w:w="109"/>
        <w:gridCol w:w="109"/>
        <w:gridCol w:w="222"/>
        <w:gridCol w:w="758"/>
        <w:gridCol w:w="114"/>
        <w:gridCol w:w="109"/>
        <w:gridCol w:w="109"/>
        <w:gridCol w:w="109"/>
        <w:gridCol w:w="211"/>
        <w:gridCol w:w="638"/>
        <w:gridCol w:w="109"/>
        <w:gridCol w:w="109"/>
        <w:gridCol w:w="109"/>
        <w:gridCol w:w="109"/>
        <w:gridCol w:w="196"/>
        <w:gridCol w:w="646"/>
        <w:gridCol w:w="159"/>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28, 2025</w:t>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Statements of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actuarial losses and prior service costs, net of tax of $7 and $13 for the three and six months ended June 28,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r>
      <w:tr>
        <w:trPr/>
        <w:tc>
          <w:tcPr>
            <w:tcW w:w="23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net unrealized losses on cash flow hedges, net of tax benefit of $470 and $1,185 for the three and six months ended June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11,014 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tbl>
      <w:tblPr>
        <w:tblW w:w="9206" w:type="dxa"/>
        <w:jc w:val="left"/>
        <w:tblInd w:w="0" w:type="dxa"/>
        <w:tblLayout w:type="fixed"/>
        <w:tblCellMar>
          <w:top w:w="28" w:type="dxa"/>
          <w:left w:w="28" w:type="dxa"/>
          <w:bottom w:w="28" w:type="dxa"/>
          <w:right w:w="28" w:type="dxa"/>
        </w:tblCellMar>
      </w:tblPr>
      <w:tblGrid>
        <w:gridCol w:w="1700"/>
        <w:gridCol w:w="1493"/>
        <w:gridCol w:w="1502"/>
        <w:gridCol w:w="109"/>
        <w:gridCol w:w="109"/>
        <w:gridCol w:w="109"/>
        <w:gridCol w:w="298"/>
        <w:gridCol w:w="1006"/>
        <w:gridCol w:w="165"/>
        <w:gridCol w:w="109"/>
        <w:gridCol w:w="109"/>
        <w:gridCol w:w="109"/>
        <w:gridCol w:w="220"/>
        <w:gridCol w:w="708"/>
        <w:gridCol w:w="122"/>
        <w:gridCol w:w="109"/>
        <w:gridCol w:w="109"/>
        <w:gridCol w:w="109"/>
        <w:gridCol w:w="196"/>
        <w:gridCol w:w="661"/>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Six Months Ended June 28, 2025</w:t>
            </w:r>
          </w:p>
        </w:tc>
      </w:tr>
      <w:tr>
        <w:trPr/>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Unaudited Condensed Consolidated Statement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Previously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Adjustments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As Restated</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property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 of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23,181</w:t>
            </w: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23,181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(7,003)</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senior 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paid upon issuance of common stock under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(16,200)</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37,117</w:t>
            </w:r>
            <w:r>
              <w:rPr>
                <w:color w:val="000000"/>
              </w:rPr>
              <w:t>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37,117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A: The correction for the Error impacted (i) selling, general and administrative expenses which impacted net income by $9.0 million, (ii) accrued and other liabilities by less than $0.1 million, and (iii) other long-term liabilities (which is included in accrued and other liabilities above) by less than $0.1 million. See description of the Error in the paragraphs above.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Note B: The correction for the other adjustments aside from the Error. See description of the other adjustments in the paragraphs above.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Restructuring Activities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2022 Restructuring Plan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management approved and commenced a restructuring plan that is intended to better position us for stronger performance. The restructuring plan will mainly reduce headcount and consolidate facilities. As a result of this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plan, we analyzed the need to write-down inventory and impair long-lived assets, including operating lease right-of-use assets. While we have completed the restructuring plan and recorded all incurred expenses as of December 31, 2025, we will be making payments related to such plan during 2026. Cumulative through December 31, 2025, we recorded aggregate total charges of $31.4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Electronic Systems segment, we recorded $0.1 million of other restructuring charges during the three months ended June 28, 2025. We recorded $0.1 million each for severance and benefits that were classified as restructuring charges and other restructuring charges during the six months ended June 28, 2025. Cumulative through the six months ended June 28, 2025, we recorded total charges for severance and benefits that were classified as restructuring charges, accelerated depreciation of property and equipment that was classified as restructuring charges, charges for inventory write down that was classified as cost of sales, and other restructuring of $9.6 million, $0.3 million, $0.3 million, and $0.3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Structural Systems segment, we recorded $0.5 million of other restructuring charges during the three months ended June 28, 2025. We recorded (credits) charges of $(0.2) million and $1.0 million during the six months ended June 28, 2025, for severance and benefits that were classified as restructuring charges and other restructuring charges, respectively. Cumulative through the six months ended June 28, 2025, we recorded total charges for severance and benefits that were classified as restructuring charges, accelerated depreciation of property and equipment/impairment of property and equipment that was classified as restructuring charges, charges for inventory write down that was classified as cost of sales, and other restructuring of $7.4 million, $2.0 million, $1.8 million, and $8.4 million,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restructuring activities during the six months ended July 4, 2026 were as follows (in thousands):</w:t>
      </w:r>
    </w:p>
    <w:tbl>
      <w:tblPr>
        <w:tblW w:w="10205" w:type="dxa"/>
        <w:jc w:val="center"/>
        <w:tblInd w:w="0" w:type="dxa"/>
        <w:tblLayout w:type="fixed"/>
        <w:tblCellMar>
          <w:top w:w="28" w:type="dxa"/>
          <w:left w:w="28" w:type="dxa"/>
          <w:bottom w:w="28" w:type="dxa"/>
          <w:right w:w="28" w:type="dxa"/>
        </w:tblCellMar>
      </w:tblPr>
      <w:tblGrid>
        <w:gridCol w:w="607"/>
        <w:gridCol w:w="534"/>
        <w:gridCol w:w="537"/>
        <w:gridCol w:w="109"/>
        <w:gridCol w:w="109"/>
        <w:gridCol w:w="109"/>
        <w:gridCol w:w="344"/>
        <w:gridCol w:w="762"/>
        <w:gridCol w:w="180"/>
        <w:gridCol w:w="109"/>
        <w:gridCol w:w="109"/>
        <w:gridCol w:w="109"/>
        <w:gridCol w:w="211"/>
        <w:gridCol w:w="406"/>
        <w:gridCol w:w="109"/>
        <w:gridCol w:w="109"/>
        <w:gridCol w:w="109"/>
        <w:gridCol w:w="109"/>
        <w:gridCol w:w="259"/>
        <w:gridCol w:w="647"/>
        <w:gridCol w:w="133"/>
        <w:gridCol w:w="109"/>
        <w:gridCol w:w="109"/>
        <w:gridCol w:w="109"/>
        <w:gridCol w:w="375"/>
        <w:gridCol w:w="724"/>
        <w:gridCol w:w="195"/>
        <w:gridCol w:w="109"/>
        <w:gridCol w:w="109"/>
        <w:gridCol w:w="109"/>
        <w:gridCol w:w="371"/>
        <w:gridCol w:w="715"/>
        <w:gridCol w:w="194"/>
        <w:gridCol w:w="109"/>
        <w:gridCol w:w="109"/>
        <w:gridCol w:w="109"/>
        <w:gridCol w:w="271"/>
        <w:gridCol w:w="464"/>
        <w:gridCol w:w="205"/>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 2026</w:t>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Charges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Cash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Non-Cash 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 in Estimates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restructuring activities accrual for severance and benefits of $0.1 million as of July 4, 2026 was included as part of accrued and other liabilities and is expected to be paid during 2026.</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Derivative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flow hedges consist of forward interest rate swaps to manage our exposure to interest rate movements on a portion of our debt through January 1, 2031. Our forward interest rate swaps hedge forecasted transactions through January 1,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notional amounts of derivative instruments are as follows:</w:t>
      </w:r>
    </w:p>
    <w:p>
      <w:pPr>
        <w:pStyle w:val="TextBody"/>
        <w:bidi w:val="0"/>
        <w:spacing w:before="0" w:after="0"/>
        <w:jc w:val="left"/>
        <w:rPr/>
      </w:pPr>
      <w:r>
        <w:rPr/>
      </w:r>
    </w:p>
    <w:tbl>
      <w:tblPr>
        <w:tblW w:w="7865" w:type="dxa"/>
        <w:jc w:val="left"/>
        <w:tblInd w:w="0" w:type="dxa"/>
        <w:tblLayout w:type="fixed"/>
        <w:tblCellMar>
          <w:top w:w="28" w:type="dxa"/>
          <w:left w:w="28" w:type="dxa"/>
          <w:bottom w:w="28" w:type="dxa"/>
          <w:right w:w="28" w:type="dxa"/>
        </w:tblCellMar>
      </w:tblPr>
      <w:tblGrid>
        <w:gridCol w:w="1765"/>
        <w:gridCol w:w="1550"/>
        <w:gridCol w:w="1559"/>
        <w:gridCol w:w="109"/>
        <w:gridCol w:w="109"/>
        <w:gridCol w:w="109"/>
        <w:gridCol w:w="211"/>
        <w:gridCol w:w="826"/>
        <w:gridCol w:w="109"/>
        <w:gridCol w:w="109"/>
        <w:gridCol w:w="109"/>
        <w:gridCol w:w="109"/>
        <w:gridCol w:w="211"/>
        <w:gridCol w:w="82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presentation on the unaudited condensed consolidated balance sheets for derivative instruments:</w:t>
      </w:r>
    </w:p>
    <w:p>
      <w:pPr>
        <w:pStyle w:val="TextBody"/>
        <w:bidi w:val="0"/>
        <w:spacing w:before="0" w:after="0"/>
        <w:jc w:val="left"/>
        <w:rPr/>
      </w:pPr>
      <w:r>
        <w:rPr/>
      </w:r>
    </w:p>
    <w:tbl>
      <w:tblPr>
        <w:tblW w:w="9640" w:type="dxa"/>
        <w:jc w:val="left"/>
        <w:tblInd w:w="0" w:type="dxa"/>
        <w:tblLayout w:type="fixed"/>
        <w:tblCellMar>
          <w:top w:w="28" w:type="dxa"/>
          <w:left w:w="28" w:type="dxa"/>
          <w:bottom w:w="28" w:type="dxa"/>
          <w:right w:w="28" w:type="dxa"/>
        </w:tblCellMar>
      </w:tblPr>
      <w:tblGrid>
        <w:gridCol w:w="1765"/>
        <w:gridCol w:w="1550"/>
        <w:gridCol w:w="1559"/>
        <w:gridCol w:w="109"/>
        <w:gridCol w:w="109"/>
        <w:gridCol w:w="109"/>
        <w:gridCol w:w="574"/>
        <w:gridCol w:w="574"/>
        <w:gridCol w:w="576"/>
        <w:gridCol w:w="109"/>
        <w:gridCol w:w="109"/>
        <w:gridCol w:w="109"/>
        <w:gridCol w:w="211"/>
        <w:gridCol w:w="616"/>
        <w:gridCol w:w="109"/>
        <w:gridCol w:w="109"/>
        <w:gridCol w:w="109"/>
        <w:gridCol w:w="109"/>
        <w:gridCol w:w="242"/>
        <w:gridCol w:w="707"/>
        <w:gridCol w:w="176"/>
      </w:tblGrid>
      <w:tr>
        <w:trPr/>
        <w:tc>
          <w:tcPr>
            <w:tcW w:w="1765"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activities during the six months ended July 4, 2026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0"/>
        <w:gridCol w:w="748"/>
        <w:gridCol w:w="754"/>
        <w:gridCol w:w="109"/>
        <w:gridCol w:w="109"/>
        <w:gridCol w:w="109"/>
        <w:gridCol w:w="216"/>
        <w:gridCol w:w="740"/>
        <w:gridCol w:w="111"/>
        <w:gridCol w:w="109"/>
        <w:gridCol w:w="109"/>
        <w:gridCol w:w="109"/>
        <w:gridCol w:w="467"/>
        <w:gridCol w:w="1368"/>
        <w:gridCol w:w="240"/>
        <w:gridCol w:w="109"/>
        <w:gridCol w:w="109"/>
        <w:gridCol w:w="109"/>
        <w:gridCol w:w="512"/>
        <w:gridCol w:w="1530"/>
        <w:gridCol w:w="266"/>
        <w:gridCol w:w="109"/>
        <w:gridCol w:w="109"/>
        <w:gridCol w:w="109"/>
        <w:gridCol w:w="211"/>
        <w:gridCol w:w="721"/>
        <w:gridCol w:w="163"/>
      </w:tblGrid>
      <w:tr>
        <w:trPr/>
        <w:tc>
          <w:tcPr>
            <w:tcW w:w="8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July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r>
      <w:tr>
        <w:trPr/>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Changes in Fair Value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Reclassifications to Income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w:t>
            </w:r>
          </w:p>
        </w:tc>
      </w:tr>
      <w:tr>
        <w:trPr/>
        <w:tc>
          <w:tcPr>
            <w:tcW w:w="2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hedges, before tax 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(losses) gains associated with our hedging transactions recognized in other comprehensive income are presented in the following table:</w:t>
      </w:r>
    </w:p>
    <w:p>
      <w:pPr>
        <w:pStyle w:val="TextBody"/>
        <w:bidi w:val="0"/>
        <w:spacing w:before="0" w:after="0"/>
        <w:jc w:val="left"/>
        <w:rPr/>
      </w:pPr>
      <w:r>
        <w:rPr/>
      </w:r>
    </w:p>
    <w:tbl>
      <w:tblPr>
        <w:tblW w:w="8577" w:type="dxa"/>
        <w:jc w:val="left"/>
        <w:tblInd w:w="0" w:type="dxa"/>
        <w:tblLayout w:type="fixed"/>
        <w:tblCellMar>
          <w:top w:w="28" w:type="dxa"/>
          <w:left w:w="28" w:type="dxa"/>
          <w:bottom w:w="28" w:type="dxa"/>
          <w:right w:w="28" w:type="dxa"/>
        </w:tblCellMar>
      </w:tblPr>
      <w:tblGrid>
        <w:gridCol w:w="1261"/>
        <w:gridCol w:w="1107"/>
        <w:gridCol w:w="1112"/>
        <w:gridCol w:w="109"/>
        <w:gridCol w:w="109"/>
        <w:gridCol w:w="109"/>
        <w:gridCol w:w="211"/>
        <w:gridCol w:w="466"/>
        <w:gridCol w:w="109"/>
        <w:gridCol w:w="109"/>
        <w:gridCol w:w="109"/>
        <w:gridCol w:w="109"/>
        <w:gridCol w:w="211"/>
        <w:gridCol w:w="691"/>
        <w:gridCol w:w="109"/>
        <w:gridCol w:w="109"/>
        <w:gridCol w:w="109"/>
        <w:gridCol w:w="109"/>
        <w:gridCol w:w="211"/>
        <w:gridCol w:w="616"/>
        <w:gridCol w:w="109"/>
        <w:gridCol w:w="109"/>
        <w:gridCol w:w="109"/>
        <w:gridCol w:w="109"/>
        <w:gridCol w:w="211"/>
        <w:gridCol w:w="69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Six Months Ended</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began reclassifying gains/losses associated with our cash flow hedges from accumulated other comprehensive income to the condensed statements of income when the Forward Interest Rate Swaps became effective as of January 1, 2024. We reclassify amounts to income as the hedged item impacts earnings and those amounts are presented in the following table:</w:t>
      </w:r>
    </w:p>
    <w:p>
      <w:pPr>
        <w:pStyle w:val="TextBody"/>
        <w:bidi w:val="0"/>
        <w:spacing w:before="0" w:after="0"/>
        <w:jc w:val="left"/>
        <w:rPr/>
      </w:pPr>
      <w:r>
        <w:rPr/>
      </w:r>
    </w:p>
    <w:tbl>
      <w:tblPr>
        <w:tblW w:w="6702" w:type="dxa"/>
        <w:jc w:val="left"/>
        <w:tblInd w:w="0" w:type="dxa"/>
        <w:tblLayout w:type="fixed"/>
        <w:tblCellMar>
          <w:top w:w="28" w:type="dxa"/>
          <w:left w:w="28" w:type="dxa"/>
          <w:bottom w:w="28" w:type="dxa"/>
          <w:right w:w="28" w:type="dxa"/>
        </w:tblCellMar>
      </w:tblPr>
      <w:tblGrid>
        <w:gridCol w:w="690"/>
        <w:gridCol w:w="605"/>
        <w:gridCol w:w="610"/>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Six Months Ended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pre-tax deferred gains recorded in other comprehensive income that will mature in the next 12 months total $3.3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Inventories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consisted of the following: </w:t>
      </w:r>
    </w:p>
    <w:tbl>
      <w:tblPr>
        <w:tblW w:w="5316" w:type="dxa"/>
        <w:jc w:val="left"/>
        <w:tblInd w:w="0" w:type="dxa"/>
        <w:tblLayout w:type="fixed"/>
        <w:tblCellMar>
          <w:top w:w="28" w:type="dxa"/>
          <w:left w:w="28" w:type="dxa"/>
          <w:bottom w:w="28" w:type="dxa"/>
          <w:right w:w="28" w:type="dxa"/>
        </w:tblCellMar>
      </w:tblPr>
      <w:tblGrid>
        <w:gridCol w:w="842"/>
        <w:gridCol w:w="739"/>
        <w:gridCol w:w="744"/>
        <w:gridCol w:w="109"/>
        <w:gridCol w:w="109"/>
        <w:gridCol w:w="109"/>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158,406 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182,788 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Goodwill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perform our annual goodwill impairment test as of the first day of the fourth fiscal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either a qualitative or quantitative approach when testing a reporting unit’s goodwill for impairment. The qualitative approach for potential impairment analysis is performed by evaluating a number of qualitative factors to determine whether it is more likely than not that the fair value of a reporting unit was less than its carrying amount. If the qualitative assessment indicates that it is more-likely-than-not that the fair value of a reporting unit is less than its carrying value, we perform a quantitative assessment.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management judgment in selecting comparable companies, business acquisitions and the transaction values observed and its related control premiums.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 material adverse factors/changes have occurred since the fourth quarter of 2025 that would require us to perform another qualitative or quantitative assessment as of our quarter ended July 4, 2026. As such, for the second quarter of 2026, it was also not more likely than not that the fair values of the reporting units were less than their carrying amounts and thus, the respective goodwill amounts were not deemed to be impaired.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carrying amounts of our goodwill were as follows:</w:t>
      </w:r>
    </w:p>
    <w:tbl>
      <w:tblPr>
        <w:tblW w:w="7418"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Electronic</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Structural</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Consolidated</w:t>
              <w:br/>
              <w:t>Ducommun</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goodwill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Accrued and Other Liabilities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accrued and other liabilities were as follows:</w:t>
      </w:r>
    </w:p>
    <w:tbl>
      <w:tblPr>
        <w:tblW w:w="5758" w:type="dxa"/>
        <w:jc w:val="left"/>
        <w:tblInd w:w="0" w:type="dxa"/>
        <w:tblLayout w:type="fixed"/>
        <w:tblCellMar>
          <w:top w:w="28" w:type="dxa"/>
          <w:left w:w="28" w:type="dxa"/>
          <w:bottom w:w="28" w:type="dxa"/>
          <w:right w:w="28" w:type="dxa"/>
        </w:tblCellMar>
      </w:tblPr>
      <w:tblGrid>
        <w:gridCol w:w="1065"/>
        <w:gridCol w:w="934"/>
        <w:gridCol w:w="940"/>
        <w:gridCol w:w="109"/>
        <w:gridCol w:w="109"/>
        <w:gridCol w:w="109"/>
        <w:gridCol w:w="211"/>
        <w:gridCol w:w="721"/>
        <w:gridCol w:w="109"/>
        <w:gridCol w:w="109"/>
        <w:gridCol w:w="109"/>
        <w:gridCol w:w="109"/>
        <w:gridCol w:w="218"/>
        <w:gridCol w:w="747"/>
        <w:gridCol w:w="159"/>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 and sales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 settlement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Long-Term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the current period interest rates were as follows:</w:t>
      </w:r>
    </w:p>
    <w:tbl>
      <w:tblPr>
        <w:tblW w:w="8175" w:type="dxa"/>
        <w:jc w:val="left"/>
        <w:tblInd w:w="0" w:type="dxa"/>
        <w:tblLayout w:type="fixed"/>
        <w:tblCellMar>
          <w:top w:w="28" w:type="dxa"/>
          <w:left w:w="28" w:type="dxa"/>
          <w:bottom w:w="28" w:type="dxa"/>
          <w:right w:w="28" w:type="dxa"/>
        </w:tblCellMar>
      </w:tblPr>
      <w:tblGrid>
        <w:gridCol w:w="1760"/>
        <w:gridCol w:w="1546"/>
        <w:gridCol w:w="1554"/>
        <w:gridCol w:w="109"/>
        <w:gridCol w:w="109"/>
        <w:gridCol w:w="109"/>
        <w:gridCol w:w="211"/>
        <w:gridCol w:w="826"/>
        <w:gridCol w:w="271"/>
        <w:gridCol w:w="109"/>
        <w:gridCol w:w="109"/>
        <w:gridCol w:w="109"/>
        <w:gridCol w:w="211"/>
        <w:gridCol w:w="826"/>
        <w:gridCol w:w="316"/>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 -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 of debt issuance costs -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271,425 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298,790 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Debt issuance costs - revolving credit facility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Included as part of other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we completed a refinancing of our existing debt by entering into a new term loan (“2025 Term Loan”) and a new revolving credit facility (“2025 Revolving Credit Facility”). The 2025 Term Loan is a $200.0 million senior secured loan that matures in November 2030. The 2025 Revolving Credit Facility is a $450.0 million senior secured revolving credit facility that matures in November 2030. The 2025 Term Loan replaced the 2022 Term Loan (“2022 Term Loan”) which was a $250.0 million senior secured loan. The 2025 Revolving Credit Facility replaced the 2022 Revolving Credit Facility (“2022 Revolving Credit Facility”) which was a $200.0 million senior secured revolving credit facility. The 2025 Term Loan and 2025 Revolving Credit Facility, collectively are the new credit facilities (“2025 Credit Facilities”). The 2022 Term Loan and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Revolving Credit Facility, collectively were the 2022 credit facilities that were entered into in July 2022 and would have matured in July 2027 (“2022 Credit Facilities”).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our option, at a rate equal to either (i) Term Secured Overnight Financing Rate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Interest payments are typically paid either on a monthly or quarterly basis, depending on the interest rate selected, on the last business day each month or quarter. In addition, 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Under the 2025 Term Loan, no quarterly amortization payment was required to be paid during the fourth quarter of 2025, instead, it began in the first quarter of 2026. For the three months ended July 4, 2026 and June 28, 2025, we made the required quarterly amortization payments of $1.3 million and $3.1 million, respectively. For the six months ended July 4, 2026 and June 28, 2025, we made the required quarterly amortization payments of $2.5 million and $3.1 million, respectively. The required quarterly amortization payments due on March 31, 2025 and June 30, 2025 were in our second and third fiscal quarters of 2025, respectively.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Revolving Credit Facility bears interest, at our option, at a rate equal to either (i)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Interest payments are typically paid either on a monthly or a quarterly basis, depending on the interest rate selected, on the last business day each month or quarter. The undrawn portion of the commitment of the 2025 Revolving Credit Facility is subject to a commitment fee ranging from 0.175% to 0.250%, based upon the consolidated total net adjusted leverage ratio, typically paid on a quarterly basis, on the last business day each quarter. However, the 2025 Revolving Credit Facility does not require any principal installment payments.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conjunction with the closing of the 2025 Credit Facilities, we utilized the entire $200.0 million of proceeds from the 2025 Term Loan combined with drawing down on the 2025 Revolving Credit Facility to pay off our entire debt balance outstanding of $320.0 million under the 2022 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July 4, 2026, we had $369.8 million of unused borrowing capacity under the 2025 Revolving Credit Facility, after deducting $0.2 million for standby letters of credit.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July 4, 2026, we were in compliance with all covenants required under the 2025 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Term Loan was considered a modification of debt for some lenders and an extinguishment of debt for other lenders, and thus, a loss of $0.3 million was recorded related to the extinguishment. In addition, the new fees incurred of $1.0 million were capitalized and will be amortized to interest expense over the life of the 2025 Term Loan. Further, the remaining debt issuance costs related to the 2022 Term Loan of $0.2 million as of the modification date will be amortized to interest expense over the life of the 2025 Term Loan, using the effective interest method.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Revolving Credit Facility that replaced the 2022 Revolving Credit Facility was considered a modification of debt except for the portion related to the creditors that are no longer a part of the 2025 Revolving Credit Facility and in which case, it was considered an extinguishment of debt. As a result, we expensed the portion of the unamortized debt issuance costs related to the 2022 Revolving Credit Facility that was considered an extinguishment of debt of $0.3 million. In addition, the new fees incurred of $2.6 million as part of the 2025 Revolving Credit Facility were capitalized and will be amortized to interest expense over the life of the 2025 Revolving Credit Facility. Further, the remaining debt issuance costs related to the 2022 Revolving Credit Facility of $0.5 million as of the modification date will also be amortized on a straight-line basis to interest expense over the life of the 2025 Revolving Credit Facility.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Credit Facilities were entered into by us (“Parent Company”) and guaranteed by all of our domestic subsidiaries, other than two subsidiaries that were considered minor (“Subsidiary Guarantors”). The Subsidiary Guarantors jointly and severally guarantee the 2025 Credit Facilities. The Parent Company has no independent assets or operations and, therefore, no consolidating financial information for the Parent Company and its subsidiaries is presented.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2021, we entered into U.S. dollar-one month London Interbank Offered Rate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See Note 1 and Note 4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2022, as a result of completing a refinancing of our existing debt by entering into the 2022 Credit Facilities, we were required to complete an amendment of the Forward Interest Rate Swaps (“Amended Forward Interest Rate Swaps”). The Forward Interest Rate Swaps were based on U.S. dollar-one month LIBOR and were amended to be based on one month Term SOFR as borrowings using LIBOR were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was 1.7% as a result of the difference between U.S. dollar-one month LIBOR and one month Term SOFR.</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Indemnifications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unaudited condensed consolidated balance sheets.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determined using an estimated annual effective tax rate. Our effective tax rate may be subject to fluctuations during the year as new information is obtained, which may affect the assumptions used to estimate the annual effective tax rate, including factors such as expected R&amp;D tax credits, non-deductible book compensation expenses, tax deductions for Foreign Derived Intangible Income,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unaudited condensed consolidated income statement could result in fluctuations in our effective tax rate period-over-period depending on the volatility of our stock price, number of restricted or performance stock units that vest,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$4.4 million for the three months ended July 4, 2026 compared to income tax expense of $3.7 million for the three months ended June 28, 2025. The increase in income tax expense for the second quarter of 2026 compared to the second quarter of 2025 was primarily due to higher pre-tax income in the second quarter of 2026 compared to the second quarter of 2025. The increase in income tax expense was partially offset by higher income tax benefits recognized for net tax windfalls related to stock-based compensation in the second quarter of 2026 compared to the second quarter of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$6.2 million for the six months ended July 4, 2026 compared to income tax expense of $4.0 million for the six months ended June 28, 2025. The increase in income tax expense for the six months ended July 4, 2026 compared to the six months ended June 28, 2025 was primarily due to higher pre-tax income in the six months ended July 4, 2026 compared to the six months ended June 28, 2025. The increase in income tax expense was partially offset by higher income tax benefits recognized for net tax windfalls related to stock-based compensation in the six months ended July 4, 2026 compared to the six months ended June 28,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total amount of unrecognized tax benefits was $5.5 million and $5.0 million as of July 4, 2026 and December 31, 2025, respectively. If recognized, $3.4 million would affect the effective tax rate. We record interest and penalty charges, if any, related to uncertain tax positions as a component of tax expense and unrecognized tax benefits. The amounts accrued for interest and penalty charges as of July 4, 2026 and December 31, 2025 were not significant.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file U.S. Federal and state income tax returns. We are subject to examination by the Internal Revenue Service (“IRS”)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tax years after 2021 and by state taxing authorities for tax years after 2020.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U.S. enacted the One Big Beautiful Bill Act (“OBBBA”). Amongst other things, the OBBBA provides for several corporate tax provision changes including restoring the full expensing of qualified property placed in service after January 19, 2025, reinstating the immediate expensing of U.S. research and development expenditures paid or incurred for tax years beginning after December 31, 2024, and changes in the computations of U.S. taxation on international earnings for tax years beginning after December 31, 2025. We completed the initial assessment of the OBBBA corporate tax provisions as they relate to our financial statements. The enactment of the OBBBA did not have a material impact to our effective tax rate for the three and six months ended July 4, 2026. However, we expect the OBBBA to decrease our cash tax liability for 2026. We will continue to evaluate the full impact of the OBBBA corporate tax provision changes as additional guidance becomes available.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Guaymas Performance Center Fire</w:t>
      </w:r>
    </w:p>
    <w:p>
      <w:pPr>
        <w:pStyle w:val="TextBody"/>
        <w:bidi w:val="0"/>
        <w:spacing w:lineRule="auto" w:line="288" w:before="100" w:after="283"/>
        <w:jc w:val="left"/>
        <w:rPr/>
      </w:pPr>
      <w:r>
        <w:rPr>
          <w:rFonts w:ascii="Times New Roman;serif" w:hAnsi="Times New Roman;serif"/>
          <w:b w:val="false"/>
          <w:i/>
          <w:color w:val="000000"/>
          <w:sz w:val="20"/>
        </w:rPr>
        <w:t>Impact to Performance Center.</w:t>
      </w:r>
      <w:r>
        <w:rPr>
          <w:color w:val="000000"/>
        </w:rPr>
        <w:t xml:space="preserve"> </w:t>
      </w:r>
      <w:r>
        <w:rPr>
          <w:rFonts w:ascii="Times New Roman;serif" w:hAnsi="Times New Roman;serif"/>
          <w:b w:val="false"/>
          <w:color w:val="000000"/>
          <w:sz w:val="20"/>
        </w:rPr>
        <w:t xml:space="preserve">In June 2020, a fire severely damaged our performance center in Guaymas, Mexico, which is part of our Structural Systems segment. There were no injuries, however, property and equipment, inventories, and tooling in this leased facility were damaged. Our Guaymas performance center, comprised of two buildings with an aggregate total of 62,000 square feet, was severely damaged. The insurance claim for damages to our operating assets and business interruption was deemed final and closed by our insurance company during the three months ended July 1, 2023.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with 117,000 square feet in Guaymas. </w:t>
      </w:r>
    </w:p>
    <w:p>
      <w:pPr>
        <w:pStyle w:val="TextBody"/>
        <w:bidi w:val="0"/>
        <w:spacing w:lineRule="auto" w:line="288" w:before="100" w:after="283"/>
        <w:jc w:val="left"/>
        <w:rPr/>
      </w:pPr>
      <w:r>
        <w:rPr>
          <w:rFonts w:ascii="Times New Roman;serif" w:hAnsi="Times New Roman;serif"/>
          <w:b w:val="false"/>
          <w:i/>
          <w:color w:val="000000"/>
          <w:sz w:val="20"/>
        </w:rPr>
        <w:t>Guaymas Fire Litigation.</w:t>
      </w:r>
      <w:r>
        <w:rPr>
          <w:color w:val="000000"/>
        </w:rPr>
        <w:t xml:space="preserve"> </w:t>
      </w:r>
      <w:r>
        <w:rPr>
          <w:rFonts w:ascii="Times New Roman;serif" w:hAnsi="Times New Roman;serif"/>
          <w:b w:val="false"/>
          <w:color w:val="000000"/>
          <w:sz w:val="20"/>
        </w:rPr>
        <w:t xml:space="preserve">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(the “District Court”) seeking unspecified amounts for damages relating to the fire (“Guaymas Fire Litigation”). Subsequent to our quarter ended September 27, 2025, on October 3, 2025, we entered into a binding settlement term sheet (the “Term Sheet”) to resolve the Guaymas Fire Litigation against us. The Term Sheet provides for, among other things, the final dismissal of the Guaymas Fire Litigation against us with prejudice and a release of claims against us in exchange for us issuing a payment of $150.0 million, $56.0 million of which we expected at that time to be funded by our insurance carriers. The Term Sheet also included a mutual release of all the plaintiff’s past, present, and future claims arising from the fire and an indemnification in favor of us from any future subrogation claims that may be brought by the plaintiff’s insurers. Thereafter, on October 17, 2025, we entered into a settlement agreement that memorialized the terms set forth in and superseded the Term Sheet.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the litigation settlement costs of $150.0 million, which was included as part of the operating loss, and the related accrual which is included as part of accrued and other liabilities during the three months ended September 27, 2025 as such conditions existed as of the end of our fiscal third quarter. In addition, we recorded an insurance receivable of $56.0 million related to the Guaymas Fire Litigation and included as other current assets and on the same line as the litigation settlement costs as the determination that the insurance recovery receivable was probable of collection was based on the terms of the applicable insurance policies, settlement agreement, and communications with our insurance carriers. Our insurance carriers made payments directly to the plaintiff totaling $56.0 million, and on November 24, 2025, we made a payment to the plaintiff of $94.0 million and thus, the $150.0 million settlement liability was extinguished as of December 31, 2025.</w:t>
      </w:r>
    </w:p>
    <w:p>
      <w:pPr>
        <w:pStyle w:val="TextBody"/>
        <w:bidi w:val="0"/>
        <w:spacing w:lineRule="auto" w:line="288" w:before="100" w:after="283"/>
        <w:jc w:val="left"/>
        <w:rPr/>
      </w:pPr>
      <w:r>
        <w:rPr>
          <w:rFonts w:ascii="Times New Roman;serif" w:hAnsi="Times New Roman;serif"/>
          <w:b w:val="false"/>
          <w:i/>
          <w:color w:val="000000"/>
          <w:sz w:val="20"/>
        </w:rPr>
        <w:t>Subrogation Claims.</w:t>
      </w:r>
      <w:r>
        <w:rPr>
          <w:color w:val="000000"/>
        </w:rPr>
        <w:t xml:space="preserve"> </w:t>
      </w:r>
      <w:r>
        <w:rPr>
          <w:rFonts w:ascii="Times New Roman;serif" w:hAnsi="Times New Roman;serif"/>
          <w:b w:val="false"/>
          <w:color w:val="000000"/>
          <w:sz w:val="20"/>
        </w:rPr>
        <w:t xml:space="preserve">Subsequent to our quarter ended September 27, 2025, on October 9, 2025, we also settled an ancillary subrogation claim for $1.4 million. We recorded the litigation settlement costs of $1.4 million, which was included as part of the operating loss, and the related accrual which was included as part of accrued and other liabilities during the three months ended September 27, 2025 as such conditions existed as of the end of our fiscal third quarter. Thereafter, on October 24, 2025, we entered into a settlement agreement that memorialized the terms agreed to on October 9, 2025. We made the $1.4 million payment to the plaintiff during the three months ended December 31, 2025. Further, in connection with the Guaymas Fire Litigation, in July 2024, we received a subrogation demand (“Additional Subrogation Claim”) from our landlord’s insurer. Subsequent to the fiscal year ended December 31, 2025, on January 7, 2026, we entered into a binding confidential agreement, (“Settlement Agreement”) to resolve the Additional Subrogation Claim against us. The Settlement Agreement provides for, among other things, the final dismissal of the Additional Subrogation Claim and a release of all claims against us, with prejudice, in exchange for us issuing a payment of $4.0 million. We recorded this litigation settlement cost, which was included as part of operating loss, and the related accrual, which was included as part of accrued and other liabilities as of December 31, 2025 as such conditions existed as of our fiscal year ended December 31, 2025. We made a payment of $4.0 million on January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14, 2026. While we do not believe there are any remaining subrogation or other claims relating to the Guaymas fire at this time, other than by an insurer of the plaintiff in the Guaymas Fire Litigation based in Mexico for payments issued to its insured for damages allegedly incurred in the Guaymas fire, and which we believe to be time barred, it is possible that we may face additional subrogation claims associated with the Guaymas Fire Litigation in the future.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are not recorded until all contingencies related to our claim have been resolved.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Groundwater</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the estimated liability for such investigation and corrective action of $1.5 million at both July 4, 2026 and December 31, 2025, which is reflected in other long-term liabilities on our unaudited condensed consolidated balance sheets.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Waste Disposal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which had a balance of $0.4 million as of both July 4, 2026 and December 31, 2025, which is reflected in other long-term liabilities on our unaudited condensed consolidated balance sheets. We anticipate an updated estimate will be available over the next 12 to 24 months however, and will update our accrual for the estimated liability at that time, if needed. Our ultimate liability in connection with these matters will depend upon a number of factors, including changes in existing laws and regulations, the design and cost of construction, operation and maintenance activities related to a final remedy, and the allocation of liability among potentially responsible parties.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unaudited condensed consolidated financial position, results of operations or cash flows.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Business 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supply products and services primarily to the aerospace and defense industries. Our subsidiaries are organized into two strategic businesses, Electronic Systems and Structural Systems, each of which is an operating segment as well as a reportable segment. Electronic Systems designs, engineers and manufactures high-reliability electronic and electromechanical products used in worldwide technology-driven markets including A&amp;D and Industrial end-use markets. Structural Systems designs, engineers and manufactures large, complex contoured aerostructure components and assemblies and supplies composite and metal bonded structures and assemblies.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the Chairman, President and Chief Executive Officer. The measure used by the CODM to assess segment performance is segment operating income. Monitoring of segment operating income budgeted versus actual results is used for assessing performance of the segment and in establishing management’s compensation.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tbl>
      <w:tblPr>
        <w:tblW w:w="14437" w:type="dxa"/>
        <w:jc w:val="left"/>
        <w:tblInd w:w="0" w:type="dxa"/>
        <w:tblLayout w:type="fixed"/>
        <w:tblCellMar>
          <w:top w:w="28" w:type="dxa"/>
          <w:left w:w="28" w:type="dxa"/>
          <w:bottom w:w="28" w:type="dxa"/>
          <w:right w:w="28" w:type="dxa"/>
        </w:tblCellMar>
      </w:tblPr>
      <w:tblGrid>
        <w:gridCol w:w="401"/>
        <w:gridCol w:w="287"/>
        <w:gridCol w:w="288"/>
        <w:gridCol w:w="109"/>
        <w:gridCol w:w="109"/>
        <w:gridCol w:w="109"/>
        <w:gridCol w:w="166"/>
        <w:gridCol w:w="526"/>
        <w:gridCol w:w="109"/>
        <w:gridCol w:w="109"/>
        <w:gridCol w:w="109"/>
        <w:gridCol w:w="109"/>
        <w:gridCol w:w="166"/>
        <w:gridCol w:w="466"/>
        <w:gridCol w:w="109"/>
        <w:gridCol w:w="109"/>
        <w:gridCol w:w="109"/>
        <w:gridCol w:w="109"/>
        <w:gridCol w:w="166"/>
        <w:gridCol w:w="526"/>
        <w:gridCol w:w="109"/>
        <w:gridCol w:w="109"/>
        <w:gridCol w:w="109"/>
        <w:gridCol w:w="109"/>
        <w:gridCol w:w="166"/>
        <w:gridCol w:w="526"/>
        <w:gridCol w:w="109"/>
        <w:gridCol w:w="109"/>
        <w:gridCol w:w="109"/>
        <w:gridCol w:w="109"/>
        <w:gridCol w:w="166"/>
        <w:gridCol w:w="46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109"/>
        <w:gridCol w:w="109"/>
        <w:gridCol w:w="109"/>
        <w:gridCol w:w="166"/>
        <w:gridCol w:w="526"/>
        <w:gridCol w:w="109"/>
        <w:gridCol w:w="327"/>
        <w:gridCol w:w="166"/>
        <w:gridCol w:w="526"/>
        <w:gridCol w:w="109"/>
        <w:gridCol w:w="327"/>
        <w:gridCol w:w="166"/>
        <w:gridCol w:w="526"/>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br/>
              <w:t>Six Months Ended</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Electronic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Structural 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Consolidated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249,026 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Significant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175,824 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25,476 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12,761 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57,122 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Reconciliation of Profit or Loss (Segment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Unallocated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 xml:space="preserve">Corporate general and administrative expenses </w:t>
            </w:r>
            <w:r>
              <w:rPr>
                <w:rFonts w:ascii="Times New Roman;serif" w:hAnsi="Times New Roman;serif"/>
                <w:b w:val="false"/>
                <w:color w:val="000000"/>
                <w:sz w:val="9"/>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22,700 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36,519 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 Includes costs not allocated to either the Electronic Systems or Structural Systems operating segments.</w:t>
      </w:r>
    </w:p>
    <w:p>
      <w:pPr>
        <w:pStyle w:val="TextBody"/>
        <w:bidi w:val="0"/>
        <w:spacing w:lineRule="auto" w:line="288" w:before="180" w:after="100"/>
        <w:jc w:val="left"/>
        <w:rPr>
          <w:rFonts w:ascii="Times New Roman;serif" w:hAnsi="Times New Roman;serif"/>
          <w:b w:val="false"/>
          <w:color w:val="000000"/>
          <w:sz w:val="20"/>
        </w:rPr>
      </w:pPr>
      <w:r>
        <w:rPr>
          <w:rFonts w:ascii="Times New Roman;serif" w:hAnsi="Times New Roman;serif"/>
          <w:b w:val="false"/>
          <w:color w:val="000000"/>
          <w:sz w:val="20"/>
        </w:rPr>
        <w:t>Additional financial information by reportable segment was as follows:</w:t>
      </w:r>
    </w:p>
    <w:tbl>
      <w:tblPr>
        <w:tblW w:w="9237" w:type="dxa"/>
        <w:jc w:val="left"/>
        <w:tblInd w:w="0" w:type="dxa"/>
        <w:tblLayout w:type="fixed"/>
        <w:tblCellMar>
          <w:top w:w="28" w:type="dxa"/>
          <w:left w:w="28" w:type="dxa"/>
          <w:bottom w:w="28" w:type="dxa"/>
          <w:right w:w="28" w:type="dxa"/>
        </w:tblCellMar>
      </w:tblPr>
      <w:tblGrid>
        <w:gridCol w:w="1423"/>
        <w:gridCol w:w="1250"/>
        <w:gridCol w:w="1257"/>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br/>
              <w:t>Six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Administration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Segment assets include assets directly identifiable with each segment. Corporate assets include assets not specifically identified with a business segment, including cash. The following table summarizes our segment assets:</w:t>
      </w:r>
    </w:p>
    <w:tbl>
      <w:tblPr>
        <w:tblW w:w="5961" w:type="dxa"/>
        <w:jc w:val="left"/>
        <w:tblInd w:w="0" w:type="dxa"/>
        <w:tblLayout w:type="fixed"/>
        <w:tblCellMar>
          <w:top w:w="28" w:type="dxa"/>
          <w:left w:w="28" w:type="dxa"/>
          <w:bottom w:w="28" w:type="dxa"/>
          <w:right w:w="28" w:type="dxa"/>
        </w:tblCellMar>
      </w:tblPr>
      <w:tblGrid>
        <w:gridCol w:w="965"/>
        <w:gridCol w:w="850"/>
        <w:gridCol w:w="855"/>
        <w:gridCol w:w="109"/>
        <w:gridCol w:w="109"/>
        <w:gridCol w:w="109"/>
        <w:gridCol w:w="211"/>
        <w:gridCol w:w="976"/>
        <w:gridCol w:w="109"/>
        <w:gridCol w:w="109"/>
        <w:gridCol w:w="109"/>
        <w:gridCol w:w="109"/>
        <w:gridCol w:w="211"/>
        <w:gridCol w:w="976"/>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Systems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1,186,415 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Structural Systems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ind w:left="0" w:right="0" w:hanging="63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Restatement of Previously Issued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disclosed in our Amendment No. 1 to Annual Report on Form 10-K for the year ended December 31, 2025 (“2025 Form 10-K/A”), we restated our audited consolidated financial statements for the year ended December 31, 2025, and our unaudited quarterly financial information for each quarter in the year ended December 31, 2025 (collectively, the “Affected Periods”), among other periods, and corrected certain other immaterial items that were previously identified and concluded as immaterial, individually and in the aggregate, to its consolidated financial statements during the Affected Periods as further described below.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While preparing the first quarter of 2026 consolidated financial statements, management identified an error in our historical consolidated financial statements for the Affected Periods relating to the timing of stock-based compensation expense recognition (the “Error”). In particular, the Company did not apply the proper accounting for changes made in April 2024 to the retirement provision in the Company’s performance stock unit and restricted stock unit award agreements and did not record stock-based compensation expense in the correct periods for retirement eligible employees. As a result of the changes to the stock unit award agreements in April 2024, the stock-based compensation expense for any employee eligible for retirement on or before the grant date should have been accelerated and fully recognized on the grant date. Further, the stock-based compensation expense related to employees expected to become retirement eligible during the vesting period should have been accelerated and recognized from the grant date through the retirement eligible date instead of being recognized over the typical vesting period applicable to other employees. The correction for the Error impacted (i) selling, general and administrative expenses, (ii) accrued and other liabilities, (iii) other long-term liabilities, and (iv) additional paid-in capital.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Additionally, the Company also corrected certain items that were previously corrected out of period and that were previously identified and concluded as immaterial, individually and in the aggregate, to its consolidated financial statements during the Affected Periods. These items primarily related to (i) revenue and cost of sales being recognized in the wrong period, which also impacted accounts receivable, contract assets, inventory, and other current assets (ii) employee compensation and benefits costs being recorded in the wrong period which also impacted accrued and other liabilities and other long-term liabilities, and (iii) incorrect netting of contract liabilities against contract assets. In addition, the tax effects of these adjustments impacted other current assets and deferred income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Part I, Item 4 of this Quarterly Report on Form 10-Q for information regarding our controls and procedures.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 (“Ducommun,” “the Company,” “we,” “us” or “our”) is a leading designer and manufacturer of and provider of manufacturing solutions for high-performance products often used in high-cost-of failure applications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Economic Environment</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The Boeing Company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its 2025 Annual Report on Form 10-K, The Boeing Company (“Boeing”) indicated that in 2025, global air traffic expanded to near historical trend rates on an annual basis. The growth occurred despite a lower than usual contribution from the North America market, which had stagnant demand, particularly in the low-cost space. International demand outpaced domestic demand on an annual basis as the international demand continue to build on the recovery momentum from 2024, including in China, lifting demand for wide-body airplanes. Based on these trends, both single-aisle and wide-body demand remain above current industry supply levels. Overall, Boeing is experiencing strong demand from their airplane customers globally.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Boeing was one of our largest customers in 2025, and the 737 MAX was one of our highest commercial end use market revenue platforms. In early January 2024, the Federal Aviation Administration (“FAA”) initiated an investigation into Boeing’s quality control system, which was followed by the agency announcing actions to increase its oversight of Boeing as well as not approving production rate increases or additional production lines for the 737 MAX until it was satisfied that Boeing attained full compliance with required quality control procedures. Subsequently, in July 2024, Boeing pleaded guilty to conspiracy fraud charges, which may result in additional external oversight on its manufacturing and quality control processes. More recently, Boeing announced that the FAA cleared Boeing’s plan to raise 737 MAX production from 42 airplanes to 47 airplanes per month. In addition, the FAA recently announced that Boeing can resume issuing airworthiness certificates for its 737 MAX aircraft.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Since Boeing is one of our largest customers, if Boeing is unable to meet the full compliance of the FAA’s required quality control procedures, in the near term, it could have a material adverse impact on our business, results of operations and financial condition.</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Airbus 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Airbus SE (“Airbus”) is aligned with Boeing’s view on international demand as its Global Services Forecast for Asia-Pacific (including China and India) anticipates that total services demand in the region will grow at a 5.2% compound annual growth rate through 2044, reaching an estimated market value of $138.7 billion. This sustained growth is expected to be underpinned by expanding air traffic and fleet growth. The region is also expected to remain the world’s fastest growing air travel market, with passenger traffic expected to rise by 4.4% annually, well above the global average of 3.6%.</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Government Tariffs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Since February 2025, the U.S. government has issued several executive orders (“Executive Orders”), under various statutes, imposing tariffs on imports from most countries with whom the U.S. engages in trade. As such, during 2025, the United States reached bilateral trade agreements that recognize tariff-free trade of products within the scope of the World Trade Organization Agreement on Trade in Civil Aircraft with the United Kingdom, Japan, and the European Union. Moreover, the United States applies a diverse range of reciprocal tariffs to imports originating from countries that have not concluded bilateral trade agreements with the United States. In February 2026, the U.S. Supreme Court struck down the sweeping tariffs that the U.S. government had imposed through the Executive Orders issued pursuant to International Emergency Economic Powers Act (“IEEPA”) of 1977. However, the U.S. government subsequently imposed a global tariff of 10% (which could potentially increase to 15%) that went into effect on February 24, 2026, and which would be effective for 150 days unless they are extended by the U.S. Congress. Additionally, in late July 2026, an Executive Order implementing tariffs under Section 304(a) of the Trade Act of 1974, as amended, was issued imposing tariffs of 10% to 12.5% on non-exempt goods depending on the country of origin, and from which civil aircraft parts and components and goods qualifying under the United States-Mexico-Canada Agreement are exempt.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If the imposition of current tariff levels is sustained, our profitability, cash flows and the estimates inherent in our financial statements could be negatively affected to the extent we are either unable to claim duty exemptions or are unable to pass on such incremental tariffs to our customers. The actual financial impacts of tariffs are dependent upon various factors, most notably, the scope of goods covered by tariffs, the value of our imports subject to tariffs, the rate of tariffs applied, the timing and duration of tariffs, the implementation of tariff and non-tariff countermeasures by countries subject to U.S. tariffs, and our ability to mitigate the impacts of tariffs by availing ourselves of applicable exemptions. Changes in any of these factors and actual tariff costs incurred could significantly affect the estimates inherent in our financial statements, including those used in our estimates-at-completion (“EACs”), and estimates supporting the recoverability of our inventories, contract assets, intangible assets, and goodwill, and could have a material effect on our results of operations and cash flows in the periods recognized and paid.</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Government Budget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Congress failed to reach an agreement on funding the federal government, resulting in a shutdown until an agreement is reached. This resulted in the disruption of non-essential government services, with over hundreds of thousands of federal employees being furloughed or working without pay.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the U.S. Government enacted a continuing resolution (“CR”) to keep the government funded through January 2026 while Congress works to enact full year fiscal year 2026 (“FY26”) remaining appropriation bills or an additional CR to fund government departments and agencies after January 2026. In addition, in January 2026, President Trump called for increasing the FY27 U.S. military budget to $1.5 trillion, significantly higher than the $901 billion approved by Congress for FY26. However, such increase in the military budget would require congressional authorization.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February 2026, President Trump signed into law a funding package to end the brief U.S. Government shutdown. The legislation will ensure full year funding for the federal government through the end of September 2026, with the lone exception of funding for the Department of Homeland Security. On June 10, 2026, President Trump signed into law a funding package that included funding for the Department of Homeland Security.</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U.S. Taxation Legislation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U.S. enacted the One Big Beautiful Bill Act (“OBBBA”), which, among other things, provides a corporate tax provision change in reinstating the immediate expensing of U.S. research and development expenditures paid or incurred for tax years beginning after December 31, 2024. See Note 10 to our unaudited condensed consolidated financial statements included in Part I, Item 1 of this Form 10-Q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OBBBA also provides a supplementary $156 billion to the U.S. Department of War (“DoW”) for obligations through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Executive Order Regarding Modernizing Defense Acquisitions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April 2025, the U.S. government issued an executive order requiring, among other things, a DoW review of its Major Defense Acquisition Programs to identify those programs that are 15% behind schedule, 15% over budget, unable to meet key performance parameters, or unaligned with the Secretary of Defense’s mission priorities for potential cancellation. Although Ducommun does not, at this time, believe the Executive Order will have a material impact on our business or results of operations, the longer-term ramifications, if any, to Ducommun will depend on a variety of factors including the formulation and implementation of the review criteria in the order, the review timeline, the Secretary of Defense’s mission priorities, and future budget determinations based on the results of such review.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Guaymas Fire - Developments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Subsequent to December 31, 2025, in January 2026, we entered into a binding confidential agreement (“Confidential Agreement”) to resolve an additional subrogation claim (“Additional Subrogation Claim”) against us related to the Guaymas fire. The Confidential Agreement provides for, among other things, the final dismissal of the Additional Subrogation Claim and a release of all claims against us, with prejudice, in exchange for us issuing a payment of $4.0 million. We do not believe there are any remaining subrogation or other claims relating to the Guaymas fire at this time other than by an insurer of the plaintiff in the Guaymas Fire Litigation based in Mexico for payments issued to its insured for damages allegedly incurred in the Guaymas fire, which we believe to be time barred. See Note 11 to our unaudited condensed consolidated financial statements included in Part I, Item 1 of this Form 10-Q for further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Second quarter 2026 recap:</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 xml:space="preserve">Net revenues of $224.5 million </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Net income of $20.4 million, or 9.1% of net revenues, or $1.31 per diluted share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Adjusted EBITDA of $38.4 million, or 17.1% of net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283"/>
        <w:jc w:val="left"/>
        <w:rPr>
          <w:rFonts w:ascii="Times New Roman;serif" w:hAnsi="Times New Roman;serif"/>
          <w:b/>
          <w:color w:val="000000"/>
          <w:sz w:val="20"/>
          <w:u w:val="single"/>
        </w:rPr>
      </w:pPr>
      <w:r>
        <w:rPr>
          <w:rFonts w:ascii="Times New Roman;serif" w:hAnsi="Times New Roman;serif"/>
          <w:b/>
          <w:color w:val="000000"/>
          <w:sz w:val="20"/>
          <w:u w:val="single"/>
        </w:rPr>
        <w:t>Second Quarter of 2026 Compared to Second Quarter of 2025 (As Restated)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net revenues, selected financial data, the effective tax rate and diluted earnings per share:</w:t>
      </w:r>
    </w:p>
    <w:tbl>
      <w:tblPr>
        <w:tblW w:w="12084" w:type="dxa"/>
        <w:jc w:val="left"/>
        <w:tblInd w:w="0" w:type="dxa"/>
        <w:tblLayout w:type="fixed"/>
        <w:tblCellMar>
          <w:top w:w="28" w:type="dxa"/>
          <w:left w:w="28" w:type="dxa"/>
          <w:bottom w:w="28" w:type="dxa"/>
          <w:right w:w="28" w:type="dxa"/>
        </w:tblCellMar>
      </w:tblPr>
      <w:tblGrid>
        <w:gridCol w:w="424"/>
        <w:gridCol w:w="372"/>
        <w:gridCol w:w="375"/>
        <w:gridCol w:w="109"/>
        <w:gridCol w:w="109"/>
        <w:gridCol w:w="109"/>
        <w:gridCol w:w="196"/>
        <w:gridCol w:w="736"/>
        <w:gridCol w:w="256"/>
        <w:gridCol w:w="109"/>
        <w:gridCol w:w="109"/>
        <w:gridCol w:w="109"/>
        <w:gridCol w:w="295"/>
        <w:gridCol w:w="261"/>
        <w:gridCol w:w="318"/>
        <w:gridCol w:w="109"/>
        <w:gridCol w:w="109"/>
        <w:gridCol w:w="109"/>
        <w:gridCol w:w="196"/>
        <w:gridCol w:w="736"/>
        <w:gridCol w:w="256"/>
        <w:gridCol w:w="109"/>
        <w:gridCol w:w="109"/>
        <w:gridCol w:w="109"/>
        <w:gridCol w:w="295"/>
        <w:gridCol w:w="261"/>
        <w:gridCol w:w="318"/>
        <w:gridCol w:w="109"/>
        <w:gridCol w:w="109"/>
        <w:gridCol w:w="109"/>
        <w:gridCol w:w="196"/>
        <w:gridCol w:w="736"/>
        <w:gridCol w:w="256"/>
        <w:gridCol w:w="109"/>
        <w:gridCol w:w="109"/>
        <w:gridCol w:w="109"/>
        <w:gridCol w:w="295"/>
        <w:gridCol w:w="261"/>
        <w:gridCol w:w="318"/>
        <w:gridCol w:w="109"/>
        <w:gridCol w:w="109"/>
        <w:gridCol w:w="109"/>
        <w:gridCol w:w="196"/>
        <w:gridCol w:w="736"/>
        <w:gridCol w:w="256"/>
        <w:gridCol w:w="109"/>
        <w:gridCol w:w="109"/>
        <w:gridCol w:w="109"/>
        <w:gridCol w:w="279"/>
        <w:gridCol w:w="277"/>
        <w:gridCol w:w="36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 except per share data)</w:t>
              <w:br/>
              <w:t>Six Months Ended</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br/>
              <w:t>of Net  Revenues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62,900 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103,427 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24,809 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Net Revenues by End-Use Market and Operating Segment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revenues by end-use market and operating segment during the fiscal three and six months ended July 4, 2026 and June 28, 2025, respectively, were as follows:</w:t>
      </w:r>
    </w:p>
    <w:tbl>
      <w:tblPr>
        <w:tblW w:w="13711" w:type="dxa"/>
        <w:jc w:val="left"/>
        <w:tblInd w:w="0" w:type="dxa"/>
        <w:tblLayout w:type="fixed"/>
        <w:tblCellMar>
          <w:top w:w="28" w:type="dxa"/>
          <w:left w:w="28" w:type="dxa"/>
          <w:bottom w:w="28" w:type="dxa"/>
          <w:right w:w="28" w:type="dxa"/>
        </w:tblCellMar>
      </w:tblPr>
      <w:tblGrid>
        <w:gridCol w:w="386"/>
        <w:gridCol w:w="339"/>
        <w:gridCol w:w="341"/>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241"/>
        <w:gridCol w:w="109"/>
        <w:gridCol w:w="109"/>
        <w:gridCol w:w="109"/>
        <w:gridCol w:w="278"/>
        <w:gridCol w:w="278"/>
        <w:gridCol w:w="278"/>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241"/>
        <w:gridCol w:w="109"/>
        <w:gridCol w:w="109"/>
        <w:gridCol w:w="109"/>
        <w:gridCol w:w="278"/>
        <w:gridCol w:w="278"/>
        <w:gridCol w:w="325"/>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Six Months Ended</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 of Net Revenues</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Consolidated Ducommun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three months ended July 4, 2026 were $224.5 million, compared to $200.8 million for the three months ended June 28, 2025. The year-over-year increase in our key end-use markets were primarily due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$12.0 million higher revenues in our commercial aerospace end-use markets due to higher rates on large aircraft platforms;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$7.9 million higher revenues in our military and space end-use markets due to higher rates on several missiles and fixed-wing aircraft platforms, partially offset by lower rates on a classified program, selected radar, rotary-wing aircraft, and naval platforms.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the three months ended July 4, 2026 increased $3.8 million compared to the three months ended June 28, 2025, mainly due to timing of orders.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revenues for the six months ended July 4, 2026 were $433.5 million, compared to $393.3 million for the six months ended June 28, 2025. The year-over-year increase in our key end-use markets were primarily due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$24.5 million higher revenues in our commercial aerospace end-use markets due to higher rates on large aircraft, selected other commercial aerospace and rotary-wing aircraft platforms, partially offset by lower rates on selected business jet platforms;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$13.3 million higher revenues in our military and space end-use markets due to higher rates on several missiles and fixed-wing aircraft platforms, partially offset by lower rates on selected radar and electronic warfare, naval, and ground vehicle weapons platforms, along with a classified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the six months ended July 4, 2026 increased $2.4 million compared to the six months ended June 28, 2025, mainly due to timing of orders.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Revenues by Major Customers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net revenues are from our top ten customers as follows:</w:t>
      </w:r>
    </w:p>
    <w:tbl>
      <w:tblPr>
        <w:tblW w:w="7630" w:type="dxa"/>
        <w:jc w:val="center"/>
        <w:tblInd w:w="0" w:type="dxa"/>
        <w:tblLayout w:type="fixed"/>
        <w:tblCellMar>
          <w:top w:w="28" w:type="dxa"/>
          <w:left w:w="28" w:type="dxa"/>
          <w:bottom w:w="28" w:type="dxa"/>
          <w:right w:w="28" w:type="dxa"/>
        </w:tblCellMar>
      </w:tblPr>
      <w:tblGrid>
        <w:gridCol w:w="989"/>
        <w:gridCol w:w="867"/>
        <w:gridCol w:w="874"/>
        <w:gridCol w:w="109"/>
        <w:gridCol w:w="109"/>
        <w:gridCol w:w="109"/>
        <w:gridCol w:w="255"/>
        <w:gridCol w:w="256"/>
        <w:gridCol w:w="327"/>
        <w:gridCol w:w="131"/>
        <w:gridCol w:w="131"/>
        <w:gridCol w:w="131"/>
        <w:gridCol w:w="255"/>
        <w:gridCol w:w="256"/>
        <w:gridCol w:w="383"/>
        <w:gridCol w:w="109"/>
        <w:gridCol w:w="109"/>
        <w:gridCol w:w="109"/>
        <w:gridCol w:w="255"/>
        <w:gridCol w:w="256"/>
        <w:gridCol w:w="316"/>
        <w:gridCol w:w="116"/>
        <w:gridCol w:w="116"/>
        <w:gridCol w:w="116"/>
        <w:gridCol w:w="255"/>
        <w:gridCol w:w="256"/>
        <w:gridCol w:w="435"/>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4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 Martin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 Grumman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Viasat,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top ten customers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The Boeing Company (“Boeing”), Lockheed Martin Corporation (“Lockheed”), Northrop Grumman Corporation (“Northrop”), RTX Corporation (“RTX”), and Viasat, Inc. (“Viasat”) for the three and six months ended July 4, 2026 and June 28,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Boeing, Lockheed, Northrop, RTX, and Viasat represented the following percentages of total accounts receivable:</w:t>
      </w:r>
    </w:p>
    <w:tbl>
      <w:tblPr>
        <w:tblW w:w="3594" w:type="dxa"/>
        <w:jc w:val="left"/>
        <w:tblInd w:w="0" w:type="dxa"/>
        <w:tblLayout w:type="fixed"/>
        <w:tblCellMar>
          <w:top w:w="28" w:type="dxa"/>
          <w:left w:w="28" w:type="dxa"/>
          <w:bottom w:w="28" w:type="dxa"/>
          <w:right w:w="28" w:type="dxa"/>
        </w:tblCellMar>
      </w:tblPr>
      <w:tblGrid>
        <w:gridCol w:w="337"/>
        <w:gridCol w:w="295"/>
        <w:gridCol w:w="299"/>
        <w:gridCol w:w="109"/>
        <w:gridCol w:w="109"/>
        <w:gridCol w:w="109"/>
        <w:gridCol w:w="255"/>
        <w:gridCol w:w="256"/>
        <w:gridCol w:w="316"/>
        <w:gridCol w:w="109"/>
        <w:gridCol w:w="109"/>
        <w:gridCol w:w="109"/>
        <w:gridCol w:w="286"/>
        <w:gridCol w:w="228"/>
        <w:gridCol w:w="668"/>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Boeing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Lockheed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Northrop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Viasat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net revenues and accounts receivable from Boeing, Lockheed, Northrop, RTX, and Viasat were diversified over a number of commercial, military and space programs and were generated by both operating segments.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July 4, 2026 of 28.0%, compared to the three months ended June 28, 2025 of 26.4% primarily due to higher manufacturing volume and savings from the facility consolidation program, partially offset by unfavorable product mix.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profit as a percentage of net revenues increased year-over-year with the six months ended July 4, 2026 of 27.5%, compared to the six months ended June 28, 2025 of 26.3% primarily due to higher manufacturing volume, lower other manufacturing costs, and savings from the facility consolidation program, partially offset by unfavorable product mix.</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Selling, General and Administrative (“SG&amp;A”)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SG&amp;A expenses decreased $0.1 million year-over-year in the three months ended July 4, 2026 compared to the three months ended June 28, 2025, primarily due to compensation clawback of $3.9 million, which is a reduction to SG&amp;A expenses, partially offset by higher compensation and benefits costs of $2.0 million, higher other SG&amp;A expenses of $1.2 million, and higher professional services fees of $0.6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SG&amp;A expenses decreased $4.6 million year-over-year in the six months ended July 4, 2026 compared to the six months ended June 28, 2025, primarily due to lower stock-based compensation expense of $4.0 million and compensation clawback of $3.9 million, which is a reduction to SG&amp;A expenses, partially offset by higher professional services fees of $1.2 million, and higher other SG&amp;A expenses of $0.5 million.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Restructuring Charges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 decreased $0.6 million and $1.0 million year-over-year in the three and six months ended July 4, 2026, respectively, compared to the three and six months ended June 28, 2025, primarily due to the completion as of the prior year ended December 31, 2025, the previously disclosed restructuring plan that was approved and commenced in April 2022. See Note 3 to our unaudited condensed consolidated financial statements included in Part I, Item 1 of this Form 10-Q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$0.5 million and $1.3 million year-over-year in the three and six months ended July 4, 2026, compared to the three and six months ended June 28, 2025, respectively, primarily due to a higher outstanding debt balance, partially offset by lower interest rates.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$4.4 million for the three months ended July 4, 2026 compared to income tax expense of $3.7 million for the three months ended June 28, 2025. The increase in income tax expense for the second quarter of 2026 compared to the second quarter of 2025 was primarily due to higher pre-tax income in the second quarter of 2026 compared to the second quarter of 2025. The increase in income tax expense was partially offset by higher income tax benefits recognized for net tax windfalls related to stock-based compensation in the second quarter of 2026 compared to the second quarter of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$6.2 million for the six months ended July 4, 2026 compared to income tax expense of $4.0 million for the six months ended June 28, 2025. The increase in income tax expense for the six months ended July 4, 2026 compared to the six months ended June 28, 2025 was primarily due to higher pre-tax income in the six months ended July 4, 2026 compared to the six months ended June 28, 2025. The increase in income tax expense was partially offset by higher income tax benefits recognized for net tax windfalls related to stock-based compensation in the six months ended July 4, 2026 compared to the six months ended June 28, 2025.</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total amount of unrecognized tax benefits was $5.5 million and $5.0 million as of July 4, 2026 and December 31, 2025, respectively. If recognized, $3.4 million would affect the effective tax rate. We record interest and penalty charges, if any, related to uncertain tax positions as a component of tax expense and unrecognized tax benefits. The amounts accrued for interest and penalty charges as of July 4, 2026 and December 31, 2025 were not significant.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file U.S. Federal and state income tax returns. We are subject to examination by the Internal Revenue Service (“IRS”) for tax years after 2021 and by state taxing authorities for tax years after 2020.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July 2025, the U.S. enacted the OBBBA. Amongst other things, the OBBBA provides for several corporate tax provision changes including restoring the full expensing of qualified property placed in service after January 19, 2025, reinstating the immediate expensing of U.S. research and development expenditures paid or incurred for tax years beginning after December 31, 2024, and changes in the computations of U.S. taxation on international earnings for tax years beginning after December 31, 2025. We completed the initial assessment of the OBBBA corporate tax provisions as they relate to our financial statements. The enactment of the OBBBA did not have a material impact to our effective tax rate for the three and six months ended July 4, 2026. However, we expect the OBBBA to decrease our cash tax liability for 2026. We will continue to evaluate the full impact of the OBBBA corporate tax provision changes as additional guidance becomes available.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and Earnings per Share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net income as a percentage of revenues, and earnings per share for the three months ended July 4, 2026 were $20.4 million, or 9.1% of revenues, or $1.31 per diluted share, respectively, compared to $12.8 million, or 6.4% of revenues, or $0.84 per diluted share, respectively, for the three months ended June 28, 2025. The increase in net income for the three months ended July 4, 2026 compared to the three months ended June 28, 2025 was primarily due to higher gross profit of $9.9 million. SG&amp;A expenses for the three months ended July 4, 2026 compared to the three months ended June 28, 2025 was flat as the three months ended July 4, 2026 includes compensation clawback of $3.9 million, which is a reduction in SG&amp;A expenses and discussed above, partially offset by higher compensation and benefits costs included in SG&amp;A expenses of $2.0 million, and higher other SG&amp;A expenses of $1.2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net income as a percentage of revenues, and earnings per share for the six months ended July 4, 2026 were $30.3 million, or 7.0% of revenues, or $1.95 per diluted share, respectively, compared to $14.2 million, or 3.6% of revenues, or $0.93 per diluted share, respectively, for the six months ended June 28, 2025. The increase in net income for the six months ended July 4, 2026 compared to the six months ended June 28, 2025 was primarily due to higher gross profit of $15.7 million, lower SG&amp;A expenses of $4.6 million due to compensation clawback of $3.9 million, which is a reduction to SG&amp;A expenses discussed above, partially offset by higher income tax expense of $2.2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 Segment Performance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performance based upon our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and six months ended July 4, 2026 and June 28, 2025: </w:t>
      </w:r>
    </w:p>
    <w:tbl>
      <w:tblPr>
        <w:tblW w:w="12161" w:type="dxa"/>
        <w:jc w:val="left"/>
        <w:tblInd w:w="0" w:type="dxa"/>
        <w:tblLayout w:type="fixed"/>
        <w:tblCellMar>
          <w:top w:w="28" w:type="dxa"/>
          <w:left w:w="28" w:type="dxa"/>
          <w:bottom w:w="28" w:type="dxa"/>
          <w:right w:w="28" w:type="dxa"/>
        </w:tblCellMar>
      </w:tblPr>
      <w:tblGrid>
        <w:gridCol w:w="648"/>
        <w:gridCol w:w="253"/>
        <w:gridCol w:w="255"/>
        <w:gridCol w:w="109"/>
        <w:gridCol w:w="109"/>
        <w:gridCol w:w="109"/>
        <w:gridCol w:w="195"/>
        <w:gridCol w:w="196"/>
        <w:gridCol w:w="237"/>
        <w:gridCol w:w="109"/>
        <w:gridCol w:w="109"/>
        <w:gridCol w:w="109"/>
        <w:gridCol w:w="181"/>
        <w:gridCol w:w="616"/>
        <w:gridCol w:w="109"/>
        <w:gridCol w:w="109"/>
        <w:gridCol w:w="109"/>
        <w:gridCol w:w="109"/>
        <w:gridCol w:w="181"/>
        <w:gridCol w:w="616"/>
        <w:gridCol w:w="109"/>
        <w:gridCol w:w="109"/>
        <w:gridCol w:w="109"/>
        <w:gridCol w:w="109"/>
        <w:gridCol w:w="232"/>
        <w:gridCol w:w="234"/>
        <w:gridCol w:w="211"/>
        <w:gridCol w:w="109"/>
        <w:gridCol w:w="109"/>
        <w:gridCol w:w="109"/>
        <w:gridCol w:w="234"/>
        <w:gridCol w:w="232"/>
        <w:gridCol w:w="260"/>
        <w:gridCol w:w="109"/>
        <w:gridCol w:w="109"/>
        <w:gridCol w:w="109"/>
        <w:gridCol w:w="195"/>
        <w:gridCol w:w="196"/>
        <w:gridCol w:w="237"/>
        <w:gridCol w:w="109"/>
        <w:gridCol w:w="109"/>
        <w:gridCol w:w="109"/>
        <w:gridCol w:w="181"/>
        <w:gridCol w:w="616"/>
        <w:gridCol w:w="109"/>
        <w:gridCol w:w="109"/>
        <w:gridCol w:w="109"/>
        <w:gridCol w:w="109"/>
        <w:gridCol w:w="181"/>
        <w:gridCol w:w="616"/>
        <w:gridCol w:w="109"/>
        <w:gridCol w:w="109"/>
        <w:gridCol w:w="109"/>
        <w:gridCol w:w="109"/>
        <w:gridCol w:w="232"/>
        <w:gridCol w:w="234"/>
        <w:gridCol w:w="211"/>
        <w:gridCol w:w="109"/>
        <w:gridCol w:w="109"/>
        <w:gridCol w:w="109"/>
        <w:gridCol w:w="232"/>
        <w:gridCol w:w="234"/>
        <w:gridCol w:w="309"/>
      </w:tblGrid>
      <w:tr>
        <w:trPr/>
        <w:tc>
          <w:tcPr>
            <w:tcW w:w="6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Six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 of Net Revenues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June 28,</w:t>
              <w:b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(As Restated)</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54.6 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5.7 </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393,284 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General and Administrative Expenses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44,051 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22.1 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General and Administrative Expenses </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Stock-Based Compensation Expense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Clawback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Electronic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Structural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Administration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costs not allocated to either the Electronic Systems or Structural Systems operating segments.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three and six months ended July 4, 2026 included $0.1 million and $0.2 million, respectively, of stock-based compensation expense recorded as cost of sales. The three and six months ended June 28, 2025 each included $0.1 million of stock-based compensation expense recorded as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three and six months ended July 4, 2026 included less than $0.1 million and $0.1 million, respectively, of stock-based compensation expense recorded as cost of sales. The three and six months ended June 28, 2025 each included $0.1 million of stock-based compensation expense recorded as cost of sales.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three and six months ended July 4, 2026 included zero and $0.3 million, respectively, of stock-based compensation expense for awards with both performance and market conditions that will be settled in cash. The three and six months ended June 28, 2025 included $0.6 million and $1.2 million, respectively, of stock-based compensation expense for awards with both performance and market conditions that will be settled in cash.</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Electronic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net revenues in the three months ended July 4, 2026 compared to the three months ended June 28, 2025 increased $21.7 million primarily due to the following in our key end-use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$10.0 million higher revenues in our military and space end-use markets due to higher rates on several missiles and fixed-wing aircraft platforms, partially offset by lower rates on a classified program, radar, and naval platforms;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$7.9 million higher revenues in our commercial aerospace end-use markets due to higher rates on large aircraft and other commercial aerospace platforms.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the three months ended July 4, 2026 increased $3.8 million compared to the three months ended June 28, 2025 mainly due to timing of orders.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net revenues in the six months ended July 4, 2026 compared to the six months ended June 28, 2025 increased $30.3 million primarily due to the following in our key end-use markets: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$15.4 million higher revenues in our military and space end-use markets due to higher rates on selected fixed-wing aircraft and missiles platforms, partially offset by lower rates on radar and electronic warfare, and naval platforms, along with a classified program;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$12.5 million higher revenues in our commercial aerospace end-use markets due to higher rates on large aircraft and other commercial aerospace platforms.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addition, revenues for our industrial end-use markets for the six months ended July 4, 2026 increased $2.4 million compared to the six months ended June 28, 2025 mainly due to timing of orders.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segment operating income in the three months ended July 4, 2026 compared to the three months ended June 28, 2025 increased $5.0 million, primarily due to higher manufacturing volume, partially offset by unfavorable product mix.</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Electronic Systems segment operating income in the six months ended July 4, 2026 compared to the six months ended June 28, 2025 increased $10.5 million, primarily due to higher manufacturing volume and lower other manufacturing costs, partially offset by unfavorable product mix.</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Structural Systems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net revenues in the three months ended July 4, 2026 compared to the three months ended June 28, 2025 increased $2.0 million primarily due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$4.1 million higher revenues in our commercial aerospace end-use markets due to higher rates on large aircraft platforms; partially offset by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$2.1 million lower revenues in our military and space end-use markets due to lower rates on selected rotary-wing aircraft platforms, partially offset by higher rates on several missiles platforms.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Structural Systems net revenues in the six months ended July 4, 2026 compared to the six months ended June 28, 2025 increased $10.0 million primarily due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$12.0 million higher revenues in our commercial aerospace end-use markets due to higher rates on large aircraft and rotary-wing aircraft platforms, partially offset by lower rates on selected business jet platforms; partially offset by</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$2.1 million lower revenues in our military and space end-use markets due to lower rates on selected rotary-wing aircraft and ground vehicle weapons platforms, partially offset by higher rates on several missiles platforms.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Structural Systems segment operating income in the three months ended July 4, 2026 compared to the three months ended June 28, 2025 increased $3.5 million, primarily due to higher manufacturing volume and savings from the facility consolidation program, partially offset by unfavorable product mix.</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Structural Systems segment operating income in the six months ended July 4, 2026 compared to the six months ended June 28, 2025 increased $4.0 million, primarily due to higher manufacturing volume and savings from the facility consolidation program, partially offset by unfavorable product mix.</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2020, a fire severely damaged our performance center in Guaymas, Mexico, which is part of our Structural Systems segment. The loss of production from the Guaymas performance center was absorbed by our other existing performance centers, however, we have reestablished our operations and are in the process of certification with various customers and ramping up our manufacturing capabilities in a different leased facility in Guaymas. We have insurance coverage up to a capped amount, less our deductible. The insurance claim for damages to our operating assets and business interruption was deemed final and closed by our insurance company during the three months ended July 1, 2023.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neighboring, non-related manufacturing facility, also suffered fire damage during the same time as the fire that severely damaged our Guaymas performance center and, in November 2023, the occupant of the neighboring facility filed suit against us in U.S. District Court for the Central District of California seeking unspecified amounts for damages relating to the fire. Subsequent to our quarter ended September 27, 2025, on October 3, 2025, we entered into a binding settlement term sheet (the “Term Sheet”) to resolve the Guaymas fire litigation against us. The Term Sheet provides for, among other things, the final dismissal of the Guaymas fire litigation against us with prejudice and a release of claims against us in exchange for us issuing a payment of $150.0 million, $56.0 million of which at that time was expected to be funded by our insurance carriers. Also subsequent to our quarter ended September 27, 2025, on October 9, 2025, we settled an ancillary subrogation claim related to the fire for $1.4 million. Further, subsequent to the fiscal year ended December 31, 2025, on January 7, 2026, we settled another ancillary subrogation claim related to the fire for $4.0 million. See Note 11 to our unaudited condensed consolidated financial statements included in Part I, Item 1 of this Form 10-Q for further information.</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Corporate General and Administrative (“CG&amp;A”)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CG&amp;A expenses decreased $2.1 million for the three months ended July 4, 2026 compared to the three months ended June 28, 2025, primarily due to compensation clawback of $3.9 million, which is a reduction to CG&amp;A expenses, partially offset by higher compensation and benefits costs of $1.5 million and higher professional services fees of $0.5 million.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CG&amp;A expenses decreased $6.9 million for the six months ended July 4, 2026 compared to the six months ended June 28, 2025, primarily due to lower stock-based compensation expense of $4.0 million and compensation clawback of $3.9 million, which is a reduction to CG&amp;A expenses, partially offset by higher professional services fees of $0.6 million.</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earnings before interest, taxes, depreciation, amortization, stock-based compensation expense, and restructuring charges (“Adjusted EBITDA”) were $38.4 million and $31.6 million for the three months ended July 4, 2026 and June 28, 2025, respectively.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Adjusted EBITDA has limitations as an analytical tool, and you should not consider it in isolation or as a substitute for analysis of our results as reported under GAAP. Some of these limitations include: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our cash expenditures, future requirements for capital expenditures or contractual commitments;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changes in, or cash requirements for, our working capital needs;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the significant interest expense or the cash requirements necessary to service interest or principal payments on our debt;</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Adjusted EBITDA does not reflect any cash requirements for such replacements;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is not adjusted for all non-cash income or expense items that are reflected in our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It does not reflect the impact on earnings of charges resulting from matters unrelated to our ongoing operations;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Other companies in our industry may calculate Adjusted EBITDA differently from us, limiting its usefulness as a comparative measure.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unaudited condensed consolidated financial statements contained in this Form 10-Q.</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Even with the limitations above, we believe that Adjusted EBITDA is useful to an investor in evaluating our results of operations as this measure: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Helps investors to evaluate and compare the results of our operations from period to period by removing the effect of our capital structure from our operating performance;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Is used by our management team for various other purposes in presentations to our Board of Directors as a basis for strategic planning and forecasting.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items have been added back to or subtracted from our net income when calculating Adjusted EBITDA:</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Interest expense, net may be useful to investors for determining current cash flow;</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Income tax expense may be useful to investors because it represents the taxes which may be (receivable) payable for the period and the change in deferred taxes during the period, and may (increase) reduce cash flow available for use in our business;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Depreciation may be useful to investors because it generally represents the wear and tear on our property and equipment used in our operations;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Amortization expense may be useful to investors because it represents the estimated attrition of our acquired customer base and the diminishing value of product rights;</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Stock-based compensation may be useful to our investors for determining current cash flow;</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Restructuring charges may be useful to our investors in evaluating our core operating performance;</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Gain on sale of property and other assets may be useful to our investors in evaluating our core operating performance;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Compensation clawback may be useful to our investors in evaluating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Reconciliations of net income to Adjusted EBITDA and the presentation of Adjusted EBITDA as a percentage of net revenues were as follows:</w:t>
      </w:r>
    </w:p>
    <w:tbl>
      <w:tblPr>
        <w:tblW w:w="9273" w:type="dxa"/>
        <w:jc w:val="left"/>
        <w:tblInd w:w="0" w:type="dxa"/>
        <w:tblLayout w:type="fixed"/>
        <w:tblCellMar>
          <w:top w:w="28" w:type="dxa"/>
          <w:left w:w="28" w:type="dxa"/>
          <w:bottom w:w="28" w:type="dxa"/>
          <w:right w:w="28" w:type="dxa"/>
        </w:tblCellMar>
      </w:tblPr>
      <w:tblGrid>
        <w:gridCol w:w="1244"/>
        <w:gridCol w:w="1090"/>
        <w:gridCol w:w="1101"/>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316"/>
      </w:tblGrid>
      <w:tr>
        <w:trPr/>
        <w:tc>
          <w:tcPr>
            <w:tcW w:w="1244"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28,</w:t>
              <w:b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Restated)</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clawback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as a % of net revenues</w:t>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The three and six months ended July 4, 2026 included zero and $0.3 million, respectively, of stock-based compensation expense for awards with both performance and market conditions that will be settled in cash. The three and six months ended June 28, 2025 included $0.6 million and $1.2 million, respectively, of stock-based compensation expense for awards with both performance and market conditions that will be settled in cash. The three and six months ended July 4, 2026 included $0.1 million and $0.3 million, respectively, of stock-based compensation expense recorded as cost of sales. The three and six months ended June 28, 2025 each included $0.2 million of stock-based compensation expense recorded as cost of sales.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generally accepted accounting principles (“GAAP”) of the United States, Accounting Standards Codification 606 (“ASC 606”), we define performance obligations as customer placed purchase orders (“PO”) with firm fixed price and firm delivery dates. The unrecognized revenue on POs are the remaining performance obligations (“RPO”). POs are subject to delivery delays or program cancellations, which are beyond our control. As such, RPO is affected by timing differences in the placement of customer orders and tends to be concentrated in several programs to a greater extent than our net revenues. </w:t>
      </w:r>
    </w:p>
    <w:tbl>
      <w:tblPr>
        <w:tblW w:w="6908" w:type="dxa"/>
        <w:jc w:val="left"/>
        <w:tblInd w:w="0" w:type="dxa"/>
        <w:tblLayout w:type="fixed"/>
        <w:tblCellMar>
          <w:top w:w="28" w:type="dxa"/>
          <w:left w:w="28" w:type="dxa"/>
          <w:bottom w:w="28" w:type="dxa"/>
          <w:right w:w="28" w:type="dxa"/>
        </w:tblCellMar>
      </w:tblPr>
      <w:tblGrid>
        <w:gridCol w:w="815"/>
        <w:gridCol w:w="716"/>
        <w:gridCol w:w="718"/>
        <w:gridCol w:w="109"/>
        <w:gridCol w:w="109"/>
        <w:gridCol w:w="109"/>
        <w:gridCol w:w="211"/>
        <w:gridCol w:w="721"/>
        <w:gridCol w:w="109"/>
        <w:gridCol w:w="109"/>
        <w:gridCol w:w="109"/>
        <w:gridCol w:w="109"/>
        <w:gridCol w:w="211"/>
        <w:gridCol w:w="976"/>
        <w:gridCol w:w="109"/>
        <w:gridCol w:w="109"/>
        <w:gridCol w:w="109"/>
        <w:gridCol w:w="109"/>
        <w:gridCol w:w="211"/>
        <w:gridCol w:w="97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thousands)</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br/>
              <w:t>2025</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Consolidated Ducommun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1,106,040 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Electronic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Structural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Military and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aerospace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Available Liquidity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debt, the weighted-average interest rate, cash and cash equivalents and available credit facilities were as follows:</w:t>
      </w:r>
    </w:p>
    <w:tbl>
      <w:tblPr>
        <w:tblW w:w="6225" w:type="dxa"/>
        <w:jc w:val="left"/>
        <w:tblInd w:w="0" w:type="dxa"/>
        <w:tblLayout w:type="fixed"/>
        <w:tblCellMar>
          <w:top w:w="28" w:type="dxa"/>
          <w:left w:w="28" w:type="dxa"/>
          <w:bottom w:w="28" w:type="dxa"/>
          <w:right w:w="28" w:type="dxa"/>
        </w:tblCellMar>
      </w:tblPr>
      <w:tblGrid>
        <w:gridCol w:w="1207"/>
        <w:gridCol w:w="1058"/>
        <w:gridCol w:w="1065"/>
        <w:gridCol w:w="109"/>
        <w:gridCol w:w="109"/>
        <w:gridCol w:w="109"/>
        <w:gridCol w:w="211"/>
        <w:gridCol w:w="616"/>
        <w:gridCol w:w="271"/>
        <w:gridCol w:w="109"/>
        <w:gridCol w:w="109"/>
        <w:gridCol w:w="109"/>
        <w:gridCol w:w="211"/>
        <w:gridCol w:w="616"/>
        <w:gridCol w:w="316"/>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July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including 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interest rate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Unused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Credit Facilities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24, 2025, we completed a refinancing of our existing debt by entering into a new senior secured term loan (“2025 Term Loan”) and a new revolving credit facility (“2025 Revolving Credit Facility”). The 2025 Term Loan is a $200.0 million senior secured loan that matures in November 2030. The 2025 Revolving Credit Facility is a $450.0 million senior secured revolving credit facility that matures on November 24, 2030. The 2025 Term Loan replaced the 2022 Term Loan (“2022 Term Loan”) which was a $250.0 million senior secured loan. The 2025 Revolving Credit Facility replaced the 2022 Revolving Credit Facility (“2022 Revolving Credit Facility”) which was a $200.0 million senior secured revolving credit facility. The 2025 Term Loan and 2025 Revolving Credit Facility, collectively, are the new credit facilities (“2025 Credit Facilities”). The 2022 Term Loan and 2022 Revolving Credit Facility, collectively, were the 2022 credit facilities that were entered into in July 2022 and would have matured in July 2027 (“2022 Credit Facilities”). The terms of the 2025 Term Loan require us to make installment payments of 0.625% of the initial outstanding principal balance on a quarterly basis during years one and two, 1.250% during years three and four, and 1.875% during year five, on the last business day of each calendar quarter. The terms of the 2025 Revolving Credit Facility do not require us to make installment payments. However, the undrawn portion of the commitment of the 2025 Revolving Credit Facility is subject to a commitment fee ranging from 0.175% to 0.250%, based upon the consolidated total net adjusted leverage ratio. As of July 4, 2026, we were in compliance with all covenants required under the 2025 Credit Facilities. See Note 8 to our unaudited condensed consolidated financial statements included in Part I, Item 1 of this Form 10-Q for further information.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July 4, 2026 and June 28, 2025, we made the required quarterly amortization payments of $1.3 million and $3.1 million, respectively. For the six months ended July 4, 2026 and June 28, 2025, we made the required quarterly amortization payments of $2.5 million and $3.1 million, respectively. The required quarterly amortization payments due on March 31, 2025 and June 30, 2025 were in our second and third fiscal quarters of 2025, respectively. We made no voluntary prepayments on our term loans during each of the three and six months ended July 4, 2026 and June 28, 2025.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Subrogation Claim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Subsequent to the fiscal year ended December 31, 2025, on January 7, 2026, we entered into a binding confidential agreement, (“Settlement Agreement”) to resolve the Additional Subrogation Claim against us. The Settlement Agreement provides for, among other things, the final dismissal of the Additional Subrogation Claim and a release of all claims against us, with prejudice, in exchange for us issuing a payment of $4.0 million. We made the $4.0 million payment on January 14, 2026. See Note 11 to our unaudited condensed consolidated financial statements included in Part I, Item 1 of this Form 10-Q for further information.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November 2021, we entered into U.S. dollar-one month London Interbank Offered Rate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Thus, the interest rate is fixed on $150 million of our debt. See Note 1, Note 4, and Note 8 to our unaudited condensed consolidated financial statements included in Part I, Item 1 of this Form 10-Q for further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Secured Overnight Financing Rate (“SOFR”) as borrowings using LIBOR were no longer available under the 2022 Credit Facilities. The Amended Forward Interest Rate Swaps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fixed rate is 1.7%, as a result of the difference between U.S. dollar-one month LIBOR and one month Term SOFR. See Note 1, Note 4, and Note 8 to our unaudited condensed consolidated financial statements included in Part I, Item 1 of this Form 10-Q for further information.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expect to spend a total of $20.0 million to $24.0 million for capital expenditures in 2026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Transaction Activity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monitor our asset base, including the market dynamics of the properties we own, and we may sell such properties and/or enter into sale-leaseback transactions. Such transactions would provide cash for various capital deployment options.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Short Term Liquidity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continue to depend on operating cash flow and the availability of our 2025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Cash Flow Summary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six months ended July 4, 2026 was $44.8 million compared to $23.2 million for the six months ended June 28, 2025. The higher net cash provided by operating activities during the first six months of 2026 was mainly due to higher net income, higher contract liabilities as a result of higher progress payments, and higher accounts payable, partially offset by higher accounts receivable, lower accrued and other liabilities, higher contract assets, and higher inventories.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$6.4 million for the six months ended July 4, 2026, compared to $7.0 million in the six months ended June 28, 2025. The lower net cash used in investing activities during the first six months of 2026 was mainly due to lower purchases of property and equipment.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$43.9 million for the six months ended July 4, 2026, compared to $16.2 million for the six months ended June 28, 2025. The higher net cash used in financing activities during the first six months of 2026 was mainly due to higher net repayments on our senior secured revolving credit facility and higher net cash paid upon issuance of common stock under stock plans.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our unaudited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2025 Form 10-K/A. There have been no material changes in any of our critical accounting policies during the three months ended July 4,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“Part I, Item 1. Ducommun Incorporated and Subsidiaries—Notes to Condensed Consolidated Financial Statements—Note 1. Summary of Significant Accounting Policies—Recent Accounting Pronouncements”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main market risk exposure relates to changes in U.S. interest rates on our outstanding long-term debt. At July 4, 2026, we had total borrowings of $277.5 million under our 2025 Credit Facilities.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2025 Term Loan bears interest, at our option, at a rate equal to either (i) Term Secured Overnight Financing Rate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2025 Revolving Credit Facility bears interest, at our option, at a rate equal to either (i) Term SOFR plus an applicable margin ranging from 1.250% to 2.125% per year or (ii) Base Rate (defined as the highest of [a] Federal Funds Rate plus 0.50%, [b] Bank of America’s prime rate, and [c] Term SOFR plus 1.00%, and if the Base Rate is less than zero percent, it will be deemed zero percent) plus an applicable margin ranging from 0.250% to 1.125% per year, in each case based upon the consolidated total net adjusted leverage ratio.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hypothetical 10% increase or decrease in the interest rate would have an immaterial impact on our financial condition and results of operations.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Evaluation of Disclosure Controls and Procedures</w:t>
      </w:r>
    </w:p>
    <w:p>
      <w:pPr>
        <w:pStyle w:val="TextBody"/>
        <w:bidi w:val="0"/>
        <w:spacing w:lineRule="auto" w:line="288" w:before="100" w:after="283"/>
        <w:jc w:val="left"/>
        <w:rPr/>
      </w:pPr>
      <w:r>
        <w:rPr>
          <w:rFonts w:ascii="Times New Roman;serif" w:hAnsi="Times New Roman;serif"/>
          <w:b w:val="false"/>
          <w:color w:val="000000"/>
          <w:sz w:val="20"/>
        </w:rPr>
        <w:t xml:space="preserve">Under the supervision and with the participation of our management, including the Chief Executive Officer (“CEO”) and the Chief Financial Officer (“CFO”), we carried out an evaluation of the effectiveness of the design and operation of our disclosure controls and procedures as defined in Rules 13a-15(e) and 15d-15(e) under the Securities Exchange Act of 1934, as amended (“Exchange Act”) and have concluded </w:t>
      </w:r>
      <w:r>
        <w:rPr>
          <w:rFonts w:ascii="Times New Roman;serif" w:hAnsi="Times New Roman;serif"/>
          <w:b w:val="false"/>
          <w:color w:val="212529"/>
          <w:sz w:val="20"/>
        </w:rPr>
        <w:t xml:space="preserve">that as of </w:t>
      </w:r>
      <w:r>
        <w:rPr>
          <w:rFonts w:ascii="Times New Roman;serif" w:hAnsi="Times New Roman;serif"/>
          <w:b w:val="false"/>
          <w:color w:val="000000"/>
          <w:sz w:val="20"/>
        </w:rPr>
        <w:t>July 4, 2026</w:t>
      </w:r>
      <w:r>
        <w:rPr>
          <w:color w:val="212529"/>
        </w:rPr>
        <w:t xml:space="preserve"> </w:t>
      </w:r>
      <w:r>
        <w:rPr>
          <w:rFonts w:ascii="Times New Roman;serif" w:hAnsi="Times New Roman;serif"/>
          <w:b w:val="false"/>
          <w:color w:val="212529"/>
          <w:sz w:val="20"/>
        </w:rPr>
        <w:t>due to the material weakness in our internal control over financial reporting described below, our disclosure controls and procedures were not effective.</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Material Weakness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2025 Form 10-K/A, we identified a material weakness whereby we did not design and maintain effective controls to review the terms of employee stock award plan documents to ensure that stock-based compensation expense is recorded completely and accurately. The material weakness resulted in the restatement of the consolidated financial statements as of and for the years ended December 31, 2025 and 2024, and the unaudited condensed consolidated financial statements as of and for the quarters ended June 29, 2024 and September 28, 2024, and all fiscal quarters within 2025, as well as the revision to the condensed financial statements as of and for the quarter ended March 30, 2024, related to stock-based compensation expense included as part of selling, general and administrative expense, accrued and other liabilities, other long-term liabilities, and additional paid-in capital. Additionally, this material weakness could result in misstatements to stock-based compensation expense and related disclosures that would result in a material misstatement to the annual or interim consolidated financial statements that would not be prevented or detected.</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Management’s Remediation Activities for Previously Identified Material Weakness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oversight from the Company’s Audit Committee, has completed the design and implementation of the remediation plan in response to the identified material weakness described above. Specifically, during the quarter ended July 4, 2026, the Company designed and implemented a periodic review over any changes to employee stock award plan documents, including review of the documentation of the appropriate accounting treatment of the revised terms and conditions, as applicable.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This material weakness will not be considered remediated until the applicable remedial controls operate for a sufficient period of time and management has concluded, through testing, that these controls are operating effectively. The Company believes the above measures will remediate the material weakness identified.</w:t>
      </w:r>
    </w:p>
    <w:p>
      <w:pPr>
        <w:pStyle w:val="TextBody"/>
        <w:bidi w:val="0"/>
        <w:spacing w:lineRule="auto" w:line="288" w:before="1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discussed above under “Management's Remediation Activities for Previously Identified Material Weakness in Internal Control Over Financial Reporting,” there were changes in our internal control over financial reporting (as defined in Rules 13a-15(f) and 15d-15(f) under the Exchange Act) that have materially affected, or are reasonably likely to materially affect, our internal control over financial reporting during the quarter ended July 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00" w:after="283"/>
        <w:jc w:val="left"/>
        <w:rPr/>
      </w:pPr>
      <w:r>
        <w:rPr>
          <w:rFonts w:ascii="Times New Roman;serif" w:hAnsi="Times New Roman;serif"/>
          <w:b w:val="false"/>
          <w:color w:val="000000"/>
          <w:sz w:val="20"/>
        </w:rPr>
        <w:t>See Note 11</w:t>
      </w:r>
      <w:r>
        <w:rPr>
          <w:color w:val="000000"/>
        </w:rPr>
        <w:t xml:space="preserve"> </w:t>
      </w:r>
      <w:r>
        <w:rPr>
          <w:rFonts w:ascii="Times New Roman;serif" w:hAnsi="Times New Roman;serif"/>
          <w:b w:val="false"/>
          <w:color w:val="000000"/>
          <w:sz w:val="20"/>
        </w:rPr>
        <w:t>to our unaudited condensed consolidated financial statements included in Part I, Item 1 of this Form 10-Q for a description of our legal proceedings.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Part I, Item 1A of our Amendment No. 1 to our Annual Report on Form 10-K for the year ended December 31, 2025 (“2025 Form 10-K/A”) for a discussion of our risk factors. There have been no material changes during the three months ended July 4, 2026 to the risk factors disclosed in our 2025 Form 10-K/A for the year ended December 31, 2025.</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6. Exhibits</w:t>
      </w:r>
    </w:p>
    <w:p>
      <w:pPr>
        <w:pStyle w:val="TextBody"/>
        <w:bidi w:val="0"/>
        <w:spacing w:lineRule="auto" w:line="288" w:before="120" w:after="283"/>
        <w:ind w:left="0" w:right="0" w:hanging="630"/>
        <w:jc w:val="left"/>
        <w:rPr>
          <w:rFonts w:ascii="Times New Roman;serif" w:hAnsi="Times New Roman;serif"/>
          <w:b/>
          <w:color w:val="000000"/>
          <w:sz w:val="20"/>
        </w:rPr>
      </w:pPr>
      <w:r>
        <w:rPr>
          <w:rFonts w:ascii="Times New Roman;serif" w:hAnsi="Times New Roman;serif"/>
          <w:b/>
          <w:color w:val="000000"/>
          <w:sz w:val="20"/>
        </w:rPr>
        <w:t>Exhibit</w:t>
      </w:r>
    </w:p>
    <w:p>
      <w:pPr>
        <w:pStyle w:val="TextBody"/>
        <w:bidi w:val="0"/>
        <w:spacing w:lineRule="auto" w:line="288" w:before="0" w:after="0"/>
        <w:jc w:val="left"/>
        <w:rPr/>
      </w:pPr>
      <w:r>
        <w:rPr>
          <w:rFonts w:ascii="Times New Roman;serif" w:hAnsi="Times New Roman;serif"/>
          <w:b/>
          <w:color w:val="000000"/>
          <w:sz w:val="20"/>
          <w:u w:val="single"/>
        </w:rPr>
        <w:t>No.    </w:t>
      </w:r>
      <w:r>
        <w:rPr>
          <w:color w:val="000000"/>
        </w:rPr>
        <w:t>    </w:t>
      </w:r>
      <w:r>
        <w:rPr>
          <w:rFonts w:ascii="Times New Roman;serif" w:hAnsi="Times New Roman;serif"/>
          <w:b/>
          <w:color w:val="000000"/>
          <w:sz w:val="20"/>
          <w:u w:val="single"/>
        </w:rPr>
        <w:t>Description</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3.1     Restated Certificate of Incorporation filed with the Delaware Secretary of State on May 29, 1990. Incorporated by reference to Exhibit 3.1 to Form 10-K for the year ended December 31, 1990.</w:t>
      </w:r>
    </w:p>
    <w:p>
      <w:pPr>
        <w:pStyle w:val="TextBody"/>
        <w:bidi w:val="0"/>
        <w:spacing w:lineRule="auto" w:line="288" w:before="120" w:after="283"/>
        <w:ind w:left="0" w:right="0" w:hanging="360"/>
        <w:jc w:val="left"/>
        <w:rPr/>
      </w:pPr>
      <w:hyperlink r:id="rId2">
        <w:r>
          <w:rPr>
            <w:rStyle w:val="InternetLink"/>
            <w:rFonts w:ascii="Times New Roman;serif" w:hAnsi="Times New Roman;serif"/>
            <w:b w:val="false"/>
            <w:color w:val="0000FF"/>
            <w:sz w:val="20"/>
            <w:u w:val="single"/>
          </w:rPr>
          <w:t>3.2 Certificate of Amendment of Certificate of Incorporation filed with the Delaware Secretary of State on May 27, 1998. Incorporated by reference to Exhibit 3.2 to Form 10-K for the year ended December 31, 1998.</w:t>
        </w:r>
      </w:hyperlink>
    </w:p>
    <w:p>
      <w:pPr>
        <w:pStyle w:val="TextBody"/>
        <w:bidi w:val="0"/>
        <w:spacing w:lineRule="auto" w:line="288" w:before="120" w:after="283"/>
        <w:ind w:left="0" w:right="0" w:hanging="360"/>
        <w:jc w:val="left"/>
        <w:rPr/>
      </w:pPr>
      <w:hyperlink r:id="rId3">
        <w:r>
          <w:rPr>
            <w:rStyle w:val="InternetLink"/>
            <w:rFonts w:ascii="Times New Roman;serif" w:hAnsi="Times New Roman;serif"/>
            <w:b w:val="false"/>
            <w:color w:val="0000FF"/>
            <w:sz w:val="20"/>
            <w:u w:val="single"/>
          </w:rPr>
          <w:t>3.3 Amended and Restated Bylaws of Ducommun Incorporated, dated as of November 5, 2024. Incorporated by reference to Exhibit 3.1 to Form 8-K filed on November 7, 2024.</w:t>
        </w:r>
      </w:hyperlink>
    </w:p>
    <w:p>
      <w:pPr>
        <w:pStyle w:val="TextBody"/>
        <w:bidi w:val="0"/>
        <w:spacing w:lineRule="auto" w:line="288" w:before="100" w:after="283"/>
        <w:ind w:left="0" w:right="0" w:hanging="540"/>
        <w:jc w:val="left"/>
        <w:rPr/>
      </w:pPr>
      <w:hyperlink r:id="rId4">
        <w:r>
          <w:rPr>
            <w:rStyle w:val="InternetLink"/>
            <w:rFonts w:ascii="Times New Roman;serif" w:hAnsi="Times New Roman;serif"/>
            <w:b w:val="false"/>
            <w:color w:val="0000FF"/>
            <w:sz w:val="20"/>
            <w:u w:val="single"/>
          </w:rPr>
          <w:t>*10.1 Amended and Restated Ducommun Incorporated 2024 Stock Incentive Plan. Incorporated by reference to Exhibit 99.1 to Form S-8 filed May 12, 2026.</w:t>
        </w:r>
      </w:hyperlink>
    </w:p>
    <w:p>
      <w:pPr>
        <w:pStyle w:val="TextBody"/>
        <w:bidi w:val="0"/>
        <w:spacing w:lineRule="auto" w:line="288" w:before="100" w:after="283"/>
        <w:ind w:left="0" w:right="0" w:hanging="540"/>
        <w:jc w:val="left"/>
        <w:rPr/>
      </w:pPr>
      <w:hyperlink w:anchor="dcoq2202610-qex31_1.htm">
        <w:r>
          <w:rPr>
            <w:rStyle w:val="InternetLink"/>
            <w:rFonts w:ascii="Times New Roman;serif" w:hAnsi="Times New Roman;serif"/>
            <w:b w:val="false"/>
            <w:color w:val="0000FF"/>
            <w:sz w:val="20"/>
            <w:u w:val="single"/>
          </w:rPr>
          <w:t>31.1 Certification of Principal Executive Officer.</w:t>
        </w:r>
      </w:hyperlink>
    </w:p>
    <w:p>
      <w:pPr>
        <w:pStyle w:val="TextBody"/>
        <w:bidi w:val="0"/>
        <w:spacing w:lineRule="auto" w:line="288" w:before="120" w:after="283"/>
        <w:ind w:left="0" w:right="0" w:hanging="720"/>
        <w:jc w:val="left"/>
        <w:rPr/>
      </w:pPr>
      <w:hyperlink w:anchor="dcoq2202610-qex31_2.htm">
        <w:r>
          <w:rPr>
            <w:rStyle w:val="InternetLink"/>
            <w:rFonts w:ascii="Times New Roman;serif" w:hAnsi="Times New Roman;serif"/>
            <w:b w:val="false"/>
            <w:color w:val="0000FF"/>
            <w:sz w:val="20"/>
            <w:u w:val="single"/>
          </w:rPr>
          <w:t>31.2 Certification of Principal Financial Officer.</w:t>
        </w:r>
      </w:hyperlink>
    </w:p>
    <w:p>
      <w:pPr>
        <w:pStyle w:val="TextBody"/>
        <w:bidi w:val="0"/>
        <w:spacing w:lineRule="auto" w:line="288" w:before="120" w:after="283"/>
        <w:jc w:val="left"/>
        <w:rPr/>
      </w:pPr>
      <w:hyperlink w:anchor="dcoq2202610-qex32.htm">
        <w:r>
          <w:rPr>
            <w:rStyle w:val="InternetLink"/>
            <w:rFonts w:ascii="Times New Roman;serif" w:hAnsi="Times New Roman;serif"/>
            <w:b w:val="false"/>
            <w:color w:val="0000FF"/>
            <w:sz w:val="20"/>
            <w:u w:val="single"/>
          </w:rPr>
          <w:t>32 Certification Pursuant to 18 U.S.C. Section 1350, as Adopted Pursuant to Section 906 of the Sarbanes-Oxley Act of 2002.</w:t>
        </w:r>
      </w:hyperlink>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101.INS    Inline XBRL Instance Document with Embedded Linkbase Documents - the instance document does not appear in the Interactive Data File because its XBRL tags are embedded within the Inline XBRL</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pStyle w:val="TextBody"/>
        <w:bidi w:val="0"/>
        <w:spacing w:lineRule="auto" w:line="288" w:before="0" w:after="0"/>
        <w:ind w:left="0" w:right="0" w:hanging="126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extBody"/>
        <w:bidi w:val="0"/>
        <w:spacing w:lineRule="auto" w:line="288" w:before="0" w:after="0"/>
        <w:ind w:left="0" w:right="0" w:hanging="1260"/>
        <w:jc w:val="both"/>
        <w:rPr>
          <w:rFonts w:ascii="Times New Roman;serif" w:hAnsi="Times New Roman;serif"/>
          <w:b w:val="false"/>
          <w:color w:val="000000"/>
          <w:sz w:val="20"/>
        </w:rPr>
      </w:pPr>
      <w:r>
        <w:rPr>
          <w:rFonts w:ascii="Times New Roman;serif" w:hAnsi="Times New Roman;serif"/>
          <w:b w:val="false"/>
          <w:color w:val="000000"/>
          <w:sz w:val="20"/>
        </w:rPr>
        <w:t>* Indicates an executive compensation plan or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9af9372861e4404885c4320b675f9d3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60" w:after="283"/>
        <w:ind w:left="0" w:right="0" w:firstLine="495"/>
        <w:jc w:val="left"/>
        <w:rPr/>
      </w:pPr>
      <w:r>
        <w:rPr/>
      </w:r>
    </w:p>
    <w:tbl>
      <w:tblPr>
        <w:tblW w:w="7120"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09"/>
        <w:gridCol w:w="109"/>
        <w:gridCol w:w="109"/>
        <w:gridCol w:w="1331"/>
        <w:gridCol w:w="1331"/>
        <w:gridCol w:w="188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DUCOMMUN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Principal Accounting Officer)</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Stephen G. Oswald,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of Ducommun Incorporated (the “registrant”) on Form 10-Q for the period ended July 4, 2026;</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4110" w:type="dxa"/>
        <w:jc w:val="left"/>
        <w:tblInd w:w="0" w:type="dxa"/>
        <w:tblLayout w:type="fixed"/>
        <w:tblCellMar>
          <w:top w:w="28" w:type="dxa"/>
          <w:left w:w="28" w:type="dxa"/>
          <w:bottom w:w="28" w:type="dxa"/>
          <w:right w:w="28" w:type="dxa"/>
        </w:tblCellMar>
      </w:tblPr>
      <w:tblGrid>
        <w:gridCol w:w="1315"/>
        <w:gridCol w:w="1153"/>
        <w:gridCol w:w="1642"/>
      </w:tblGrid>
      <w:tr>
        <w:trPr/>
        <w:tc>
          <w:tcPr>
            <w:tcW w:w="131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41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Suman B. Mookerji, certify that: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of Ducommun Incorporated (the “registrant”) on Form 10-Q for the period ended July 4, 2026;</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left"/>
        <w:rPr/>
      </w:pPr>
      <w:r>
        <w:rPr/>
      </w:r>
    </w:p>
    <w:tbl>
      <w:tblPr>
        <w:tblW w:w="3854" w:type="dxa"/>
        <w:jc w:val="left"/>
        <w:tblInd w:w="0" w:type="dxa"/>
        <w:tblLayout w:type="fixed"/>
        <w:tblCellMar>
          <w:top w:w="28" w:type="dxa"/>
          <w:left w:w="28" w:type="dxa"/>
          <w:bottom w:w="28" w:type="dxa"/>
          <w:right w:w="28" w:type="dxa"/>
        </w:tblCellMar>
      </w:tblPr>
      <w:tblGrid>
        <w:gridCol w:w="1233"/>
        <w:gridCol w:w="1084"/>
        <w:gridCol w:w="1537"/>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3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Ducommun Incorporated (the “Company”) on Form 10-Q for the period ending July 4, 2026,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949"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199"/>
        <w:gridCol w:w="1199"/>
        <w:gridCol w:w="16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G. Oswald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G. Oswald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180" w:after="283"/>
        <w:ind w:left="0" w:right="0" w:firstLine="99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Ducommun Incorporated (the “Company”) on Form 10-Q for the period ending July 4, 2026, as filed with the Securities and Exchange Commission on the date hereof (the “Report”), I, Suman B. Mookerji, Senior Vice President, Chief Financial Officer of the Company, certify pursuant to 18 U.S.C. § 1350, as adopted pursuant to § 906 of the Sarbanes-Oxley Act of 2002, that to the best of my knowledge:</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694"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
        <w:gridCol w:w="1123"/>
        <w:gridCol w:w="1123"/>
        <w:gridCol w:w="1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Suman B. Mookerji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Suman B. Mookerji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180" w:after="283"/>
        <w:ind w:left="0" w:right="0" w:firstLine="990"/>
        <w:jc w:val="left"/>
        <w:rPr/>
      </w:pPr>
      <w:r>
        <w:rPr/>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accompanying the Form 10-Q solely pursuant to Section 906 of the Sarbanes-Oxley Act of 2002, and is not being filed as part of the Form 10-Q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0305/0000892569-99-000620-index.html" TargetMode="External"/><Relationship Id="rId3" Type="http://schemas.openxmlformats.org/officeDocument/2006/relationships/hyperlink" Target="https://www.sec.gov/Archives/edgar/data/30305/000119312524252550/d909563dex31.htm" TargetMode="External"/><Relationship Id="rId4" Type="http://schemas.openxmlformats.org/officeDocument/2006/relationships/hyperlink" Target="https://www.sec.gov/Archives/edgar/data/30305/000119312526219682/d111777dex99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26719</Words>
  <Characters>146330</Characters>
  <CharactersWithSpaces>171205</CharactersWithSpaces>
  <Paragraphs>3432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