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1" w:lineRule="auto"/>
        <w:tabs>
          <w:tab w:leader="none" w:pos="940" w:val="left"/>
        </w:tabs>
        <w:numPr>
          <w:ilvl w:val="0"/>
          <w:numId w:val="1"/>
        </w:numPr>
        <w:rPr>
          <w:rFonts w:ascii="Wingdings" w:cs="Wingdings" w:eastAsia="Wingdings" w:hAnsi="Wingdings"/>
          <w:sz w:val="39"/>
          <w:szCs w:val="39"/>
          <w:b w:val="1"/>
          <w:bCs w:val="1"/>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9"/>
              </w:rPr>
              <w:t>200 Sandpointe Avenue, Suite 700, Santa Ana,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02"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620"/>
        <w:spacing w:after="0" w:line="29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As of April 29, 2024, the registrant had 14,716,338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2"/>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Forward Looking Statements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30, 2024 and December 31, 2023</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30, 2024 and April 1, 2023</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30, 2024 and April</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1, 2023</w:t>
            </w: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Months Ended March 30, 2024</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and April 1, 2023</w:t>
            </w:r>
          </w:p>
        </w:tc>
        <w:tc>
          <w:tcPr>
            <w:tcW w:w="724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30, 2024 and April 1, 2023</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300" w:type="dxa"/>
            <w:vAlign w:val="bottom"/>
            <w:gridSpan w:val="5"/>
          </w:tcPr>
          <w:p>
            <w:pPr>
              <w:spacing w:after="0"/>
              <w:rPr>
                <w:sz w:val="22"/>
                <w:szCs w:val="22"/>
                <w:color w:val="auto"/>
              </w:rPr>
            </w:pPr>
          </w:p>
        </w:tc>
        <w:tc>
          <w:tcPr>
            <w:tcW w:w="320" w:type="dxa"/>
            <w:vAlign w:val="bottom"/>
            <w:gridSpan w:val="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4"/>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gridSpan w:val="2"/>
          </w:tcPr>
          <w:p>
            <w:pPr>
              <w:spacing w:after="0"/>
              <w:rPr>
                <w:sz w:val="22"/>
                <w:szCs w:val="22"/>
                <w:color w:val="auto"/>
              </w:rPr>
            </w:pPr>
          </w:p>
        </w:tc>
        <w:tc>
          <w:tcPr>
            <w:tcW w:w="6240" w:type="dxa"/>
            <w:vAlign w:val="bottom"/>
            <w:gridSpan w:val="9"/>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2023 (“Form 10-K”).</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our credit facilities impose restrictions that may limit our operating and financial flexibility;</w:t>
      </w:r>
    </w:p>
    <w:p>
      <w:pPr>
        <w:spacing w:after="0" w:line="117"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trading volume of our common stock may affect an investor’s ability to sell significant stock holdings in the future without negatively impacting our stock price;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amount of debt may require us to raise additional capital to fund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 use markets are cyclical and we depend upon a select base of industries and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business depends on the U.S. Government defense spending;</w:t>
      </w:r>
    </w:p>
    <w:p>
      <w:pPr>
        <w:spacing w:after="0" w:line="117" w:lineRule="exact"/>
        <w:rPr>
          <w:rFonts w:ascii="Times New Roman" w:cs="Times New Roman" w:eastAsia="Times New Roman" w:hAnsi="Times New Roman"/>
          <w:sz w:val="18"/>
          <w:szCs w:val="18"/>
          <w:color w:val="auto"/>
        </w:rPr>
      </w:pPr>
    </w:p>
    <w:p>
      <w:pPr>
        <w:ind w:left="980" w:right="5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exports of certain of our products and our production facility in Guaymas, Mexico are subject to various export control regulations and authorizations for proposed sales to certain foreign customers;</w:t>
      </w:r>
    </w:p>
    <w:p>
      <w:pPr>
        <w:spacing w:after="0" w:line="53"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some of our customers give them a variety of rights that are unfavorable to us and the OEMs to whom we provide products and services, including the ability to terminate a contract at any time for convenience;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in the aerospace industry;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which includes evaluating select acquisitions;</w:t>
      </w:r>
    </w:p>
    <w:p>
      <w:pPr>
        <w:spacing w:after="0" w:line="117" w:lineRule="exact"/>
        <w:rPr>
          <w:rFonts w:ascii="Times New Roman" w:cs="Times New Roman" w:eastAsia="Times New Roman" w:hAnsi="Times New Roman"/>
          <w:sz w:val="18"/>
          <w:szCs w:val="18"/>
          <w:color w:val="auto"/>
        </w:rPr>
      </w:pPr>
    </w:p>
    <w:p>
      <w:pPr>
        <w:ind w:left="980" w:right="280" w:hanging="648"/>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6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design, product development, manufacturing, supply chain project management and other skills will be required as we move up the value chain to become a more value added supplier, and we are dependent upon our ability to attract and retain key personnel;</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and conducting our business outside the United States;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pricing pressures could reduce the demand and/or price for our products and services;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30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processes are subject to risk of obsolescence as a result of changes in technology and evolving industrial and regulatory standards;</w:t>
      </w:r>
    </w:p>
    <w:p>
      <w:pPr>
        <w:spacing w:after="0" w:line="53"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renew facilities leases on terms favorable to us and relocation of operations presents risks due to business interruptions;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procurement laws with which we must comply;</w:t>
      </w:r>
    </w:p>
    <w:p>
      <w:pPr>
        <w:spacing w:after="0" w:line="117"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extensive, complex, costly and evolving laws, regulations and restrictions, including the Defense Contract Audit Agency and cybersecurity requirements;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 and our environmental, social and governance, and sustainability responsibilities;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other legal proceedings and indemnity claims;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changes in estimates when bidding on fixed-price contracts;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 or exposure to additional income tax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or prevent fraud if our internal control over financial reporting is not effective;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and the ability of our suppliers to meet the quality and delivery expectations of our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violations of intellectual property rights;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destruction of our facilities caused by natural disasters;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aftermath of the COVID-19 pandemic.</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March 30,</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$2,071 and $2,006 at March 30, 2024 and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104,692</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549,569</w:t>
            </w: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$184,926 and $181,412 at March 30, 2024</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72,265</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42,260</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r>
      <w:tr>
        <w:trPr>
          <w:trHeight w:val="22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484,825</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10, 12)</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14,706,626 and 14,600,766 shares issued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outstanding at March 30, 2024 and December 31, 2023,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421,980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63"/>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March 30,</w:t>
            </w:r>
          </w:p>
        </w:tc>
        <w:tc>
          <w:tcPr>
            <w:tcW w:w="24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April 1,</w:t>
            </w:r>
          </w:p>
        </w:tc>
        <w:tc>
          <w:tcPr>
            <w:tcW w:w="0" w:type="dxa"/>
            <w:vAlign w:val="bottom"/>
          </w:tcPr>
          <w:p>
            <w:pPr>
              <w:spacing w:after="0"/>
              <w:rPr>
                <w:sz w:val="1"/>
                <w:szCs w:val="1"/>
                <w:color w:val="auto"/>
              </w:rPr>
            </w:pPr>
          </w:p>
        </w:tc>
      </w:tr>
      <w:tr>
        <w:trPr>
          <w:trHeight w:val="193"/>
        </w:trPr>
        <w:tc>
          <w:tcPr>
            <w:tcW w:w="8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181,191</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36,767</w:t>
            </w:r>
          </w:p>
        </w:tc>
        <w:tc>
          <w:tcPr>
            <w:tcW w:w="0" w:type="dxa"/>
            <w:vAlign w:val="bottom"/>
          </w:tcPr>
          <w:p>
            <w:pPr>
              <w:spacing w:after="0"/>
              <w:rPr>
                <w:sz w:val="1"/>
                <w:szCs w:val="1"/>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0" w:type="dxa"/>
            <w:vAlign w:val="bottom"/>
          </w:tcPr>
          <w:p>
            <w:pPr>
              <w:spacing w:after="0"/>
              <w:rPr>
                <w:sz w:val="1"/>
                <w:szCs w:val="1"/>
                <w:color w:val="auto"/>
              </w:rPr>
            </w:pP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23"/>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March 30,</w:t>
            </w:r>
          </w:p>
        </w:tc>
        <w:tc>
          <w:tcPr>
            <w:tcW w:w="24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April 1,</w:t>
            </w:r>
          </w:p>
        </w:tc>
      </w:tr>
      <w:tr>
        <w:trPr>
          <w:trHeight w:val="193"/>
        </w:trPr>
        <w:tc>
          <w:tcPr>
            <w:tcW w:w="8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4"/>
        </w:trPr>
        <w:tc>
          <w:tcPr>
            <w:tcW w:w="87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actuarial losses and prior service costs, net of tax of $14 and $13 for the three months ended</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30, 2024 and April 1, 2023, respectively</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84"/>
        </w:trPr>
        <w:tc>
          <w:tcPr>
            <w:tcW w:w="8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Change in net unrealized gains (losses) on cash flow hedges, net of tax of $672 and $(662) for the 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March 30, 2024 and April 1, 2023, respectively</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23"/>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1"/>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12,106,285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525,960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12,231,704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528,384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14,600,766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421,980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636,094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14,706,626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645,547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March 30,</w:t>
            </w:r>
          </w:p>
        </w:tc>
        <w:tc>
          <w:tcPr>
            <w:tcW w:w="320" w:type="dxa"/>
            <w:vAlign w:val="bottom"/>
          </w:tcPr>
          <w:p>
            <w:pPr>
              <w:spacing w:after="0"/>
              <w:rPr>
                <w:sz w:val="14"/>
                <w:szCs w:val="14"/>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April 1,</w:t>
            </w:r>
          </w:p>
        </w:tc>
      </w:tr>
      <w:tr>
        <w:trPr>
          <w:trHeight w:val="193"/>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write down and property and equipment impairment due to restructuring</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Recognition of insurance recoveries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(18,928)</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(5,362)</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17,115</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2023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2023 (“2023 Form 10-K”). The financial information included in this Quarterly Report on Form 10-Q (“Form 10-Q”) should be read in conjunction with the 2023 Form 10-K.</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including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months ended March 30, 2024 are not necessarily indicative of the results to be expected for the full year ending December 31, 2024.</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58"/>
        </w:trPr>
        <w:tc>
          <w:tcPr>
            <w:tcW w:w="8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March 30,</w:t>
            </w:r>
          </w:p>
        </w:tc>
        <w:tc>
          <w:tcPr>
            <w:tcW w:w="260" w:type="dxa"/>
            <w:vAlign w:val="bottom"/>
          </w:tcPr>
          <w:p>
            <w:pPr>
              <w:spacing w:after="0"/>
              <w:rPr>
                <w:sz w:val="13"/>
                <w:szCs w:val="13"/>
                <w:color w:val="auto"/>
              </w:rPr>
            </w:pPr>
          </w:p>
        </w:tc>
        <w:tc>
          <w:tcPr>
            <w:tcW w:w="1060" w:type="dxa"/>
            <w:vAlign w:val="bottom"/>
          </w:tcPr>
          <w:p>
            <w:pPr>
              <w:jc w:val="right"/>
              <w:ind w:right="357"/>
              <w:spacing w:after="0" w:line="159" w:lineRule="exact"/>
              <w:rPr>
                <w:sz w:val="20"/>
                <w:szCs w:val="20"/>
                <w:color w:val="auto"/>
              </w:rPr>
            </w:pPr>
            <w:r>
              <w:rPr>
                <w:rFonts w:ascii="Times New Roman" w:cs="Times New Roman" w:eastAsia="Times New Roman" w:hAnsi="Times New Roman"/>
                <w:sz w:val="14"/>
                <w:szCs w:val="14"/>
                <w:color w:val="auto"/>
              </w:rPr>
              <w:t>April 1,</w:t>
            </w:r>
          </w:p>
        </w:tc>
      </w:tr>
      <w:tr>
        <w:trPr>
          <w:trHeight w:val="196"/>
        </w:trPr>
        <w:tc>
          <w:tcPr>
            <w:tcW w:w="8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4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color w:val="auto"/>
        </w:rPr>
        <w:t>except per share data)</w:t>
      </w:r>
    </w:p>
    <w:p>
      <w:pPr>
        <w:spacing w:after="0" w:line="1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March 30,</w:t>
            </w:r>
          </w:p>
        </w:tc>
        <w:tc>
          <w:tcPr>
            <w:tcW w:w="260" w:type="dxa"/>
            <w:vAlign w:val="bottom"/>
          </w:tcPr>
          <w:p>
            <w:pPr>
              <w:spacing w:after="0"/>
              <w:rPr>
                <w:sz w:val="13"/>
                <w:szCs w:val="13"/>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April 1,</w:t>
            </w:r>
          </w:p>
        </w:tc>
        <w:tc>
          <w:tcPr>
            <w:tcW w:w="0" w:type="dxa"/>
            <w:vAlign w:val="bottom"/>
          </w:tcPr>
          <w:p>
            <w:pPr>
              <w:spacing w:after="0"/>
              <w:rPr>
                <w:sz w:val="1"/>
                <w:szCs w:val="1"/>
                <w:color w:val="auto"/>
              </w:rPr>
            </w:pPr>
          </w:p>
        </w:tc>
      </w:tr>
      <w:tr>
        <w:trPr>
          <w:trHeight w:val="193"/>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5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242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7"/>
                <w:szCs w:val="17"/>
                <w:color w:val="auto"/>
              </w:rPr>
            </w:pPr>
          </w:p>
        </w:tc>
      </w:tr>
      <w:tr>
        <w:trPr>
          <w:trHeight w:val="163"/>
        </w:trPr>
        <w:tc>
          <w:tcPr>
            <w:tcW w:w="8480" w:type="dxa"/>
            <w:vAlign w:val="bottom"/>
          </w:tcPr>
          <w:p>
            <w:pPr>
              <w:spacing w:after="0"/>
              <w:rPr>
                <w:sz w:val="14"/>
                <w:szCs w:val="14"/>
                <w:color w:val="auto"/>
              </w:rPr>
            </w:pPr>
          </w:p>
        </w:tc>
        <w:tc>
          <w:tcPr>
            <w:tcW w:w="9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March 30,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April 1,</w:t>
            </w:r>
          </w:p>
        </w:tc>
        <w:tc>
          <w:tcPr>
            <w:tcW w:w="340" w:type="dxa"/>
            <w:vAlign w:val="bottom"/>
          </w:tcPr>
          <w:p>
            <w:pPr>
              <w:spacing w:after="0"/>
              <w:rPr>
                <w:sz w:val="14"/>
                <w:szCs w:val="14"/>
                <w:color w:val="auto"/>
              </w:rPr>
            </w:pPr>
          </w:p>
        </w:tc>
      </w:tr>
      <w:tr>
        <w:trPr>
          <w:trHeight w:val="193"/>
        </w:trPr>
        <w:tc>
          <w:tcPr>
            <w:tcW w:w="9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2024</w:t>
            </w:r>
          </w:p>
        </w:tc>
        <w:tc>
          <w:tcPr>
            <w:tcW w:w="14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r>
      <w:tr>
        <w:trPr>
          <w:trHeight w:val="228"/>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March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At the time we entered into the Forward Interest Rate Swaps, there was a high probability of forecasted interest payments on our debts occurring and the swaps were highly effective in offsetting those interest payments; therefore, we elected to apply cash flow hedge accounting. In July 2022, as a result of refinancing all our existing debt, which allowed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relationships were still highly effective as of the amendment date. See Note 4 and Note 8. As of March 30, 2024, all of our derivative instruments were designated as cash flow hedges.</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Prior to the Amended Forward Interest Rate Swaps being effective on January 1, 2024, we only recorded the changes in fair value of the derivative instruments that were highly effective and that were designated and qualified as cash flow hedges prior to the effective date. See Note 4.</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90" w:lineRule="exact"/>
        <w:rPr>
          <w:sz w:val="20"/>
          <w:szCs w:val="20"/>
          <w:color w:val="auto"/>
        </w:rPr>
      </w:pPr>
    </w:p>
    <w:p>
      <w:pPr>
        <w:jc w:val="both"/>
        <w:ind w:right="7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Contract estimates, known as estimates at completion (“EACs”), are based on various assumptions to project the outcome of future events that can span multiple months or years. These assumptions include among others,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EACs on a regular basis. We recognize such EAC adjustments under the cumulative catch-up method. Under this method, the impact of any adjustment is recognized in the period the adjustment is identified. Revenue and profit in future periods of contract performance is recognized using the adjusted estimate.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30,</w:t>
            </w:r>
          </w:p>
        </w:tc>
        <w:tc>
          <w:tcPr>
            <w:tcW w:w="240" w:type="dxa"/>
            <w:vAlign w:val="bottom"/>
          </w:tcPr>
          <w:p>
            <w:pPr>
              <w:spacing w:after="0"/>
              <w:rPr>
                <w:sz w:val="14"/>
                <w:szCs w:val="14"/>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4"/>
                <w:szCs w:val="14"/>
                <w:color w:val="auto"/>
              </w:rPr>
              <w:t>April 1,</w:t>
            </w:r>
          </w:p>
        </w:tc>
      </w:tr>
      <w:tr>
        <w:trPr>
          <w:trHeight w:val="193"/>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r>
    </w:tbl>
    <w:p>
      <w:pPr>
        <w:spacing w:after="0" w:line="200" w:lineRule="exact"/>
        <w:rPr>
          <w:sz w:val="20"/>
          <w:szCs w:val="20"/>
          <w:color w:val="auto"/>
        </w:rPr>
      </w:pPr>
    </w:p>
    <w:p>
      <w:pPr>
        <w:spacing w:after="0" w:line="29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March 30, 2024 and December 31, 2023, provision for estimated losses on contracts were $4.8 million and $5.4 million, respectively. It is reasonably possible we may incur additional losses in the future.</w:t>
      </w:r>
    </w:p>
    <w:p>
      <w:pPr>
        <w:spacing w:after="0" w:line="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 related contracts. As of March 30, 2024 and December 31, 2023, production cost of contracts were $8.0 million and $7.8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0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8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March 30,</w:t>
            </w:r>
          </w:p>
        </w:tc>
        <w:tc>
          <w:tcPr>
            <w:tcW w:w="180" w:type="dxa"/>
            <w:vAlign w:val="bottom"/>
          </w:tcPr>
          <w:p>
            <w:pPr>
              <w:spacing w:after="0"/>
              <w:rPr>
                <w:sz w:val="13"/>
                <w:szCs w:val="13"/>
                <w:color w:val="auto"/>
              </w:rPr>
            </w:pPr>
          </w:p>
        </w:tc>
        <w:tc>
          <w:tcPr>
            <w:tcW w:w="1140" w:type="dxa"/>
            <w:vAlign w:val="bottom"/>
          </w:tcPr>
          <w:p>
            <w:pPr>
              <w:jc w:val="right"/>
              <w:ind w:right="17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8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bl>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March 30, 2024 compared to December 31, 2023 was primarily due to a net increase of products in work in process in the current period.</w:t>
      </w:r>
    </w:p>
    <w:p>
      <w:pPr>
        <w:spacing w:after="0" w:line="4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increase in our contract liabilities as of March 30, 2024 compared to December 31, 2023 was primarily due to a net increase of advance or progress payments received from our customers in the current period. We recognized $16.4 million of the contract liabilities as of December 31, 2023 as revenues during the three months ended March 30, 2024.</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March 30, 2024, December 31, 2023, and April 1, 2023 totaled $824.1 million, $826.7 million, and $797.1 million, respectively. Prior period amounts have been adjusted to correct for identified misstatements in the calculation of the remaining performance obligations. Of the remaining performance obligations as of March 30, 2024, we anticipate recognizing an estimated 65% of our remaining performance obligations as revenue during the next 12 months with the remaining performance obligations being recognized in the remainder of 2025 and beyond.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March 30,</w:t>
            </w:r>
          </w:p>
        </w:tc>
        <w:tc>
          <w:tcPr>
            <w:tcW w:w="260" w:type="dxa"/>
            <w:vAlign w:val="bottom"/>
          </w:tcPr>
          <w:p>
            <w:pPr>
              <w:spacing w:after="0"/>
              <w:rPr>
                <w:sz w:val="14"/>
                <w:szCs w:val="14"/>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April 1,</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74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4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1780" w:type="dxa"/>
            <w:vAlign w:val="bottom"/>
            <w:tcBorders>
              <w:top w:val="single" w:sz="8" w:color="CCEEFF"/>
            </w:tcBorders>
          </w:tcPr>
          <w:p>
            <w:pPr>
              <w:spacing w:after="0"/>
              <w:rPr>
                <w:sz w:val="19"/>
                <w:szCs w:val="19"/>
                <w:color w:val="auto"/>
              </w:rPr>
            </w:pPr>
          </w:p>
        </w:tc>
        <w:tc>
          <w:tcPr>
            <w:tcW w:w="4960" w:type="dxa"/>
            <w:vAlign w:val="bottom"/>
            <w:tcBorders>
              <w:top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98,929</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97,670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4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4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2280" w:type="dxa"/>
            <w:vAlign w:val="bottom"/>
            <w:tcBorders>
              <w:bottom w:val="single" w:sz="8" w:color="CCEEFF"/>
            </w:tcBorders>
            <w:gridSpan w:val="3"/>
            <w:shd w:val="clear" w:color="auto" w:fill="CCEEFF"/>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4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4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2260" w:type="dxa"/>
            <w:vAlign w:val="bottom"/>
            <w:tcBorders>
              <w:bottom w:val="single" w:sz="8" w:color="CCEEFF"/>
            </w:tcBorders>
            <w:gridSpan w:val="2"/>
            <w:shd w:val="clear" w:color="auto" w:fill="CCEEFF"/>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47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7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Financial Accounting Standards Board (“FASB”) issued Accounting Standards Update (“ASU”) 2024-02, “Codification Improvements</w:t>
      </w:r>
    </w:p>
    <w:p>
      <w:pPr>
        <w:spacing w:after="0" w:line="27" w:lineRule="exact"/>
        <w:rPr>
          <w:sz w:val="20"/>
          <w:szCs w:val="20"/>
          <w:color w:val="auto"/>
        </w:rPr>
      </w:pPr>
    </w:p>
    <w:p>
      <w:pPr>
        <w:ind w:firstLine="8"/>
        <w:spacing w:after="0" w:line="253" w:lineRule="auto"/>
        <w:tabs>
          <w:tab w:leader="none" w:pos="1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Remove References to the Concepts Statements” (“ASU 2024-02”), which removed references to various FASB Concepts Statements and updates technical corrections such as conforming amendments, clarification to guidance, simplifications to wording or the structure of guidance, and other minor improvements. The new guidance is effective for fiscal years beginning after December 15, 2024, which is our annual period beginning January 1, 2025. Early adoption is permitted. We are evaluating the impact of this standard.</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provides more transparency about tax information primarily related to the rate reconciliation and the income taxes paid. The new guidance is effective for fiscal years beginning after December 15, 2024, which will be our annual period beginning January 1, 2025. Early adoption is permitted. We are evaluating the impact of this standard.</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expands reportable segment disclosure requirements, primarily through enhanced disclosures about significant segment expenses. The new guidance is effective for fiscal years beginning after December 15, 2023, which is our annual period beginning January 1, 2024, and interim periods within fiscal years beginning after December 15, 2024, which will be our interim period beginning January 1, 2025. Early adoption is permitted. We are evaluating the impact of this standard.</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incorporates updates to the Accounting Standards Codification to align certain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We are evaluating the impact of this standard.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BLR Aerospace, L.L.C. Acquisition</w:t>
      </w:r>
    </w:p>
    <w:p>
      <w:pPr>
        <w:spacing w:after="0" w:line="1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April 2023, we acquired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added to our strategy to diversify and offer more customized, value-driven engineered products with aftermarket opportunities.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initial purchase price for BLR was $115.0 million, net of cash acquired, all payable in cash, subject to adjustments for working capital. We paid a gross aggregate of $117.0 million in cash upon the closing of the transaction. Subsequent to the closing of the transaction, during the three months ended September 30, 2023, the working capital was finalized, resulting in an immaterial adjustment for a final purchase price of $114.4 million, net of cash acquired. We allocated the gross purchase price of $117.0 million to the assets acquired and liabilities assumed at their estimated fair values. The excess of the purchase price over the aggregate fair values of the net assets was recorded as goodwill.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the assets acquired and liabilities assumed at the date of acquisition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4"/>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intangible assets acquired of $55.5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values for technology and trade name were assessed using the relief from royalty methodology, while the value for customer relationships was estimated based on a multi-period excess earnings approach. Inputs to the income approach models and other aspects of the allocation of the purchase price require judgment. The more significant inputs used in the technology intangible asset valuation included (i) future revenues, (ii) the technology decay rate, (iii) the royalty rate, and (iv) the discount rate. The more significant inputs used in the customer relationships intangible asset valuation included (i) future revenues, (ii) the projected earnings before interest, taxes, and amortization (“EBITA”) margins, (iii) the customer attrition rates, and (iv) the discount rate.</w:t>
      </w:r>
    </w:p>
    <w:p>
      <w:pPr>
        <w:spacing w:after="0" w:line="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goodwill of $41.2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BLR acquisition, for tax purposes, is deemed an asset acquisition and thus, the goodwill recognized is deductible for income tax purposes.</w:t>
      </w:r>
    </w:p>
    <w:p>
      <w:pPr>
        <w:spacing w:after="0" w:line="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zero and $0.8 million during the three months ended March 30, 2024 and April 1, 2023, respectively, and charged to selling, general and administrative expenses.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BLR’s results of operations have been included in our condensed consolidated statements of income since the date of acquisition as part of the Structural Systems segment, and its revenues were less than two percent of total company revenues since the date of acquisition. Pro forma results of operations of the BLR acquisition have not been presented as the effect of the BLR acquisition was not material to our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three months ended March 30, 2024, we recorded total charges of $1.4 million. Cumulative through the three months ended March 30, 2024, we recorded aggregate total charges of $22.9 million ($0.8 million of which was recorded as cost of sales). As of March 30, 2024, we estimate the remaining amount of charges related to this initiative will be $4.0 million to $6.0 million in total pre-tax restructuring charges through 2024. Of these charges, we estimate $3.5 million to $5.0 million to be cash payments for employee separation and other facility consolidation related expenses, and $0.5 million to $1.0 million to be non-cash charges for impairment of long-lived assets.</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Electronics Systems segment, we recorded charges of $0.4 million and $0.1 million during the three months ended March 30, 2024 for severance and benefits that were classified as restructuring charges and other restructuring charges, respectively. Cumulative through the three months ended March 30, 2024, we recorded total charges for severance and benefits that were classified as restructuring charges, accelerated depreciation of property and equipment that was classified as restructuring charges, charges for inventory write down that was classified as cost of sales, and other restructuring of $10.0 million, $0.3 million, $0.3 million, and $0.2 million, respectively.</w:t>
      </w:r>
    </w:p>
    <w:p>
      <w:pPr>
        <w:spacing w:after="0" w:line="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Structural Systems segment, we recorded $0.2 million and $0.7 million during the three months ended March 30, 2024 for severance and benefits that were classified as restructuring charges and other restructuring charges, respectively. Cumulative through the three months ended March 30, 2024, we recorded total charges for severance and benefits that were classified as restructuring charges, accelerated depreciation of property and equipment/impairment of property and equipment that was classified as restructuring charges, charges for inventory write down that was classified as cost of sales, and other restructuring of $6.1 million, $2.0 million, $0.5 million, and $3.5 million,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during the three months ended March 30, 2024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Three Months Ended March 30, 2024</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March 30, 2024</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Change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184"/>
        </w:trPr>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Property and equipment accelerated</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due to restructuring</w:t>
            </w: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 down</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restructuring activities accrual for severance and benefits of $4.5 million as of March 30, 2024 was included as part of accrued and other liabilities and is expected to be paid out through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cash flow hedges consists of forward interest rate swaps to manage our exposure to interest rate movements on a portion of our debt through January 1, 2031. Our forward interest rate swaps hedge forecasted transactions through January 1, 2031.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derivative instruments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30,</w:t>
            </w:r>
          </w:p>
        </w:tc>
        <w:tc>
          <w:tcPr>
            <w:tcW w:w="16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the condensed consolidated balance sheets for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3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30,</w:t>
            </w:r>
          </w:p>
        </w:tc>
        <w:tc>
          <w:tcPr>
            <w:tcW w:w="160" w:type="dxa"/>
            <w:vAlign w:val="bottom"/>
          </w:tcPr>
          <w:p>
            <w:pPr>
              <w:spacing w:after="0"/>
              <w:rPr>
                <w:sz w:val="14"/>
                <w:szCs w:val="14"/>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580" w:type="dxa"/>
            <w:vAlign w:val="bottom"/>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5"/>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(losses) associated with our hedging transactions recognized in other comprehensive income are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4"/>
          </w:tcPr>
          <w:p>
            <w:pPr>
              <w:jc w:val="center"/>
              <w:ind w:right="14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88"/>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49"/>
        </w:trPr>
        <w:tc>
          <w:tcPr>
            <w:tcW w:w="8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March 30,</w:t>
            </w:r>
          </w:p>
        </w:tc>
        <w:tc>
          <w:tcPr>
            <w:tcW w:w="260" w:type="dxa"/>
            <w:vAlign w:val="bottom"/>
          </w:tcPr>
          <w:p>
            <w:pPr>
              <w:spacing w:after="0"/>
              <w:rPr>
                <w:sz w:val="12"/>
                <w:szCs w:val="12"/>
                <w:color w:val="auto"/>
              </w:rPr>
            </w:pPr>
          </w:p>
        </w:tc>
        <w:tc>
          <w:tcPr>
            <w:tcW w:w="9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color w:val="auto"/>
              </w:rPr>
              <w:t>April 1,</w:t>
            </w:r>
          </w:p>
        </w:tc>
      </w:tr>
      <w:tr>
        <w:trPr>
          <w:trHeight w:val="196"/>
        </w:trPr>
        <w:tc>
          <w:tcPr>
            <w:tcW w:w="8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other comprehensive income, net of tax:</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reclassified gains associated with our cash flow hedges from accumulated other comprehensive income to the condensed income statements when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Interest Rate Swaps became effective as of January 1, 2024 and are presented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4"/>
          </w:tcPr>
          <w:p>
            <w:pPr>
              <w:jc w:val="center"/>
              <w:ind w:right="14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88"/>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49"/>
        </w:trPr>
        <w:tc>
          <w:tcPr>
            <w:tcW w:w="8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March 30,</w:t>
            </w:r>
          </w:p>
        </w:tc>
        <w:tc>
          <w:tcPr>
            <w:tcW w:w="260" w:type="dxa"/>
            <w:vAlign w:val="bottom"/>
          </w:tcPr>
          <w:p>
            <w:pPr>
              <w:spacing w:after="0"/>
              <w:rPr>
                <w:sz w:val="12"/>
                <w:szCs w:val="12"/>
                <w:color w:val="auto"/>
              </w:rPr>
            </w:pPr>
          </w:p>
        </w:tc>
        <w:tc>
          <w:tcPr>
            <w:tcW w:w="9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color w:val="auto"/>
              </w:rPr>
              <w:t>April 1,</w:t>
            </w:r>
          </w:p>
        </w:tc>
      </w:tr>
      <w:tr>
        <w:trPr>
          <w:trHeight w:val="193"/>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deferred gains recorded in other comprehensive income that will mature in the next 12 months total $4.7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2"/>
          </w:tcPr>
          <w:p>
            <w:pPr>
              <w:ind w:left="260"/>
              <w:spacing w:after="0" w:line="159" w:lineRule="exact"/>
              <w:rPr>
                <w:sz w:val="20"/>
                <w:szCs w:val="20"/>
                <w:color w:val="auto"/>
              </w:rPr>
            </w:pPr>
            <w:r>
              <w:rPr>
                <w:rFonts w:ascii="Times New Roman" w:cs="Times New Roman" w:eastAsia="Times New Roman" w:hAnsi="Times New Roman"/>
                <w:sz w:val="14"/>
                <w:szCs w:val="14"/>
                <w:color w:val="auto"/>
              </w:rPr>
              <w:t>March 30,</w:t>
            </w:r>
          </w:p>
        </w:tc>
        <w:tc>
          <w:tcPr>
            <w:tcW w:w="320" w:type="dxa"/>
            <w:vAlign w:val="bottom"/>
          </w:tcPr>
          <w:p>
            <w:pPr>
              <w:spacing w:after="0"/>
              <w:rPr>
                <w:sz w:val="13"/>
                <w:szCs w:val="13"/>
                <w:color w:val="auto"/>
              </w:rPr>
            </w:pPr>
          </w:p>
        </w:tc>
        <w:tc>
          <w:tcPr>
            <w:tcW w:w="1540" w:type="dxa"/>
            <w:vAlign w:val="bottom"/>
          </w:tcPr>
          <w:p>
            <w:pPr>
              <w:jc w:val="right"/>
              <w:ind w:right="43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174,624</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0"/>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4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and adjusted after-tax earnings. If any of these assumptions are incorrect, it will impact the estimated fair value of a reporting unit. The market approach also requires management judgment in selecting comparable business acquisitions and the transaction values observed and its related control premiums.</w:t>
      </w:r>
    </w:p>
    <w:p>
      <w:pPr>
        <w:spacing w:after="0" w:line="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material adverse factors/changes have occurred since the fourth quarter of 2023 that would require us to perform another qualitative or quantitative assessment. As such, for the first quarter of 2024, it was also not more likely than not that the fair values of the reporting units were less than their carrying amounts and thus, the respective goodwill amounts were not deemed to be impaired.</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April 2023, we completed the acquisition of BLR. The excess of the purchase price over the aggregate fair values of the net assets was recorded as goodwill. See Note 2 for further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9"/>
          </w:tcPr>
          <w:p>
            <w:pPr>
              <w:jc w:val="right"/>
              <w:ind w:right="70"/>
              <w:spacing w:after="0"/>
              <w:rPr>
                <w:sz w:val="20"/>
                <w:szCs w:val="20"/>
                <w:color w:val="auto"/>
              </w:rPr>
            </w:pPr>
            <w:r>
              <w:rPr>
                <w:rFonts w:ascii="Times New Roman" w:cs="Times New Roman" w:eastAsia="Times New Roman" w:hAnsi="Times New Roman"/>
                <w:sz w:val="14"/>
                <w:szCs w:val="14"/>
                <w:color w:val="auto"/>
              </w:rPr>
              <w:t>(Dollars in thousands)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136"/>
              <w:spacing w:after="0" w:line="159" w:lineRule="exact"/>
              <w:rPr>
                <w:sz w:val="20"/>
                <w:szCs w:val="20"/>
                <w:color w:val="auto"/>
              </w:rPr>
            </w:pPr>
            <w:r>
              <w:rPr>
                <w:rFonts w:ascii="Times New Roman" w:cs="Times New Roman" w:eastAsia="Times New Roman" w:hAnsi="Times New Roman"/>
                <w:sz w:val="14"/>
                <w:szCs w:val="14"/>
                <w:color w:val="auto"/>
              </w:rPr>
              <w:t>Electronic</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4"/>
                <w:szCs w:val="14"/>
                <w:color w:val="auto"/>
              </w:rPr>
              <w:t>Structural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Systems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Systems</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Ducommun</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127,165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127,165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127,165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Accrued and Other Liabilities</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9"/>
          </w:tcPr>
          <w:p>
            <w:pPr>
              <w:jc w:val="right"/>
              <w:ind w:right="70"/>
              <w:spacing w:after="0"/>
              <w:rPr>
                <w:sz w:val="20"/>
                <w:szCs w:val="20"/>
                <w:color w:val="auto"/>
              </w:rPr>
            </w:pPr>
            <w:r>
              <w:rPr>
                <w:rFonts w:ascii="Times New Roman" w:cs="Times New Roman" w:eastAsia="Times New Roman" w:hAnsi="Times New Roman"/>
                <w:sz w:val="14"/>
                <w:szCs w:val="14"/>
                <w:color w:val="auto"/>
              </w:rPr>
              <w:t>(Dollars in thousands)</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5"/>
          </w:tcPr>
          <w:p>
            <w:pPr>
              <w:jc w:val="right"/>
              <w:ind w:right="560"/>
              <w:spacing w:after="0" w:line="159" w:lineRule="exact"/>
              <w:rPr>
                <w:sz w:val="20"/>
                <w:szCs w:val="20"/>
                <w:color w:val="auto"/>
              </w:rPr>
            </w:pPr>
            <w:r>
              <w:rPr>
                <w:rFonts w:ascii="Times New Roman" w:cs="Times New Roman" w:eastAsia="Times New Roman" w:hAnsi="Times New Roman"/>
                <w:sz w:val="14"/>
                <w:szCs w:val="14"/>
                <w:color w:val="auto"/>
              </w:rPr>
              <w:t>March 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gridSpan w:val="5"/>
          </w:tcPr>
          <w:p>
            <w:pPr>
              <w:ind w:left="2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w w:val="99"/>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19,879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29,311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16"/>
              <w:spacing w:after="0" w:line="159" w:lineRule="exact"/>
              <w:rPr>
                <w:sz w:val="20"/>
                <w:szCs w:val="20"/>
                <w:color w:val="auto"/>
              </w:rPr>
            </w:pPr>
            <w:r>
              <w:rPr>
                <w:rFonts w:ascii="Times New Roman" w:cs="Times New Roman" w:eastAsia="Times New Roman" w:hAnsi="Times New Roman"/>
                <w:sz w:val="14"/>
                <w:szCs w:val="14"/>
                <w:color w:val="auto"/>
              </w:rPr>
              <w:t>March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ind w:left="42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240,625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242,188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137"/>
              <w:spacing w:after="0"/>
              <w:rPr>
                <w:sz w:val="20"/>
                <w:szCs w:val="20"/>
                <w:color w:val="auto"/>
              </w:rPr>
            </w:pPr>
            <w:r>
              <w:rPr>
                <w:rFonts w:ascii="Times New Roman" w:cs="Times New Roman" w:eastAsia="Times New Roman" w:hAnsi="Times New Roman"/>
                <w:sz w:val="18"/>
                <w:szCs w:val="18"/>
                <w:color w:val="auto"/>
              </w:rPr>
              <w:t>23,800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23,800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264,425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265,988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(7,813)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255,050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258,175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4"/>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253,929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256,961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ind w:right="137"/>
              <w:spacing w:after="0" w:line="203" w:lineRule="exact"/>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center"/>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line="203" w:lineRule="exact"/>
              <w:rPr>
                <w:sz w:val="20"/>
                <w:szCs w:val="20"/>
                <w:color w:val="auto"/>
              </w:rPr>
            </w:pPr>
            <w:r>
              <w:rPr>
                <w:rFonts w:ascii="Times New Roman" w:cs="Times New Roman" w:eastAsia="Times New Roman" w:hAnsi="Times New Roman"/>
                <w:sz w:val="18"/>
                <w:szCs w:val="18"/>
                <w:color w:val="auto"/>
              </w:rPr>
              <w:t>1,761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required quarterly amortization payments began in the fourth quarter of 2022.</w:t>
      </w:r>
    </w:p>
    <w:p>
      <w:pPr>
        <w:spacing w:after="0" w:line="5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monthly or quarterly basis, depending on the interest rate selected, on the last business day each month or quarter.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w:t>
      </w:r>
    </w:p>
    <w:p>
      <w:pPr>
        <w:spacing w:after="0" w:line="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our prior credit facilities.</w:t>
      </w:r>
    </w:p>
    <w:p>
      <w:pPr>
        <w:spacing w:after="0" w:line="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each of the three months ended March 30, 2024 and April 1, 2023, we made the required quarterly amortization payments on the 2022 Term Loan of $1.6 million.</w:t>
      </w:r>
    </w:p>
    <w:p>
      <w:pPr>
        <w:spacing w:after="0" w:line="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30, 2024, we had $176.0 million of unused borrowing capacity under the 2022 Revolving Credit Facility, after deducting $0.2 million for standby letters of credit.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prior term loans of $1.0 million as of the modification date will be amortized over the life of the 2022 Term Loan, using the effective interest method.</w:t>
      </w:r>
    </w:p>
    <w:p>
      <w:pPr>
        <w:spacing w:after="0" w:line="51"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prior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prior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prior revolving credit facility of $0.8 million as of the modification date will also be amortized over the life of the 2022 Revolving Credit Facility.</w:t>
      </w:r>
    </w:p>
    <w:p>
      <w:pPr>
        <w:spacing w:after="0" w:line="6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for further information.</w:t>
      </w:r>
    </w:p>
    <w:p>
      <w:pPr>
        <w:spacing w:after="0" w:line="4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We utilized the net proceeds plus cash on hand to pay down $85.2 million on the 2022 Revolving Credit Facility. See Note 9 for further information.</w:t>
      </w:r>
    </w:p>
    <w:p>
      <w:pPr>
        <w:spacing w:after="0" w:line="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were not effective until January 1, 2024, we only recorded the changes in fair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value of the derivative instruments that were highly effective and that were designated and qualified as cash flow hedges through December 31, 2023. See Note 1 and Note 4 for further information.</w:t>
      </w:r>
    </w:p>
    <w:p>
      <w:pPr>
        <w:spacing w:after="0" w:line="27"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were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2023, we completed a public offering of 2.3 million shares of our common stock at $40.00 per share, for gross proceeds of $92.0 million. The common stock offering was made under our effective shelf registration statement. We incurred aggregate total out of pocket stock offering related fees of $6.9 million, resulting in net proceeds of $85.1 million. As such, we recorded an increase to common stock at par value of less than $0.1 million with the remaining amount as an increase to additional paid-in capital of $85.1 million. The public stock offering net proceeds along with cash on hand were used to pay down $85.2 million on the 2022 Revolving Credit Facility that was drawn on and utilized to complete the acquisition of BLR. See Note 2 and Note 8 for further information.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Indemnifications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$1.9 million for the three months ended March 30, 2024 compared to $0.8 million for the three months ended April 1, 2023. The increase in income tax expense for the first quarter of 2024 compared to the first quarter of 2023 was primarily due to higher pre-tax income in the first quarter of 2024 compared to the first quarter of 2023 and higher discrete income tax expense recognized in the first quarter of 2024 related to stock-based compensation.</w:t>
      </w:r>
    </w:p>
    <w:p>
      <w:pPr>
        <w:spacing w:after="0" w:line="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total amount of unrecognized tax benefits was $4.6 million and $4.5 million as of March 30, 2024 and December 31, 2023, respectively. If recognized, $2.8 million would affect the effective tax rate. We record interest and penalty charges, if any,</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related to uncertain tax positions as a component of tax expense and unrecognized tax benefits. The amounts accrued for interest and penalty charges as of March 30, 2024 and December 31, 2023 were not significant. As a result of statute of limitations set to expire in the fourth quarter of 2024, we expect decreases to our unrecognized tax benefits of approximately $1.0 million in the next twelve months.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0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against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remained unchanged as of December 31, 2022 as we were awaiting final court approval of this settlement. Subsequent to final court approval and paying of the $0.9 million in January 2023, during the third quarter of 2023 and upon plaintiff's motion, the court re-opened the settlement agreement to determine whether the class list captured all affected employees. We are appealing this decision as being without merit. Any amount of additional liability is still undetermined pending the appeal and as such, there is no amount of loss that is probable and reasonably estimable at this time. Thus, no additional accrual was recorded during the three months ended March 30, 2024.</w:t>
      </w:r>
    </w:p>
    <w:p>
      <w:pPr>
        <w:spacing w:after="0" w:line="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March 30, 2024 and December 31, 2023, which is reflected in other long-term liabilities on our condensed consolidated balance sheets.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March 30, 2024 and December 31, 2023,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comprised of two buildings with an aggregate total of 62,000 square feet, was severely damaged. The loss of production from the Guaymas performance center was absorbed by our other existing performance centers, however, we have reestablished and are in the process of certification with various customers and ramping up our manufacturing capabilities in a different leased facility with 117,000 square feet in Guaymas. 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seeking unspecified amounts for damages relating to the fire. We intend to defend this matter vigorously and believe we have substantial defenses in relation to these claims. As responsibility for the fire is still undetermined, there is no amount of loss that is probable and reasonably estimable at this time. If we are ultimately deemed to be responsible or party responsible, it is possible we could incur a loss in excess of our insurance coverage limits, which could be material to our cash flow, liquidity, or financial results.</w:t>
      </w:r>
    </w:p>
    <w:p>
      <w:pPr>
        <w:spacing w:after="0" w:line="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7"/>
          <w:szCs w:val="17"/>
          <w:color w:val="auto"/>
        </w:rPr>
        <w:t>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of revenue and $0.5 million of related cost of sales were reversed for revenue previously recognized using the over time method as the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process for these items were deemed to be interrupted as a result of these inventory items being damaged. Also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we wrote off property and equipment and tooling with an aggregate total net book value of $7.1 million and inventory on hand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million that were damaged by the fire. The related anticipated insurance recoveries were also presented within the same financial statement line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condensed consolidated statements of income resulting in no net impact, with the anticipated insurance recoveries receivable included as part of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 on the condensed consolidated balance sheets.</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insurance claim for damages to our operating assets and business interruption was deemed final and closed by our insurance company during the three months ended July 1, 2023. During both the three months ended March 30, 2024 and April 1, 2023, we received no insurance recoveries. However, the general insurance recoveries, all received in 2020, during the three months ended April 1, 2023, $3.9 million of the general insurance recoveries that were considered gain contingencies were deemed to be resolved and thus, we recorded this amount as other income. The remaining amount of insurance recoveries of $3.8 million were received during the three months ended July 1, 2023. Cumulatively, as of July 1, 2023, we received insurance recoveries in aggregate total of $23.7 million, with $7.5 million for business interruption and $16.2 million for damages to property and equipment, inventories, and tooling. Further, all insurance recovery amounts received related to this claim have been recognized up to the amount of net book value loss and presented within the same financial statement line item in the condensed consolidated statements of income resulting in no net impact, with the remaining amounts recognized as other income in our condensed consolidated statements of income when the contingencies were deemed resolved.</w:t>
      </w:r>
    </w:p>
    <w:p>
      <w:pPr>
        <w:spacing w:after="0" w:line="6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There were no injuries; however, subsequent to the fire, we determined that some property and equipment in this company 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later that same quarter. The anticipated insurance recoveries related to losses and incremental costs incurred are recognized when receipt is probable. The anticipated insurance recoveries in excess of net book value of the damaged operating assets and business interruption are not recorded until all contingencies related to our claim are resolved. As such, during the three months ended July 1, 2023, we wrote off property and equipment with an aggregate total net book value of $0.2 million. Also during the three months ended July 1, 2023, we received insurance recoveries of $0.3 million (which was net of our deductible of $0.1 million) and thus, such insurance recoveries were also presented within the same financial statement line item in the condensed consolidated statements of income resulting in no net impact. The amount of the insurance recoveries received in excess of the loss on operating assets was deemed a contingent gain, and since the gain contingencies were deemed resolved, the $0.1 million was also recorded as other income during the three months ended July 1, 2023. Finally, during the three months ended December 31, 2023, the insurance claim was deemed final and closed by our insurance company and we received a final payment of $0.3 million, which was recorded as other income.</w:t>
      </w:r>
    </w:p>
    <w:p>
      <w:pPr>
        <w:spacing w:after="0" w:line="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Real estate obligations, which include legally binding minimum lease payments for leases executed but not yet commenced, were $5.8 million as of March 30, 2024, and will be paid over the lease term of 10 years.</w:t>
      </w:r>
    </w:p>
    <w:p>
      <w:pPr>
        <w:spacing w:after="0" w:line="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Business Segment Information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March 30,</w:t>
            </w:r>
          </w:p>
        </w:tc>
        <w:tc>
          <w:tcPr>
            <w:tcW w:w="260" w:type="dxa"/>
            <w:vAlign w:val="bottom"/>
          </w:tcPr>
          <w:p>
            <w:pPr>
              <w:spacing w:after="0"/>
              <w:rPr>
                <w:sz w:val="12"/>
                <w:szCs w:val="12"/>
                <w:color w:val="auto"/>
              </w:rPr>
            </w:pPr>
          </w:p>
        </w:tc>
        <w:tc>
          <w:tcPr>
            <w:tcW w:w="106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April 1,</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75,565</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181,191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Segment Operating Income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(9,215)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92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the three months ended March 30, 2024 include BLR’s results of operations which have been included in our condensed consolidated statements of income since the date of acquisition as part of the Structural Systems segment. See Note 2.</w:t>
      </w:r>
    </w:p>
    <w:p>
      <w:pPr>
        <w:spacing w:after="0" w:line="40"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March 30,</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505,371</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173,214</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237,729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410,943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right="140" w:hanging="329"/>
        <w:spacing w:after="0" w:line="266"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acquired 100.0% of the outstanding equity interests of BLR for an initial purchase price of $115.0 million, net of cash acquired. We allocated the gross purchase price of $117.0 million to the assets acquired and liabilities assumed at their estimated fair values. The excess of the purchase price over the aggregate fair values of the net assets was recorded as goodwill. See Note 2.</w:t>
      </w:r>
    </w:p>
    <w:p>
      <w:pPr>
        <w:spacing w:after="0" w:line="54" w:lineRule="exact"/>
        <w:rPr>
          <w:rFonts w:ascii="Times New Roman" w:cs="Times New Roman" w:eastAsia="Times New Roman" w:hAnsi="Times New Roman"/>
          <w:sz w:val="18"/>
          <w:szCs w:val="18"/>
          <w:color w:val="auto"/>
        </w:rPr>
      </w:pPr>
    </w:p>
    <w:p>
      <w:pPr>
        <w:ind w:left="580" w:right="120" w:hanging="329"/>
        <w:spacing w:after="0" w:line="282"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its 2023 Annual Report on Form 10-K, The Boeing Company (“Boeing”) indicated that in 2023, global air traffic largely recovered to 2019 levels with domestic travel continuing to be the most robust and international travel has mostly recovered. For 2024, while both major large aircraft manufacturers, Boeing and Airbus SE, have announced either similar or increases in build rates compared to 2023, the ramp up is slower than expected and below pre-pandemic levels. In addition, Boeing, one of our largest customers, was notified by the Federal Aviation Administration (“FAA”) in early January 2024 that the FAA has initiated an investigation into Boeing’s quality control system. This notification was followed by the FAA announcing actions to increase its oversight of Boeing as well as not approving production rate increases or additional production lines for the 737 MAX until it is satisfied that Boeing is in full compliance with required quality control procedures. Since Boeing is one of our largest customers, if Boeing is unable to meet the full compliance of the FAA’s required quality control procedures, it could have a material adverse impact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recap:</w:t>
      </w:r>
    </w:p>
    <w:p>
      <w:pPr>
        <w:spacing w:after="0" w:line="121"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$190.8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$6.8 million, or 3.6% of net revenues, or $0.46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$27.4 million, or 14.4% of net revenues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of 2024 Compared to First Quarter of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40" w:type="dxa"/>
            <w:vAlign w:val="bottom"/>
            <w:gridSpan w:val="7"/>
          </w:tcPr>
          <w:p>
            <w:pPr>
              <w:jc w:val="center"/>
              <w:ind w:left="69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March 30,</w:t>
            </w:r>
          </w:p>
        </w:tc>
        <w:tc>
          <w:tcPr>
            <w:tcW w:w="1100" w:type="dxa"/>
            <w:vAlign w:val="bottom"/>
            <w:gridSpan w:val="2"/>
          </w:tcPr>
          <w:p>
            <w:pPr>
              <w:jc w:val="center"/>
              <w:ind w:left="5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April 1,</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190,847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181,191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143,904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144,424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46,943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36,767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32,951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26,225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12,622</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(3,883)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6,849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months ended March 30, 2024 and April 1, 2023,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Three Months Ended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6"/>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860" w:type="dxa"/>
            <w:vAlign w:val="bottom"/>
            <w:gridSpan w:val="3"/>
          </w:tcPr>
          <w:p>
            <w:pPr>
              <w:jc w:val="right"/>
              <w:ind w:right="53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March 30,</w:t>
            </w:r>
          </w:p>
        </w:tc>
        <w:tc>
          <w:tcPr>
            <w:tcW w:w="100" w:type="dxa"/>
            <w:vAlign w:val="bottom"/>
          </w:tcPr>
          <w:p>
            <w:pPr>
              <w:spacing w:after="0"/>
              <w:rPr>
                <w:sz w:val="11"/>
                <w:szCs w:val="11"/>
                <w:color w:val="auto"/>
              </w:rPr>
            </w:pP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April 1,</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March 30,</w:t>
            </w: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April 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4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48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98,929</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97,670</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51.8 %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190,847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526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72,505</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73,327</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524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83,308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75,565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March 30, 2024 were $190.8 million, compared to $181.2 million for the three months ended April 1, 2023. The year-over-year increase was primarily due to the following:</w:t>
      </w:r>
    </w:p>
    <w:p>
      <w:pPr>
        <w:spacing w:after="0" w:line="40" w:lineRule="exact"/>
        <w:rPr>
          <w:sz w:val="20"/>
          <w:szCs w:val="20"/>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million higher revenues in our commercial aerospace end-use markets due to higher rates on rotary-wing aircraft and both single-aisle and twin-aisle aircraft platforms, partially offset by lower rates on other commercial aerospace platforms; and</w:t>
      </w:r>
    </w:p>
    <w:p>
      <w:pPr>
        <w:spacing w:after="0" w:line="40"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higher revenues in our military and space end-use markets due to higher rates on naval and rotary-wing aircraft platforms, partially offset by lower rates on legacy fixed-wing aircraft platforms.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168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252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53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5380" w:type="dxa"/>
            <w:vAlign w:val="bottom"/>
          </w:tcPr>
          <w:p>
            <w:pPr>
              <w:spacing w:after="0"/>
              <w:rPr>
                <w:sz w:val="11"/>
                <w:szCs w:val="11"/>
                <w:color w:val="auto"/>
              </w:rPr>
            </w:pPr>
          </w:p>
        </w:tc>
        <w:tc>
          <w:tcPr>
            <w:tcW w:w="130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March 30,</w:t>
            </w:r>
          </w:p>
        </w:tc>
        <w:tc>
          <w:tcPr>
            <w:tcW w:w="1220" w:type="dxa"/>
            <w:vAlign w:val="bottom"/>
          </w:tcPr>
          <w:p>
            <w:pPr>
              <w:jc w:val="right"/>
              <w:ind w:right="314"/>
              <w:spacing w:after="0" w:line="129" w:lineRule="exact"/>
              <w:rPr>
                <w:sz w:val="20"/>
                <w:szCs w:val="20"/>
                <w:color w:val="auto"/>
              </w:rPr>
            </w:pPr>
            <w:r>
              <w:rPr>
                <w:rFonts w:ascii="Times New Roman" w:cs="Times New Roman" w:eastAsia="Times New Roman" w:hAnsi="Times New Roman"/>
                <w:sz w:val="14"/>
                <w:szCs w:val="14"/>
                <w:color w:val="auto"/>
              </w:rPr>
              <w:t>April 1,</w:t>
            </w:r>
          </w:p>
        </w:tc>
      </w:tr>
      <w:tr>
        <w:trPr>
          <w:trHeight w:val="196"/>
        </w:trPr>
        <w:tc>
          <w:tcPr>
            <w:tcW w:w="53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Corporation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5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r>
    </w:tbl>
    <w:p>
      <w:pPr>
        <w:spacing w:after="0" w:line="225" w:lineRule="exact"/>
        <w:rPr>
          <w:sz w:val="20"/>
          <w:szCs w:val="20"/>
          <w:color w:val="auto"/>
        </w:rPr>
      </w:pPr>
    </w:p>
    <w:p>
      <w:pPr>
        <w:ind w:left="340" w:right="120" w:hanging="332"/>
        <w:spacing w:after="0" w:line="312" w:lineRule="auto"/>
        <w:tabs>
          <w:tab w:leader="none" w:pos="33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Boeing Company (“Boeing”), General Dynamics Corporation (“GD”), Northrop Grumman Corporation (“Northrop”), RTX Corporation (“RTX”), Spirit AeroSystems Holdings, Inc. (“Spirit”), and Viasat, Inc. (“Viasat”) for the three months ended March 30, 2024 and April 1, 2023.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Northrop, RTX, Spirit, and Viasat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March 30,</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1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GD, Northrop, RTX, Spirit, and Viasat are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March 30, 2024 of 24.6%, compared to the three months ended April 1, 2023 of 20.3% primarily due to favorable product mix and higher manufacturing volume.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SG&amp;A expenses increased $6.7 million year-over-year in the three months ended March 30, 2024 compared to the three months ended April 1, 2023 primarily due to BLR SG&amp;A expenses of $5.5 million which did not exist in the prior year period, and higher stock-based compensation expense of $1.0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Restructuring charges decreased $2.8 million year-over-year in the three months ended March 30, 2024, compared to the three months ended April 1, 2023, primarily due to the winding down of the previously disclosed restructuring plan that was approved and commenced in April 2022. See Note 3 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Interest expense decreased $0.3 million year-over-year in the three months ended March 30, 2024 compared to the three months ended April 1, 2023, primarily due to the interest rate swaps became effective as of January 1, 2024, partially offset by a higher debt balance during the three months ended March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$1.9 million for the three months ended March 30, 2024 compared to $0.8 million for the three months ended April 1, 2023. The increase in income tax expense for the first quarter of 2024 compared to the first quarter of 2023 was primarily due to higher pre-tax income in the first quarter of 2024 compared to the first quarter of 2023 and higher discrete income tax expense recognized in the first quarter of 2024 related to stock-based compensation.</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$4.6 million and $4.5 million as of March 30, 2024 and December 31, 2023, respectively. If recognized, $2.8 million would affect the effective tax rate. We record interest and penalty charges, if any, related to uncertain tax positions as a component of tax expense and unrecognized tax benefits. The amounts accrued for interest and penalty charges as of March 30, 2024 and December 31, 2023 were not significant. As a result of statute of limitations set to expire in the fourth quarter of 2024, we expect decreases to our unrecognized tax benefits of approximately $1.0 million in the next twelve months.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income and earnings per share for the three months ended March 30, 2024 were $6.8 million, or 3.6% of revenues, or $0.46 per diluted share, compared to $5.2 million, or 2.9% of revenues, or $0.42 per diluted share, for the three months ended April 1, 2023. The increase in net income for the three months ended March 30, 2024 compared to the three months ended April 1, 2023 was primarily due to higher gross profit of $10.2 million and lower restructuring charges of $2.8 million, partially offset by higher SG&amp;A expenses of $6.7 million and lower other income of $3.9 million. The higher SG&amp;A expenses were primarily due to BLR SG&amp;A expenses of $5.5 million which did not exist in the prior year period as the acquisition of BLR was completed during the three months ended July 1, 2023.</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17"/>
          <w:szCs w:val="17"/>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months ended March 30, 2024 and April 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460" w:type="dxa"/>
            <w:vAlign w:val="bottom"/>
          </w:tcPr>
          <w:p>
            <w:pPr>
              <w:spacing w:after="0"/>
              <w:rPr>
                <w:sz w:val="15"/>
                <w:szCs w:val="15"/>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5"/>
                <w:szCs w:val="15"/>
                <w:color w:val="auto"/>
              </w:rPr>
            </w:pPr>
          </w:p>
        </w:tc>
        <w:tc>
          <w:tcPr>
            <w:tcW w:w="20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 of Net Revenues</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March 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April 1,</w:t>
            </w:r>
          </w:p>
        </w:tc>
        <w:tc>
          <w:tcPr>
            <w:tcW w:w="100" w:type="dxa"/>
            <w:vAlign w:val="bottom"/>
          </w:tcPr>
          <w:p>
            <w:pPr>
              <w:spacing w:after="0"/>
              <w:rPr>
                <w:sz w:val="12"/>
                <w:szCs w:val="12"/>
                <w:color w:val="auto"/>
              </w:rPr>
            </w:pPr>
          </w:p>
        </w:tc>
        <w:tc>
          <w:tcPr>
            <w:tcW w:w="1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March 30,</w:t>
            </w:r>
          </w:p>
        </w:tc>
        <w:tc>
          <w:tcPr>
            <w:tcW w:w="9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April 1,</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9"/>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56.3 %</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0" w:type="dxa"/>
            <w:vAlign w:val="bottom"/>
          </w:tcPr>
          <w:p>
            <w:pPr>
              <w:spacing w:after="0"/>
              <w:rPr>
                <w:sz w:val="1"/>
                <w:szCs w:val="1"/>
                <w:color w:val="auto"/>
              </w:rPr>
            </w:pPr>
          </w:p>
        </w:tc>
      </w:tr>
      <w:tr>
        <w:trPr>
          <w:trHeight w:val="196"/>
        </w:trPr>
        <w:tc>
          <w:tcPr>
            <w:tcW w:w="6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Net 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181,191</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18"/>
                <w:szCs w:val="18"/>
                <w:color w:val="auto"/>
                <w:vertAlign w:val="superscript"/>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6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Operating Income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8"/>
                <w:szCs w:val="18"/>
                <w:color w:val="auto"/>
                <w:vertAlign w:val="superscript"/>
              </w:rPr>
              <w:t>(2)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95"/>
        </w:trPr>
        <w:tc>
          <w:tcPr>
            <w:tcW w:w="6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8"/>
                <w:szCs w:val="18"/>
                <w:color w:val="auto"/>
                <w:vertAlign w:val="superscript"/>
              </w:rPr>
              <w:t>(3)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Guaymas fire related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Inventory Purchase Accounting Adjustments</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0" w:type="dxa"/>
            <w:vAlign w:val="bottom"/>
          </w:tcPr>
          <w:p>
            <w:pPr>
              <w:spacing w:after="0"/>
              <w:rPr>
                <w:sz w:val="1"/>
                <w:szCs w:val="1"/>
                <w:color w:val="auto"/>
              </w:rPr>
            </w:pPr>
          </w:p>
        </w:tc>
      </w:tr>
      <w:tr>
        <w:trPr>
          <w:trHeight w:val="203"/>
        </w:trPr>
        <w:tc>
          <w:tcPr>
            <w:tcW w:w="646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18"/>
                <w:szCs w:val="18"/>
                <w:color w:val="auto"/>
                <w:vertAlign w:val="superscript"/>
              </w:rPr>
              <w:t>(1)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Loss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8"/>
                <w:szCs w:val="18"/>
                <w:color w:val="auto"/>
                <w:vertAlign w:val="superscript"/>
              </w:rPr>
              <w:t>(4)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Adjusted EBITDA</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Administration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63" w:lineRule="exact"/>
        <w:rPr>
          <w:rFonts w:ascii="Times New Roman" w:cs="Times New Roman" w:eastAsia="Times New Roman" w:hAnsi="Times New Roman"/>
          <w:sz w:val="18"/>
          <w:szCs w:val="18"/>
          <w:color w:val="auto"/>
        </w:rPr>
      </w:pPr>
    </w:p>
    <w:p>
      <w:pPr>
        <w:ind w:left="580" w:right="180" w:hanging="329"/>
        <w:spacing w:after="0" w:line="281" w:lineRule="auto"/>
        <w:tabs>
          <w:tab w:leader="none" w:pos="5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30, 2024 and April 1, 2023 both included less than $0.1 million of stock-based compensation expense recorded as cost of sales.</w:t>
      </w:r>
    </w:p>
    <w:p>
      <w:pPr>
        <w:spacing w:after="0" w:line="1" w:lineRule="exact"/>
        <w:rPr>
          <w:rFonts w:ascii="Times New Roman" w:cs="Times New Roman" w:eastAsia="Times New Roman" w:hAnsi="Times New Roman"/>
          <w:sz w:val="18"/>
          <w:szCs w:val="18"/>
          <w:color w:val="auto"/>
        </w:rPr>
      </w:pPr>
    </w:p>
    <w:p>
      <w:pPr>
        <w:ind w:left="580" w:right="320" w:hanging="329"/>
        <w:spacing w:after="0" w:line="281" w:lineRule="auto"/>
        <w:tabs>
          <w:tab w:leader="none" w:pos="5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30, 2024 and April 1, 2023 both included $0.1 million of stock-based compensation expense recorded as cost of sales.</w:t>
      </w:r>
    </w:p>
    <w:p>
      <w:pPr>
        <w:spacing w:after="0" w:line="1" w:lineRule="exact"/>
        <w:rPr>
          <w:rFonts w:ascii="Times New Roman" w:cs="Times New Roman" w:eastAsia="Times New Roman" w:hAnsi="Times New Roman"/>
          <w:sz w:val="18"/>
          <w:szCs w:val="18"/>
          <w:color w:val="auto"/>
        </w:rPr>
      </w:pPr>
    </w:p>
    <w:p>
      <w:pPr>
        <w:ind w:left="580" w:right="480" w:hanging="329"/>
        <w:spacing w:after="0" w:line="282" w:lineRule="auto"/>
        <w:tabs>
          <w:tab w:leader="none" w:pos="5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30, 2024 and April 1, 2023 included $1.4 million and $0.4 million, respectively, of stock-based compensation expense for awards with both performance and market conditions that will be settled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9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March 30, 2024 compared to the three months ended April 1, 2023 increased $1.9 million primarily due to the following:</w:t>
      </w:r>
    </w:p>
    <w:p>
      <w:pPr>
        <w:spacing w:after="0" w:line="4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higher revenues in our commercial aerospace end-use markets due to higher rates on large aircraft platforms; partially offset by</w:t>
      </w:r>
    </w:p>
    <w:p>
      <w:pPr>
        <w:spacing w:after="0" w:line="10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lower revenues in our military and space end-use markets due to lower rates on fixed-wing aircraft platforms, partially offset by higher rates on various missile and naval platforms.</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March 30, 2024 compared to the three months ended April 1, 2023 increased $9.0 million primarily due to higher manufacturing volume, favorable product mix, and lower restructuring charges.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March 30, 2024 compared to the three months ended April 1, 2023 increased $7.7 million primarily due to the following:</w:t>
      </w:r>
    </w:p>
    <w:p>
      <w:pPr>
        <w:spacing w:after="0" w:line="27" w:lineRule="exact"/>
        <w:rPr>
          <w:sz w:val="20"/>
          <w:szCs w:val="20"/>
          <w:color w:val="auto"/>
        </w:rPr>
      </w:pPr>
    </w:p>
    <w:p>
      <w:pPr>
        <w:ind w:left="660" w:right="6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higher revenues in our commercial aerospace end-use markets due to higher rates on rotary-wing and large aircraft platforms, partially offset by lower rates on other commercial platforms;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higher revenues in our military and space end-use markets due to higher rates on fixed-wing and rotary-wing platforms, partially offset by lower rates on missile platforms.</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March 30, 2024 compared to the three months ended April 1, 2023 decreased $1.9 million primarily due to higher costs associated with the wind down of our Monrovia performance center, partially offset by favorable product mix and lower restructuring charges.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2023, we acquired 100.0% of BLR Aerospace L.L.C. (“BLR”). The initial purchase price for BLR was $115.0 million, net of cash acquired, all payable in cash. We paid a gross aggregate of $117.0 million in cash upon the closing of the transaction. BLR’s results of operations have been included in our condensed consolidated statements of income since the date of acquisition and is a part of the Structural Systems segment. See Note 2 to our condensed consolidated financial statements included in Part I, Item 1 of this Form 10-Q for further information.</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absorbed by our other existing performance centers, however, we have reestablished and are in the process of certification with various customers and ramping up our manufacturing capabilities in a different leased facility in Guaymas. A neighboring, non-related manufacturing facility, also suffered fire damage during the same time as the fire that severely damaged our Guaymas performance center. As responsibility for the fire is still undetermined,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12 to our condensed consolidated financial statements included in Part I, Item 1 of this Form 10-Q.</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during the three months ended July 1, 2023. See Note 12 to our condensed consolidated financial statements included in Part I, Item 1 of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CG&amp;A expenses increased $0.8 million for the three months ended March 30, 2024 compared to the three months ended April 1, 2023 primarily due to higher stock-based compensation expense of $1.0 million and higher compensation and benefits costs of $0.6 million, partially offset by lower professional services fees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Guaymas fire related expenses, insurance recoveries related to loss on operating assets, and inventory purchase accounting adjustments (“Adjusted EBITDA”) were $27.4 million and $23.1 million for the three months ended March 30, 2024 and April 1, 2023, respectively.</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7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right="48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loss on operating assets (property and equipment, inventories, and other assets) may be useful to our investors in evaluating our core operating performance; and</w:t>
      </w:r>
    </w:p>
    <w:p>
      <w:pPr>
        <w:spacing w:after="0" w:line="53"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30,</w:t>
            </w:r>
          </w:p>
        </w:tc>
        <w:tc>
          <w:tcPr>
            <w:tcW w:w="240" w:type="dxa"/>
            <w:vAlign w:val="bottom"/>
          </w:tcPr>
          <w:p>
            <w:pPr>
              <w:spacing w:after="0"/>
              <w:rPr>
                <w:sz w:val="14"/>
                <w:szCs w:val="14"/>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April 1,</w:t>
            </w:r>
          </w:p>
        </w:tc>
      </w:tr>
      <w:tr>
        <w:trPr>
          <w:trHeight w:val="193"/>
        </w:trPr>
        <w:tc>
          <w:tcPr>
            <w:tcW w:w="7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5,231</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4,219</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3,740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4,249</w:t>
            </w:r>
          </w:p>
        </w:tc>
      </w:tr>
      <w:tr>
        <w:trPr>
          <w:trHeight w:val="229"/>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3,081</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4,170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2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loss on operating assets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(3,886)</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27,394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23,080</w:t>
            </w: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as a % of net revenues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as a % of net revenues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184" w:lineRule="exact"/>
        <w:rPr>
          <w:sz w:val="20"/>
          <w:szCs w:val="20"/>
          <w:color w:val="auto"/>
        </w:rPr>
      </w:pPr>
    </w:p>
    <w:p>
      <w:pPr>
        <w:ind w:left="260" w:right="160" w:hanging="252"/>
        <w:spacing w:after="0" w:line="266" w:lineRule="auto"/>
        <w:tabs>
          <w:tab w:leader="none" w:pos="2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30, 2024 and April 1, 2023 included $1.4 million and $0.4 million, respectively, of stock-based compensation expense for awards with both performance and market conditions that will be settled in cash. The three months ended March 30, 2024 and April 1, 2023 included less than $0.1 million and $0.1 million, respectively, of stock-based compensation expense recorded as cost of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increase in backlog was primarily in the military and space end-use markets and commercial aerospace end-use markets. $672.0 million of total backlog is expected to be delivered over the next 12 months. The following table summarizes our backlog as of March 30, 2024 and December 31,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March 30,</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93"/>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569,002</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527,143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320" w:type="dxa"/>
            <w:vAlign w:val="bottom"/>
          </w:tcPr>
          <w:p>
            <w:pPr>
              <w:spacing w:after="0"/>
              <w:rPr>
                <w:sz w:val="17"/>
                <w:szCs w:val="17"/>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3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8"/>
              </w:rPr>
              <w:t>264.4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266.0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interest rate</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8"/>
              </w:rPr>
              <w:t>176.0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176.0</w:t>
            </w:r>
          </w:p>
        </w:tc>
      </w:tr>
    </w:tbl>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represent our new credit facilities (“2022 Credit Facilities”). In conjunction with the closing of the 2022 Credit Facilities, we utilized the entire $250.0 million of proceeds from the 2022 Term Loan plus our existing cash on hand to pay off our entire debt balance outstanding of $254.2 million under our prior credit facilities. At the same leverage ratio, the interest rate spread in the 2022 Credit Facilities is lower than the interest rate spread under our prior credit facilities.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Further,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 As of March 30, 2024, we were in compliance with all covenants required under the 2022 Credit Facilities. See Note 8 to our condensed consolidated financial statements included in Part I, Item 1 of this Form 10-Q for further information.</w:t>
      </w:r>
    </w:p>
    <w:p>
      <w:pPr>
        <w:spacing w:after="0" w:line="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made the mandatory quarterly amortization payments under our existing term loan of $1.6 million during both three months ended March 30, 2024 and April 1, 2023. We made no voluntary prepayments on our term loans during both three months ended March 30, 2024 and April 1, 2023.</w:t>
      </w:r>
    </w:p>
    <w:p>
      <w:pPr>
        <w:spacing w:after="0" w:line="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March 30, 2024, we estimate the remaining amount of charges related to this initiative will be $4.0 million to $6.0 million in total pre-tax restructuring charges through 2024. Of these charges, we estimate $3.5 million to $5.0 million to be cash payments for employee separation and other facility consolidation related expenses, and $0.5 million to $1.0 million to be non-cash charges for impairment of long-lived assets. The restructuring accrual for severance and benefits of $4.5 million as of March 30, 2024 are expected to be paid out through 2024. On an annualized basis, we anticipate these restructuring actions will result in total cost savings of $11.0 million to $13.0 million. See Note 3 to our condensed consolidated financial statements included in Part I, Item 1 of this Form 10-Q for further information.</w:t>
      </w:r>
    </w:p>
    <w:p>
      <w:pPr>
        <w:spacing w:after="0" w:line="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Note 4, and Note 8 to our condensed consolidated financial statements included in Part I, Item 1 of this Form 10-Q for further information.</w:t>
      </w:r>
    </w:p>
    <w:p>
      <w:pPr>
        <w:spacing w:after="0" w:line="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Note 4, and Note 8 to our condensed consolidated financial statements included in Part I, Item 1 of this Form 10-Q for further information.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to our condensed consolidated financial statements included in Part I, Item 1 of this Form 10-Q for further information.</w:t>
      </w:r>
    </w:p>
    <w:p>
      <w:pPr>
        <w:spacing w:after="0" w:line="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The public stock offering net proceeds along with cash on hand were used to pay down $85.2 million on the 2022 Revolving Credit Facility that was drawn on and utilized to complete the acquisition of BLR. See Note 2, Note 8, and Note 9 to our condensed consolidated financial statements included in Part I, Item 1 of this Form 10-Q for further information.</w:t>
      </w:r>
    </w:p>
    <w:p>
      <w:pPr>
        <w:spacing w:after="0" w:line="5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expect to spend a total of $23.0 million to $25.0 million for capital expenditures in 2024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30, 2024 was $1.6 million, compared to $18.9 million for the three months ended April 1, 2023. The lower net cash used in operating activities during the first three months of 2024 was mainly due to a smaller increase in inventories and higher contract liabilities, partially offset by higher contract assets.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$5.0 million for the three months ended March 30, 2024, compared to $5.4 million in the three months ended April 1, 2023. The lower net cash used in investing activities during the first three months of 2024 compared to the prior year period was due to lower purchases of property and equipment.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$4.2 million for the three months ended March 30, 2024, compared to a net cash used in financing activities of $4.8 million for the three months ended April 1, 2023. The lower net cash used in financing activities during the first three months of 2024 was mainly due to lower net cash paid upon issuance of common stock under stock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2023 Annual Report on Form 10-K. There have been no material changes in any of our critical accounting policies during the three months ended March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interest rates on our outstanding long-term debt. At March 30, 2024, we had total borrowings of $264.4 million under our 2022 Credit Facilities.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4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as of March 30, 2024. The Company had previously reported a material weakness in internal control over financial reporting related to not designing and maintaining effective controls over the accuracy of contract terms and the reasonableness of gross margin assumptions used to recognize revenue. Specifically, the Company did not verify that amendments to purchase orders and gross margin percentage assumptions used in the Company’s revenue recognition analysis were properly reviewed at a sufficient level of precision, which was described in Item 9A in the Management’s Report on Internal Control Over Financial Reporting in the Company’s Annual Report on Form 10-K for the year ended December 31, 2023. As a result of the material weakness in the Company’s internal control over financial reporting, which was not remediated as of March 30, 2024, the CEO and CFO concluded the Company’s disclosure controls and procedures were not effective as of March 30,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implemented remediation steps to address the material weakness described above to improve our internal control over verification of amendments to purchase orders and the gross margin percentage assumptions used to recognize revenue.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taken:</w:t>
      </w:r>
    </w:p>
    <w:p>
      <w:pPr>
        <w:spacing w:after="0" w:line="104" w:lineRule="exact"/>
        <w:rPr>
          <w:sz w:val="20"/>
          <w:szCs w:val="20"/>
          <w:color w:val="auto"/>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redesigned our existing controls to expand the selection criteria for contracts requiring an estimate at completion (“EAC”) analysis to support the gross margin percentage used for revenue recognition.</w:t>
      </w:r>
    </w:p>
    <w:p>
      <w:pPr>
        <w:spacing w:after="0" w:line="2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rigor and review of the EAC process, including standardization of the analysis and related documentation and verification of the contract value utilized to the underlying customer purchase order.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additional analytical procedures to ensure the accuracy of gross margin assumptions.</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significant progress has been made to enhance our internal control over financial reporting relating to the material weakness, additional time will be required to assess and ensure the sustainability of these processes and procedures. We expect to complete the assessment and ensure sustainability of these processes and procedures during 2024, however, we cannot make any assurances that such actions will be completed during 2024. Until the remediation steps set forth above are fully implemented and concluded to be operating effectively, the material weakness described above will continue to exist.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otherwise discussed above under “Remediation of Material Weakness,” there were no other changes in our internal control over financial reporting during the three months ended March 30, 2024 that have materially affected, or are reasonably likely to materially affect, our internal control over financial reporting.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our condensed consolidated financial statements included in Part I, Item 1 of this Form 10-Q for a description of our legal proceedings.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2023 for a discussion of our risk factors. Other than the risk factor below, there have been no material changes during the three months ended March 30, 2024 to the risk factors disclosed in our Form 10-K for the year ended December 31,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sz w:val="20"/>
          <w:szCs w:val="20"/>
          <w:color w:val="auto"/>
        </w:rPr>
      </w:pPr>
    </w:p>
    <w:p>
      <w:pPr>
        <w:ind w:left="340" w:right="260" w:hanging="323"/>
        <w:spacing w:after="0" w:line="282"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3.3 Amended and Restated Bylaws of Ducommun Incorporated, dated as of November 4, 2022. Incorporated by reference to Exhibit 3.3 to Form 10-K for</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the year ended December 31, 2022.</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*10.1 2024 Employee Stock Incentive Plan. Incorporated by reference to Exhibit 10.1 to Form 8-K filed on April 25, 2024.</w:t>
        </w:r>
      </w:hyperlink>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 Certification of Principal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 Certification of Principal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90"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101.INS</w:t>
        <w:tab/>
        <w:t>Inline XBRL Instance Document with Embedded Linkbase Documents - the instance document does not appear in the Interactive Data File because its XBRL tags are embedded within the Inline XBRL</w:t>
      </w:r>
    </w:p>
    <w:p>
      <w:pPr>
        <w:spacing w:after="0" w:line="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DUCOMMUN INCORPORATED</w:t>
            </w:r>
          </w:p>
        </w:tc>
      </w:tr>
      <w:tr>
        <w:trPr>
          <w:trHeight w:val="228"/>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7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0"/>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r>
      <w:tr>
        <w:trPr>
          <w:trHeight w:val="229"/>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117" w:right="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March 30, 2024;</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March 30, 2024;</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March 30, 2024,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March 30, 2024, as filed with the Securities and Exchange Commission on the date hereof (the “Report”), I, Suman B. Mookerji, Senior Vice President,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0" Type="http://schemas.openxmlformats.org/officeDocument/2006/relationships/hyperlink" Target="https://www.sec.gov/Archives/edgar/data/30305/0000892569-99-000620-index.html" TargetMode="External"/><Relationship Id="rId51" Type="http://schemas.openxmlformats.org/officeDocument/2006/relationships/hyperlink" Target="https://www.sec.gov/Archives/edgar/data/30305/000162828023003810/dco10-k2022_ex3x3xbylaws.htm" TargetMode="External"/><Relationship Id="rId52" Type="http://schemas.openxmlformats.org/officeDocument/2006/relationships/hyperlink" Target="https://www.sec.gov/Archives/edgar/data/30305/000119312524114064/d8208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2024-05-08T05:44:55Z</dcterms:created>
  <dcterms:modified xsi:type="dcterms:W3CDTF">2024-05-08T05:44:55Z</dcterms:modified>
</cp:coreProperties>
</file>