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4"/>
          <w:szCs w:val="24"/>
          <w:color w:val="auto"/>
        </w:rPr>
      </w:pPr>
    </w:p>
    <w:p>
      <w:pPr>
        <w:spacing w:after="0" w:line="2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4" w:lineRule="exact"/>
        <w:rPr>
          <w:sz w:val="24"/>
          <w:szCs w:val="24"/>
          <w:color w:val="auto"/>
        </w:rPr>
      </w:pPr>
    </w:p>
    <w:p>
      <w:pPr>
        <w:ind w:left="640" w:right="940" w:hanging="614"/>
        <w:spacing w:after="0" w:line="238" w:lineRule="auto"/>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26, 2020</w:t>
      </w:r>
    </w:p>
    <w:p>
      <w:pPr>
        <w:spacing w:after="0" w:line="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40" w:right="92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tbl>
      <w:tblPr>
        <w:tblLayout w:type="fixed"/>
        <w:tblInd w:w="640" w:type="dxa"/>
        <w:tblCellMar>
          <w:top w:w="0" w:type="dxa"/>
          <w:left w:w="0" w:type="dxa"/>
          <w:bottom w:w="0" w:type="dxa"/>
          <w:right w:w="0" w:type="dxa"/>
        </w:tblCellMar>
      </w:tblPr>
      <w:tr>
        <w:trPr>
          <w:trHeight w:val="210"/>
        </w:trPr>
        <w:tc>
          <w:tcPr>
            <w:tcW w:w="7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160" w:type="dxa"/>
            <w:vAlign w:val="bottom"/>
          </w:tcPr>
          <w:p>
            <w:pPr>
              <w:spacing w:after="0"/>
              <w:rPr>
                <w:sz w:val="18"/>
                <w:szCs w:val="18"/>
                <w:color w:val="auto"/>
              </w:rPr>
            </w:pPr>
          </w:p>
        </w:tc>
      </w:tr>
      <w:tr>
        <w:trPr>
          <w:trHeight w:val="251"/>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6"/>
        </w:trPr>
        <w:tc>
          <w:tcPr>
            <w:tcW w:w="7360" w:type="dxa"/>
            <w:vAlign w:val="bottom"/>
          </w:tcPr>
          <w:p>
            <w:pPr>
              <w:jc w:val="center"/>
              <w:ind w:right="2921"/>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9"/>
              </w:rPr>
              <w:t>200 Sandpointe Avenue, Suite 700, Santa Ana, California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92707-5759</w:t>
            </w:r>
          </w:p>
        </w:tc>
      </w:tr>
      <w:tr>
        <w:trPr>
          <w:trHeight w:val="190"/>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335-3665</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20"/>
          </w:cols>
          <w:pgMar w:left="320" w:top="225" w:right="359" w:bottom="1440" w:gutter="0" w:footer="0" w:header="0"/>
        </w:sectPr>
      </w:pPr>
    </w:p>
    <w:p>
      <w:pPr>
        <w:spacing w:after="0" w:line="4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0" w:lineRule="exact"/>
        <w:rPr>
          <w:sz w:val="24"/>
          <w:szCs w:val="24"/>
          <w:color w:val="auto"/>
        </w:rPr>
      </w:pPr>
    </w:p>
    <w:p>
      <w:pPr>
        <w:sectPr>
          <w:pgSz w:w="11900" w:h="16838" w:orient="portrait"/>
          <w:cols w:equalWidth="0" w:num="3">
            <w:col w:w="4580" w:space="720"/>
            <w:col w:w="1740" w:space="720"/>
            <w:col w:w="3460"/>
          </w:cols>
          <w:pgMar w:left="320" w:top="225" w:right="35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DCO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York Stock Exchange</w:t>
      </w:r>
    </w:p>
    <w:p>
      <w:pPr>
        <w:spacing w:after="0" w:line="150" w:lineRule="exact"/>
        <w:rPr>
          <w:sz w:val="24"/>
          <w:szCs w:val="24"/>
          <w:color w:val="auto"/>
        </w:rPr>
      </w:pPr>
    </w:p>
    <w:p>
      <w:pPr>
        <w:sectPr>
          <w:pgSz w:w="11900" w:h="16838" w:orient="portrait"/>
          <w:cols w:equalWidth="0" w:num="3">
            <w:col w:w="4960" w:space="720"/>
            <w:col w:w="1680" w:space="720"/>
            <w:col w:w="3140"/>
          </w:cols>
          <w:pgMar w:left="320" w:top="225" w:right="359" w:bottom="1440" w:gutter="0" w:footer="0" w:header="0"/>
          <w:type w:val="continuous"/>
        </w:sect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68" w:lineRule="exact"/>
        <w:rPr>
          <w:sz w:val="24"/>
          <w:szCs w:val="24"/>
          <w:color w:val="auto"/>
        </w:rPr>
      </w:pPr>
    </w:p>
    <w:p>
      <w:pPr>
        <w:ind w:right="28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 w:lineRule="exact"/>
        <w:rPr>
          <w:sz w:val="24"/>
          <w:szCs w:val="24"/>
          <w:color w:val="auto"/>
        </w:rPr>
      </w:pPr>
    </w:p>
    <w:p>
      <w:pPr>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Yes </w:t>
      </w:r>
      <w:r>
        <w:rPr>
          <w:rFonts w:ascii="Arial" w:cs="Arial" w:eastAsia="Arial" w:hAnsi="Arial"/>
          <w:sz w:val="21"/>
          <w:szCs w:val="2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 w:lineRule="exact"/>
        <w:rPr>
          <w:sz w:val="24"/>
          <w:szCs w:val="24"/>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14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ind w:right="17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21"/>
          <w:szCs w:val="21"/>
          <w:color w:val="auto"/>
        </w:rPr>
        <w:t>x</w:t>
      </w:r>
      <w:r>
        <w:rPr>
          <w:rFonts w:ascii="Times New Roman" w:cs="Times New Roman" w:eastAsia="Times New Roman" w:hAnsi="Times New Roman"/>
          <w:sz w:val="18"/>
          <w:szCs w:val="18"/>
          <w:color w:val="auto"/>
        </w:rPr>
        <w:t xml:space="preserve"> As of October 20, 2020, the registrant had 11,714,590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16"/>
        </w:trPr>
        <w:tc>
          <w:tcPr>
            <w:tcW w:w="9700" w:type="dxa"/>
            <w:vAlign w:val="bottom"/>
            <w:gridSpan w:val="10"/>
          </w:tcPr>
          <w:p>
            <w:pPr>
              <w:spacing w:after="0"/>
              <w:rPr>
                <w:rFonts w:ascii="Times New Roman" w:cs="Times New Roman" w:eastAsia="Times New Roman" w:hAnsi="Times New Roman"/>
                <w:sz w:val="18"/>
                <w:szCs w:val="18"/>
                <w:b w:val="1"/>
                <w:bCs w:val="1"/>
                <w:color w:val="0000FF"/>
              </w:rPr>
            </w:pPr>
            <w:hyperlink w:anchor="page2">
              <w:r>
                <w:rPr>
                  <w:rFonts w:ascii="Times New Roman" w:cs="Times New Roman" w:eastAsia="Times New Roman" w:hAnsi="Times New Roman"/>
                  <w:sz w:val="18"/>
                  <w:szCs w:val="18"/>
                  <w:b w:val="1"/>
                  <w:bCs w:val="1"/>
                  <w:u w:val="single" w:color="auto"/>
                  <w:color w:val="0000FF"/>
                </w:rPr>
                <w:t>PART I</w:t>
              </w:r>
            </w:hyperlink>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FINANCIAL INFORMATION</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620" w:type="dxa"/>
            <w:vAlign w:val="bottom"/>
            <w:gridSpan w:val="9"/>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Financial Statements (unaudited)</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8620" w:type="dxa"/>
            <w:vAlign w:val="bottom"/>
            <w:gridSpan w:val="9"/>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Balance Sheets as of September 26, 2020 and December 31, 2019</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8620" w:type="dxa"/>
            <w:vAlign w:val="bottom"/>
            <w:gridSpan w:val="9"/>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Condensed Consolidated Statements of Income for the Three Months and Nine Months Ended September 26, 2020 and</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September 28, 2019</w:t>
              </w:r>
            </w:hyperlink>
          </w:p>
        </w:tc>
        <w:tc>
          <w:tcPr>
            <w:tcW w:w="712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8620" w:type="dxa"/>
            <w:vAlign w:val="bottom"/>
            <w:gridSpan w:val="9"/>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Statements of Comprehensive Income for the Three Months and Nine Months Ended</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96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September 26, 2020 and September 28, 2019</w:t>
              </w:r>
            </w:hyperlink>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spacing w:after="0"/>
              <w:rPr>
                <w:sz w:val="22"/>
                <w:szCs w:val="22"/>
                <w:color w:val="auto"/>
              </w:rPr>
            </w:pPr>
          </w:p>
        </w:tc>
        <w:tc>
          <w:tcPr>
            <w:tcW w:w="8620" w:type="dxa"/>
            <w:vAlign w:val="bottom"/>
            <w:gridSpan w:val="9"/>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Condensed Consolidated Statements of Changes in Shareholders’ Equity for the Three Months and Nine Months</w:t>
              </w:r>
            </w:hyperlink>
          </w:p>
        </w:tc>
        <w:tc>
          <w:tcPr>
            <w:tcW w:w="152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81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Ended September 26, 2020 and September 28, 2019</w:t>
              </w:r>
            </w:hyperlink>
          </w:p>
        </w:tc>
        <w:tc>
          <w:tcPr>
            <w:tcW w:w="2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spacing w:after="0"/>
              <w:rPr>
                <w:sz w:val="22"/>
                <w:szCs w:val="22"/>
                <w:color w:val="auto"/>
              </w:rPr>
            </w:pPr>
          </w:p>
        </w:tc>
        <w:tc>
          <w:tcPr>
            <w:tcW w:w="8620" w:type="dxa"/>
            <w:vAlign w:val="bottom"/>
            <w:gridSpan w:val="9"/>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Cash Flows for the Nine Months Ended September 26, 2020 and September</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w:anchor="page6">
              <w:r>
                <w:rPr>
                  <w:rFonts w:ascii="Times New Roman" w:cs="Times New Roman" w:eastAsia="Times New Roman" w:hAnsi="Times New Roman"/>
                  <w:sz w:val="18"/>
                  <w:szCs w:val="18"/>
                  <w:color w:val="0000FF"/>
                  <w:w w:val="98"/>
                </w:rPr>
                <w:t>28, 2019</w:t>
              </w:r>
            </w:hyperlink>
          </w:p>
        </w:tc>
        <w:tc>
          <w:tcPr>
            <w:tcW w:w="82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8620" w:type="dxa"/>
            <w:vAlign w:val="bottom"/>
            <w:gridSpan w:val="9"/>
          </w:tcPr>
          <w:p>
            <w:pP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Notes to Condensed Consolidated Financial Statements</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8</w:t>
              </w:r>
            </w:hyperlink>
          </w:p>
        </w:tc>
        <w:tc>
          <w:tcPr>
            <w:tcW w:w="0" w:type="dxa"/>
            <w:vAlign w:val="bottom"/>
          </w:tcPr>
          <w:p>
            <w:pPr>
              <w:spacing w:after="0"/>
              <w:rPr>
                <w:sz w:val="1"/>
                <w:szCs w:val="1"/>
                <w:color w:val="auto"/>
              </w:rPr>
            </w:pPr>
          </w:p>
        </w:tc>
      </w:tr>
      <w:tr>
        <w:trPr>
          <w:trHeight w:val="283"/>
        </w:trPr>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620" w:type="dxa"/>
            <w:vAlign w:val="bottom"/>
            <w:gridSpan w:val="9"/>
          </w:tcPr>
          <w:p>
            <w:pPr>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22</w:t>
              </w:r>
            </w:hyperlink>
          </w:p>
        </w:tc>
        <w:tc>
          <w:tcPr>
            <w:tcW w:w="0" w:type="dxa"/>
            <w:vAlign w:val="bottom"/>
          </w:tcPr>
          <w:p>
            <w:pPr>
              <w:spacing w:after="0"/>
              <w:rPr>
                <w:sz w:val="1"/>
                <w:szCs w:val="1"/>
                <w:color w:val="auto"/>
              </w:rPr>
            </w:pPr>
          </w:p>
        </w:tc>
      </w:tr>
      <w:tr>
        <w:trPr>
          <w:trHeight w:val="283"/>
        </w:trPr>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8620" w:type="dxa"/>
            <w:vAlign w:val="bottom"/>
            <w:gridSpan w:val="9"/>
          </w:tcPr>
          <w:p>
            <w:pPr>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Quantitative and Qualitative Disclosures About Market Risk</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33</w:t>
              </w:r>
            </w:hyperlink>
          </w:p>
        </w:tc>
        <w:tc>
          <w:tcPr>
            <w:tcW w:w="0" w:type="dxa"/>
            <w:vAlign w:val="bottom"/>
          </w:tcPr>
          <w:p>
            <w:pPr>
              <w:spacing w:after="0"/>
              <w:rPr>
                <w:sz w:val="1"/>
                <w:szCs w:val="1"/>
                <w:color w:val="auto"/>
              </w:rPr>
            </w:pPr>
          </w:p>
        </w:tc>
      </w:tr>
      <w:tr>
        <w:trPr>
          <w:trHeight w:val="283"/>
        </w:trPr>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8620" w:type="dxa"/>
            <w:vAlign w:val="bottom"/>
            <w:gridSpan w:val="9"/>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Controls and Procedures</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c>
          <w:tcPr>
            <w:tcW w:w="0" w:type="dxa"/>
            <w:vAlign w:val="bottom"/>
          </w:tcPr>
          <w:p>
            <w:pPr>
              <w:spacing w:after="0"/>
              <w:rPr>
                <w:sz w:val="1"/>
                <w:szCs w:val="1"/>
                <w:color w:val="auto"/>
              </w:rPr>
            </w:pPr>
          </w:p>
        </w:tc>
      </w:tr>
      <w:tr>
        <w:trPr>
          <w:trHeight w:val="283"/>
        </w:trPr>
        <w:tc>
          <w:tcPr>
            <w:tcW w:w="9700" w:type="dxa"/>
            <w:vAlign w:val="bottom"/>
            <w:gridSpan w:val="10"/>
          </w:tcPr>
          <w:p>
            <w:pPr>
              <w:spacing w:after="0"/>
              <w:rPr>
                <w:rFonts w:ascii="Times New Roman" w:cs="Times New Roman" w:eastAsia="Times New Roman" w:hAnsi="Times New Roman"/>
                <w:sz w:val="18"/>
                <w:szCs w:val="18"/>
                <w:b w:val="1"/>
                <w:bCs w:val="1"/>
                <w:color w:val="0000FF"/>
              </w:rPr>
            </w:pPr>
            <w:hyperlink w:anchor="page34">
              <w:r>
                <w:rPr>
                  <w:rFonts w:ascii="Times New Roman" w:cs="Times New Roman" w:eastAsia="Times New Roman" w:hAnsi="Times New Roman"/>
                  <w:sz w:val="18"/>
                  <w:szCs w:val="18"/>
                  <w:b w:val="1"/>
                  <w:bCs w:val="1"/>
                  <w:u w:val="single" w:color="auto"/>
                  <w:color w:val="0000FF"/>
                </w:rPr>
                <w:t>PART II</w:t>
              </w:r>
            </w:hyperlink>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OTHER INFORMATION</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620" w:type="dxa"/>
            <w:vAlign w:val="bottom"/>
            <w:gridSpan w:val="9"/>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Legal Proceedings</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c>
          <w:tcPr>
            <w:tcW w:w="0" w:type="dxa"/>
            <w:vAlign w:val="bottom"/>
          </w:tcPr>
          <w:p>
            <w:pPr>
              <w:spacing w:after="0"/>
              <w:rPr>
                <w:sz w:val="1"/>
                <w:szCs w:val="1"/>
                <w:color w:val="auto"/>
              </w:rPr>
            </w:pPr>
          </w:p>
        </w:tc>
      </w:tr>
      <w:tr>
        <w:trPr>
          <w:trHeight w:val="284"/>
        </w:trPr>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8620" w:type="dxa"/>
            <w:vAlign w:val="bottom"/>
            <w:gridSpan w:val="9"/>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Risk Factors</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c>
          <w:tcPr>
            <w:tcW w:w="0" w:type="dxa"/>
            <w:vAlign w:val="bottom"/>
          </w:tcPr>
          <w:p>
            <w:pPr>
              <w:spacing w:after="0"/>
              <w:rPr>
                <w:sz w:val="1"/>
                <w:szCs w:val="1"/>
                <w:color w:val="auto"/>
              </w:rPr>
            </w:pPr>
          </w:p>
        </w:tc>
      </w:tr>
      <w:tr>
        <w:trPr>
          <w:trHeight w:val="283"/>
        </w:trPr>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8620" w:type="dxa"/>
            <w:vAlign w:val="bottom"/>
            <w:gridSpan w:val="9"/>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Mine Safety Disclosures</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c>
          <w:tcPr>
            <w:tcW w:w="0" w:type="dxa"/>
            <w:vAlign w:val="bottom"/>
          </w:tcPr>
          <w:p>
            <w:pPr>
              <w:spacing w:after="0"/>
              <w:rPr>
                <w:sz w:val="1"/>
                <w:szCs w:val="1"/>
                <w:color w:val="auto"/>
              </w:rPr>
            </w:pPr>
          </w:p>
        </w:tc>
      </w:tr>
      <w:tr>
        <w:trPr>
          <w:trHeight w:val="283"/>
        </w:trPr>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620" w:type="dxa"/>
            <w:vAlign w:val="bottom"/>
            <w:gridSpan w:val="9"/>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Exhibits</w:t>
              </w:r>
            </w:hyperlink>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35</w:t>
              </w:r>
            </w:hyperlink>
          </w:p>
        </w:tc>
        <w:tc>
          <w:tcPr>
            <w:tcW w:w="0" w:type="dxa"/>
            <w:vAlign w:val="bottom"/>
          </w:tcPr>
          <w:p>
            <w:pPr>
              <w:spacing w:after="0"/>
              <w:rPr>
                <w:sz w:val="1"/>
                <w:szCs w:val="1"/>
                <w:color w:val="auto"/>
              </w:rPr>
            </w:pPr>
          </w:p>
        </w:tc>
      </w:tr>
      <w:tr>
        <w:trPr>
          <w:trHeight w:val="283"/>
        </w:trPr>
        <w:tc>
          <w:tcPr>
            <w:tcW w:w="1080" w:type="dxa"/>
            <w:vAlign w:val="bottom"/>
          </w:tcPr>
          <w:p>
            <w:pPr>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Signatures</w:t>
              </w:r>
            </w:hyperlink>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right"/>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September 26,</w:t>
            </w:r>
          </w:p>
        </w:tc>
        <w:tc>
          <w:tcPr>
            <w:tcW w:w="240" w:type="dxa"/>
            <w:vAlign w:val="bottom"/>
          </w:tcPr>
          <w:p>
            <w:pPr>
              <w:spacing w:after="0"/>
              <w:rPr>
                <w:sz w:val="13"/>
                <w:szCs w:val="13"/>
                <w:color w:val="auto"/>
              </w:rPr>
            </w:pP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39,584</w:t>
            </w:r>
          </w:p>
        </w:tc>
        <w:tc>
          <w:tcPr>
            <w:tcW w:w="0" w:type="dxa"/>
            <w:vAlign w:val="bottom"/>
          </w:tcPr>
          <w:p>
            <w:pPr>
              <w:spacing w:after="0"/>
              <w:rPr>
                <w:sz w:val="1"/>
                <w:szCs w:val="1"/>
                <w:color w:val="auto"/>
              </w:rPr>
            </w:pPr>
          </w:p>
        </w:tc>
      </w:tr>
      <w:tr>
        <w:trPr>
          <w:trHeight w:val="176"/>
        </w:trPr>
        <w:tc>
          <w:tcPr>
            <w:tcW w:w="80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net (allowance for credit losses of $1,423 and $1,321 at September 26, 2020 and</w:t>
            </w: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67,133</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2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106,670</w:t>
            </w: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112,482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340,768</w:t>
            </w: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$169,292 and $162,920 at September 26, 2020</w:t>
            </w: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107,003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115,216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December 31, 2019, respectively</w:t>
            </w:r>
          </w:p>
        </w:tc>
        <w:tc>
          <w:tcPr>
            <w:tcW w:w="2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170,917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790,429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82,597</w:t>
            </w: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3"/>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300,887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497,629</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8, 10)</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11,714,590 and 11,572,668 shares issued</w:t>
            </w: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outstanding at September 26, 2020 and December 31, 2019, respectively</w:t>
            </w:r>
          </w:p>
        </w:tc>
        <w:tc>
          <w:tcPr>
            <w:tcW w:w="2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88,399</w:t>
            </w: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292,800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790,429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6"/>
                <w:szCs w:val="16"/>
                <w:color w:val="auto"/>
              </w:rPr>
            </w:pPr>
          </w:p>
        </w:tc>
        <w:tc>
          <w:tcPr>
            <w:tcW w:w="23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5"/>
        </w:trPr>
        <w:tc>
          <w:tcPr>
            <w:tcW w:w="6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40" w:type="dxa"/>
            <w:vAlign w:val="bottom"/>
          </w:tcPr>
          <w:p>
            <w:pPr>
              <w:spacing w:after="0"/>
              <w:rPr>
                <w:sz w:val="12"/>
                <w:szCs w:val="12"/>
                <w:color w:val="auto"/>
              </w:rPr>
            </w:pPr>
          </w:p>
        </w:tc>
        <w:tc>
          <w:tcPr>
            <w:tcW w:w="11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140" w:type="dxa"/>
            <w:vAlign w:val="bottom"/>
          </w:tcPr>
          <w:p>
            <w:pPr>
              <w:spacing w:after="0"/>
              <w:rPr>
                <w:sz w:val="12"/>
                <w:szCs w:val="12"/>
                <w:color w:val="auto"/>
              </w:rPr>
            </w:pPr>
          </w:p>
        </w:tc>
        <w:tc>
          <w:tcPr>
            <w:tcW w:w="11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40" w:type="dxa"/>
            <w:vAlign w:val="bottom"/>
          </w:tcPr>
          <w:p>
            <w:pPr>
              <w:spacing w:after="0"/>
              <w:rPr>
                <w:sz w:val="12"/>
                <w:szCs w:val="12"/>
                <w:color w:val="auto"/>
              </w:rPr>
            </w:pPr>
          </w:p>
        </w:tc>
        <w:tc>
          <w:tcPr>
            <w:tcW w:w="1040" w:type="dxa"/>
            <w:vAlign w:val="bottom"/>
          </w:tcPr>
          <w:p>
            <w:pPr>
              <w:jc w:val="right"/>
              <w:ind w:right="92"/>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0" w:type="dxa"/>
            <w:vAlign w:val="bottom"/>
          </w:tcPr>
          <w:p>
            <w:pPr>
              <w:spacing w:after="0"/>
              <w:rPr>
                <w:sz w:val="1"/>
                <w:szCs w:val="1"/>
                <w:color w:val="auto"/>
              </w:rPr>
            </w:pPr>
          </w:p>
        </w:tc>
      </w:tr>
      <w:tr>
        <w:trPr>
          <w:trHeight w:val="189"/>
        </w:trPr>
        <w:tc>
          <w:tcPr>
            <w:tcW w:w="6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534,162</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422,076</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112,086</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71,031</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41,055</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27,915</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23,590</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6"/>
                <w:szCs w:val="16"/>
                <w:color w:val="auto"/>
              </w:rPr>
            </w:pPr>
          </w:p>
        </w:tc>
        <w:tc>
          <w:tcPr>
            <w:tcW w:w="23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5"/>
        </w:trPr>
        <w:tc>
          <w:tcPr>
            <w:tcW w:w="6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40" w:type="dxa"/>
            <w:vAlign w:val="bottom"/>
          </w:tcPr>
          <w:p>
            <w:pPr>
              <w:spacing w:after="0"/>
              <w:rPr>
                <w:sz w:val="12"/>
                <w:szCs w:val="12"/>
                <w:color w:val="auto"/>
              </w:rPr>
            </w:pPr>
          </w:p>
        </w:tc>
        <w:tc>
          <w:tcPr>
            <w:tcW w:w="11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140" w:type="dxa"/>
            <w:vAlign w:val="bottom"/>
          </w:tcPr>
          <w:p>
            <w:pPr>
              <w:spacing w:after="0"/>
              <w:rPr>
                <w:sz w:val="12"/>
                <w:szCs w:val="12"/>
                <w:color w:val="auto"/>
              </w:rPr>
            </w:pPr>
          </w:p>
        </w:tc>
        <w:tc>
          <w:tcPr>
            <w:tcW w:w="11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40" w:type="dxa"/>
            <w:vAlign w:val="bottom"/>
          </w:tcPr>
          <w:p>
            <w:pPr>
              <w:spacing w:after="0"/>
              <w:rPr>
                <w:sz w:val="12"/>
                <w:szCs w:val="12"/>
                <w:color w:val="auto"/>
              </w:rPr>
            </w:pPr>
          </w:p>
        </w:tc>
        <w:tc>
          <w:tcPr>
            <w:tcW w:w="1040" w:type="dxa"/>
            <w:vAlign w:val="bottom"/>
          </w:tcPr>
          <w:p>
            <w:pPr>
              <w:jc w:val="right"/>
              <w:ind w:right="95"/>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0" w:type="dxa"/>
            <w:vAlign w:val="bottom"/>
          </w:tcPr>
          <w:p>
            <w:pPr>
              <w:spacing w:after="0"/>
              <w:rPr>
                <w:sz w:val="1"/>
                <w:szCs w:val="1"/>
                <w:color w:val="auto"/>
              </w:rPr>
            </w:pPr>
          </w:p>
        </w:tc>
      </w:tr>
      <w:tr>
        <w:trPr>
          <w:trHeight w:val="189"/>
        </w:trPr>
        <w:tc>
          <w:tcPr>
            <w:tcW w:w="6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23,590</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actuarial loss and prior service costs, net of tax of $59 and $51</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for the three months ended September 26, 2020 and September 28, 2019,</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respectively, and $177 and $154 for the nine months ended September 26, 2020</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September 28, 2019, respectively</w:t>
            </w: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Change in unrealized gains and losses on cash flow hedges, net of tax of zero</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and $29 for the three months ended September 26, 2020 and September 28,</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2019, respectively, and $57 and $2 for the nine months ended September 26,</w:t>
            </w:r>
          </w:p>
        </w:tc>
        <w:tc>
          <w:tcPr>
            <w:tcW w:w="14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2020 and September 28, 2019, respectively</w:t>
            </w: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0" w:lineRule="exact"/>
        <w:rPr>
          <w:sz w:val="20"/>
          <w:szCs w:val="20"/>
          <w:color w:val="auto"/>
        </w:rPr>
      </w:pPr>
    </w:p>
    <w:tbl>
      <w:tblPr>
        <w:tblLayout w:type="fixed"/>
        <w:tblInd w:w="42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6"/>
                <w:szCs w:val="16"/>
                <w:color w:val="auto"/>
              </w:rPr>
            </w:pPr>
          </w:p>
        </w:tc>
        <w:tc>
          <w:tcPr>
            <w:tcW w:w="232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5"/>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40" w:type="dxa"/>
            <w:vAlign w:val="bottom"/>
          </w:tcPr>
          <w:p>
            <w:pPr>
              <w:spacing w:after="0"/>
              <w:rPr>
                <w:sz w:val="12"/>
                <w:szCs w:val="12"/>
                <w:color w:val="auto"/>
              </w:rPr>
            </w:pPr>
          </w:p>
        </w:tc>
        <w:tc>
          <w:tcPr>
            <w:tcW w:w="11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140" w:type="dxa"/>
            <w:vAlign w:val="bottom"/>
          </w:tcPr>
          <w:p>
            <w:pPr>
              <w:spacing w:after="0"/>
              <w:rPr>
                <w:sz w:val="12"/>
                <w:szCs w:val="12"/>
                <w:color w:val="auto"/>
              </w:rPr>
            </w:pPr>
          </w:p>
        </w:tc>
        <w:tc>
          <w:tcPr>
            <w:tcW w:w="11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40" w:type="dxa"/>
            <w:vAlign w:val="bottom"/>
          </w:tcPr>
          <w:p>
            <w:pPr>
              <w:spacing w:after="0"/>
              <w:rPr>
                <w:sz w:val="12"/>
                <w:szCs w:val="12"/>
                <w:color w:val="auto"/>
              </w:rPr>
            </w:pPr>
          </w:p>
        </w:tc>
        <w:tc>
          <w:tcPr>
            <w:tcW w:w="1040" w:type="dxa"/>
            <w:vAlign w:val="bottom"/>
          </w:tcPr>
          <w:p>
            <w:pPr>
              <w:jc w:val="right"/>
              <w:ind w:right="92"/>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0" w:type="dxa"/>
            <w:vAlign w:val="bottom"/>
          </w:tcPr>
          <w:p>
            <w:pPr>
              <w:spacing w:after="0"/>
              <w:rPr>
                <w:sz w:val="1"/>
                <w:szCs w:val="1"/>
                <w:color w:val="auto"/>
              </w:rPr>
            </w:pPr>
          </w:p>
        </w:tc>
      </w:tr>
      <w:tr>
        <w:trPr>
          <w:trHeight w:val="189"/>
        </w:trPr>
        <w:tc>
          <w:tcPr>
            <w:tcW w:w="5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and Paid-in-Capital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83,826</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 Options and Stock</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Vested</w:t>
            </w: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86,944</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180,356</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23,590</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ASC 842 Adjustment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203,682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203,682</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283,779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283,779</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17" w:right="7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4"/>
          </w:tcPr>
          <w:p>
            <w:pPr>
              <w:jc w:val="right"/>
              <w:ind w:right="911"/>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45"/>
        </w:trPr>
        <w:tc>
          <w:tcPr>
            <w:tcW w:w="8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220" w:type="dxa"/>
            <w:vAlign w:val="bottom"/>
          </w:tcPr>
          <w:p>
            <w:pPr>
              <w:spacing w:after="0"/>
              <w:rPr>
                <w:sz w:val="12"/>
                <w:szCs w:val="12"/>
                <w:color w:val="auto"/>
              </w:rPr>
            </w:pPr>
          </w:p>
        </w:tc>
        <w:tc>
          <w:tcPr>
            <w:tcW w:w="1300" w:type="dxa"/>
            <w:vAlign w:val="bottom"/>
          </w:tcPr>
          <w:p>
            <w:pPr>
              <w:jc w:val="right"/>
              <w:ind w:right="251"/>
              <w:spacing w:after="0" w:line="145" w:lineRule="exact"/>
              <w:rPr>
                <w:sz w:val="20"/>
                <w:szCs w:val="20"/>
                <w:color w:val="auto"/>
              </w:rPr>
            </w:pPr>
            <w:r>
              <w:rPr>
                <w:rFonts w:ascii="Times New Roman" w:cs="Times New Roman" w:eastAsia="Times New Roman" w:hAnsi="Times New Roman"/>
                <w:sz w:val="14"/>
                <w:szCs w:val="14"/>
                <w:color w:val="auto"/>
              </w:rPr>
              <w:t>September 28,</w:t>
            </w:r>
          </w:p>
        </w:tc>
      </w:tr>
      <w:tr>
        <w:trPr>
          <w:trHeight w:val="189"/>
        </w:trPr>
        <w:tc>
          <w:tcPr>
            <w:tcW w:w="8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2019</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w:t>
            </w:r>
          </w:p>
        </w:tc>
      </w:tr>
      <w:tr>
        <w:trPr>
          <w:trHeight w:val="230"/>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2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r>
      <w:tr>
        <w:trPr>
          <w:trHeight w:val="229"/>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9"/>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Insurance recoveries related to loss on operating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8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30"/>
        </w:trPr>
        <w:tc>
          <w:tcPr>
            <w:tcW w:w="8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(15,810)</w:t>
            </w:r>
          </w:p>
        </w:tc>
      </w:tr>
      <w:tr>
        <w:trPr>
          <w:trHeight w:val="229"/>
        </w:trPr>
        <w:tc>
          <w:tcPr>
            <w:tcW w:w="8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w:t>
            </w:r>
          </w:p>
        </w:tc>
      </w:tr>
      <w:tr>
        <w:trPr>
          <w:trHeight w:val="229"/>
        </w:trPr>
        <w:tc>
          <w:tcPr>
            <w:tcW w:w="8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30"/>
        </w:trPr>
        <w:tc>
          <w:tcPr>
            <w:tcW w:w="8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8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w:t>
            </w:r>
          </w:p>
        </w:tc>
      </w:tr>
      <w:tr>
        <w:trPr>
          <w:trHeight w:val="230"/>
        </w:trPr>
        <w:tc>
          <w:tcPr>
            <w:tcW w:w="8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r>
      <w:tr>
        <w:trPr>
          <w:trHeight w:val="230"/>
        </w:trPr>
        <w:tc>
          <w:tcPr>
            <w:tcW w:w="8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9"/>
        </w:trPr>
        <w:tc>
          <w:tcPr>
            <w:tcW w:w="8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23"/>
        </w:trPr>
        <w:tc>
          <w:tcPr>
            <w:tcW w:w="802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20,069</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r>
      <w:tr>
        <w:trPr>
          <w:trHeight w:val="230"/>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Insurance recoveries related to property and equipment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Post closing cash received from the acquisition of Nobles Worldwide, Inc., net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(14,698)</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Borrowings from senior secured revolving credit facility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163,500</w:t>
            </w:r>
          </w:p>
        </w:tc>
      </w:tr>
      <w:tr>
        <w:trPr>
          <w:trHeight w:val="230"/>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Repayments of senior secured revolving credit facility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(163,500)</w:t>
            </w:r>
          </w:p>
        </w:tc>
      </w:tr>
      <w:tr>
        <w:trPr>
          <w:trHeight w:val="230"/>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Repayments of term loans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r>
      <w:tr>
        <w:trPr>
          <w:trHeight w:val="230"/>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Repayments of other debt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paid upon issuance of common stock under stock plans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23"/>
        </w:trPr>
        <w:tc>
          <w:tcPr>
            <w:tcW w:w="802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engineering and manufacturing services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All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2019 condensed consolidated balance sheet data was derived from audited financial statements, but does not contain all disclosures required by accounting principles generally accepted in the United States of America (“GAAP”).</w:t>
      </w:r>
    </w:p>
    <w:p>
      <w:pPr>
        <w:spacing w:after="0" w:line="4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were described in Part IV, Item 15(a)(1), “Note 1. Summary of Significant Accounting Policies” in our Annual Report on Form 10-K for the year ended December 31, 2019. The financial information included in this Quarterly Report on Form 10-Q should be read in conjunction with our Annual Report on Form 10-K for the year ended December 31, 2019.</w:t>
      </w:r>
    </w:p>
    <w:p>
      <w:pPr>
        <w:spacing w:after="0" w:line="5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recurring accruals, have been made that are necessary to fairly state our condensed consolidated financial position, statements of income, comprehensive income and cash flows in accordance with GAAP for the periods covered by this Quarterly Report on Form 10-Q. The results of operations for the three and nine months ended September 26, 2020 are not necessarily indicative of the results to be expected for the full year ending December 31, 2020.</w:t>
      </w:r>
    </w:p>
    <w:p>
      <w:pPr>
        <w:spacing w:after="0" w:line="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fiscal quarters typically end on the Saturday closest to the end of March, June and September for the first three fiscal quarters of each year, and ends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unaudited condensed consolidated financial statements require management to make estimates and judgments that affect the amounts of assets, liabilities (including forward loss reserves),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color w:val="auto"/>
              </w:rPr>
              <w:t>(In thousands)</w:t>
            </w:r>
          </w:p>
        </w:tc>
      </w:tr>
      <w:tr>
        <w:trPr>
          <w:trHeight w:val="189"/>
        </w:trPr>
        <w:tc>
          <w:tcPr>
            <w:tcW w:w="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45"/>
        </w:trPr>
        <w:tc>
          <w:tcPr>
            <w:tcW w:w="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80" w:type="dxa"/>
            <w:vAlign w:val="bottom"/>
          </w:tcPr>
          <w:p>
            <w:pPr>
              <w:spacing w:after="0"/>
              <w:rPr>
                <w:sz w:val="12"/>
                <w:szCs w:val="12"/>
                <w:color w:val="auto"/>
              </w:rPr>
            </w:pPr>
          </w:p>
        </w:tc>
        <w:tc>
          <w:tcPr>
            <w:tcW w:w="11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28,</w:t>
            </w:r>
          </w:p>
        </w:tc>
      </w:tr>
      <w:tr>
        <w:trPr>
          <w:trHeight w:val="189"/>
        </w:trPr>
        <w:tc>
          <w:tcPr>
            <w:tcW w:w="40" w:type="dxa"/>
            <w:vAlign w:val="bottom"/>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2019</w:t>
            </w:r>
          </w:p>
        </w:tc>
        <w:tc>
          <w:tcPr>
            <w:tcW w:w="20" w:type="dxa"/>
            <w:vAlign w:val="bottom"/>
          </w:tcPr>
          <w:p>
            <w:pPr>
              <w:spacing w:after="0"/>
              <w:rPr>
                <w:sz w:val="16"/>
                <w:szCs w:val="16"/>
                <w:color w:val="auto"/>
              </w:rPr>
            </w:pPr>
          </w:p>
        </w:tc>
      </w:tr>
      <w:tr>
        <w:trPr>
          <w:trHeight w:val="223"/>
        </w:trPr>
        <w:tc>
          <w:tcPr>
            <w:tcW w:w="4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8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Taxes paid</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activities:</w:t>
            </w:r>
          </w:p>
        </w:tc>
        <w:tc>
          <w:tcPr>
            <w:tcW w:w="3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0" w:type="dxa"/>
            <w:vAlign w:val="bottom"/>
          </w:tcPr>
          <w:p>
            <w:pPr>
              <w:spacing w:after="0"/>
              <w:rPr>
                <w:sz w:val="20"/>
                <w:szCs w:val="20"/>
                <w:color w:val="auto"/>
              </w:rPr>
            </w:pPr>
          </w:p>
        </w:tc>
      </w:tr>
      <w:tr>
        <w:trPr>
          <w:trHeight w:val="873"/>
        </w:trPr>
        <w:tc>
          <w:tcPr>
            <w:tcW w:w="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84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60" w:type="dxa"/>
            <w:vAlign w:val="bottom"/>
          </w:tcPr>
          <w:p>
            <w:pPr>
              <w:spacing w:after="0"/>
              <w:rPr>
                <w:sz w:val="16"/>
                <w:szCs w:val="16"/>
                <w:color w:val="auto"/>
              </w:rPr>
            </w:pPr>
          </w:p>
        </w:tc>
        <w:tc>
          <w:tcPr>
            <w:tcW w:w="256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6"/>
                <w:szCs w:val="16"/>
                <w:color w:val="auto"/>
              </w:rPr>
            </w:pPr>
          </w:p>
        </w:tc>
        <w:tc>
          <w:tcPr>
            <w:tcW w:w="256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5"/>
        </w:trPr>
        <w:tc>
          <w:tcPr>
            <w:tcW w:w="5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80" w:type="dxa"/>
            <w:vAlign w:val="bottom"/>
          </w:tcPr>
          <w:p>
            <w:pPr>
              <w:spacing w:after="0"/>
              <w:rPr>
                <w:sz w:val="12"/>
                <w:szCs w:val="12"/>
                <w:color w:val="auto"/>
              </w:rPr>
            </w:pPr>
          </w:p>
        </w:tc>
        <w:tc>
          <w:tcPr>
            <w:tcW w:w="12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160" w:type="dxa"/>
            <w:vAlign w:val="bottom"/>
          </w:tcPr>
          <w:p>
            <w:pPr>
              <w:spacing w:after="0"/>
              <w:rPr>
                <w:sz w:val="12"/>
                <w:szCs w:val="12"/>
                <w:color w:val="auto"/>
              </w:rPr>
            </w:pPr>
          </w:p>
        </w:tc>
        <w:tc>
          <w:tcPr>
            <w:tcW w:w="12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60" w:type="dxa"/>
            <w:vAlign w:val="bottom"/>
          </w:tcPr>
          <w:p>
            <w:pPr>
              <w:spacing w:after="0"/>
              <w:rPr>
                <w:sz w:val="12"/>
                <w:szCs w:val="12"/>
                <w:color w:val="auto"/>
              </w:rPr>
            </w:pPr>
          </w:p>
        </w:tc>
        <w:tc>
          <w:tcPr>
            <w:tcW w:w="1140" w:type="dxa"/>
            <w:vAlign w:val="bottom"/>
          </w:tcPr>
          <w:p>
            <w:pPr>
              <w:jc w:val="right"/>
              <w:ind w:right="155"/>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0" w:type="dxa"/>
            <w:vAlign w:val="bottom"/>
          </w:tcPr>
          <w:p>
            <w:pPr>
              <w:spacing w:after="0"/>
              <w:rPr>
                <w:sz w:val="1"/>
                <w:szCs w:val="1"/>
                <w:color w:val="auto"/>
              </w:rPr>
            </w:pPr>
          </w:p>
        </w:tc>
      </w:tr>
      <w:tr>
        <w:trPr>
          <w:trHeight w:val="189"/>
        </w:trPr>
        <w:tc>
          <w:tcPr>
            <w:tcW w:w="5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to purchase common stock,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2820" w:type="dxa"/>
            <w:vAlign w:val="bottom"/>
            <w:gridSpan w:val="4"/>
          </w:tcPr>
          <w:p>
            <w:pPr>
              <w:ind w:left="940"/>
              <w:spacing w:after="0"/>
              <w:rPr>
                <w:sz w:val="20"/>
                <w:szCs w:val="20"/>
                <w:color w:val="auto"/>
              </w:rPr>
            </w:pPr>
            <w:r>
              <w:rPr>
                <w:rFonts w:ascii="Times New Roman" w:cs="Times New Roman" w:eastAsia="Times New Roman" w:hAnsi="Times New Roman"/>
                <w:sz w:val="14"/>
                <w:szCs w:val="14"/>
                <w:color w:val="auto"/>
              </w:rPr>
              <w:t>(In thousands)</w:t>
            </w:r>
          </w:p>
        </w:tc>
        <w:tc>
          <w:tcPr>
            <w:tcW w:w="276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(In thousands)</w:t>
            </w:r>
          </w:p>
        </w:tc>
      </w:tr>
      <w:tr>
        <w:trPr>
          <w:trHeight w:val="189"/>
        </w:trPr>
        <w:tc>
          <w:tcPr>
            <w:tcW w:w="5660" w:type="dxa"/>
            <w:vAlign w:val="bottom"/>
          </w:tcPr>
          <w:p>
            <w:pPr>
              <w:spacing w:after="0"/>
              <w:rPr>
                <w:sz w:val="16"/>
                <w:szCs w:val="16"/>
                <w:color w:val="auto"/>
              </w:rPr>
            </w:pPr>
          </w:p>
        </w:tc>
        <w:tc>
          <w:tcPr>
            <w:tcW w:w="2820" w:type="dxa"/>
            <w:vAlign w:val="bottom"/>
            <w:gridSpan w:val="4"/>
          </w:tcPr>
          <w:p>
            <w:pPr>
              <w:ind w:left="740"/>
              <w:spacing w:after="0"/>
              <w:rPr>
                <w:sz w:val="20"/>
                <w:szCs w:val="20"/>
                <w:color w:val="auto"/>
              </w:rPr>
            </w:pPr>
            <w:r>
              <w:rPr>
                <w:rFonts w:ascii="Times New Roman" w:cs="Times New Roman" w:eastAsia="Times New Roman" w:hAnsi="Times New Roman"/>
                <w:sz w:val="14"/>
                <w:szCs w:val="14"/>
                <w:color w:val="auto"/>
              </w:rPr>
              <w:t>Three Months Ended</w:t>
            </w:r>
          </w:p>
        </w:tc>
        <w:tc>
          <w:tcPr>
            <w:tcW w:w="2760" w:type="dxa"/>
            <w:vAlign w:val="bottom"/>
            <w:gridSpan w:val="3"/>
          </w:tcPr>
          <w:p>
            <w:pPr>
              <w:ind w:left="80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45"/>
        </w:trPr>
        <w:tc>
          <w:tcPr>
            <w:tcW w:w="5660" w:type="dxa"/>
            <w:vAlign w:val="bottom"/>
          </w:tcPr>
          <w:p>
            <w:pPr>
              <w:spacing w:after="0"/>
              <w:rPr>
                <w:sz w:val="12"/>
                <w:szCs w:val="12"/>
                <w:color w:val="auto"/>
              </w:rPr>
            </w:pPr>
          </w:p>
        </w:tc>
        <w:tc>
          <w:tcPr>
            <w:tcW w:w="14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4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14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September 28,</w:t>
            </w:r>
          </w:p>
        </w:tc>
      </w:tr>
      <w:tr>
        <w:trPr>
          <w:trHeight w:val="189"/>
        </w:trPr>
        <w:tc>
          <w:tcPr>
            <w:tcW w:w="56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color w:val="auto"/>
              </w:rPr>
              <w:t>2019</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13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money market funds and they are included as cash and cash equivalents. We also had interest rate cap hedge agreements for which the fair value of the interest rate cap hedge agreements was determined using pricing models that use observable market inputs as of the balance sheet date, a Level 2 measurement, however, those agreements expired during our second quarter of 2020.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the three months ended September 26,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which we classify as Level 1. See Fair Value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10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recognize derivative instruments on our condensed consolidated balance sheets at their fair value. On the date that we enter into a derivative contract, we designate the derivative instrument as a fair value hedge, a cash flow hedge, a hedge of a net investment in a foreign operation, or a derivative instrument that will not be accounted for using hedge accounting methods. As of September 26, 2020, we had no derivative instruments as all of our derivative instruments that were designated as cash flow hedges matured during our second quarter of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 We report changes in the fair values of derivative instruments that are not designated or do not qualify for hedge accounting in current period earnings. We classify cash flows from derivative instruments in the condensed consolidated statements of cash flows in the same category as the item being hedged or on a basis consistent with the nature of the instrument. For the three and nine months ended September 26, 2020, the impact of cash flow hedges in the respective periods were insignificant and all of our cash flow hedges matured during our second quarter of 2020.</w:t>
      </w:r>
    </w:p>
    <w:p>
      <w:pPr>
        <w:spacing w:after="0" w:line="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and the related revenue is recognized. Inventoried costs include raw materials, outside processing, direct labor and allocated overhead, adjusted for any abnormal amounts of idle facility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Charges</w:t>
      </w:r>
    </w:p>
    <w:p>
      <w:pPr>
        <w:spacing w:after="0" w:line="10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May 2020, management approved and commenced a restructuring plan in the Structural Systems segment mainly to reduce headcount in response to the impact from the COVID-19 pandemic on the commercial aerospace demand outlook. We recorded an aggregate total of $1.1 million and $1.8 million for severance and benefit costs which were charged to restructuring charges during the three and nine months ended September 26, 2020,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Estimated Losses on Contracts</w:t>
      </w:r>
    </w:p>
    <w:p>
      <w:pPr>
        <w:spacing w:after="0" w:line="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Loss</w:t>
      </w:r>
    </w:p>
    <w:p>
      <w:pPr>
        <w:spacing w:after="0" w:line="10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0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when control of the promised goods is transferred to our customers, in an amount that reflects the consideration to which we expect to be entitled to in exchange for those goods.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or as the corresponding performance obligation is satisfied.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distinct promise to transfer products is considered an identified performance obligation for which revenue is recognized upon transfer of control of the products to our customer. The majority of our contracts have a single performance obligation as the promise to transfer the individual good is not separately identifiable from other promises in the contract and is, therefore, not distinct. A contract’s transaction price is allocated to each distinct performance obligation and recognized as revenue when, or as, the performance obligation is satisfied.</w:t>
      </w:r>
    </w:p>
    <w:p>
      <w:pPr>
        <w:spacing w:after="0" w:line="4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Orders for our products generally correspond to the production schedules of our customers and are supported with purchase orders with firm fixed price and firm delivery dates. Our customers have continuous control of the work-in-process and finished goods throughout the manufacturing process, as products are built to customer specifications with no alternative use, and there is an enforceable right to payment for work performed to date. As a result, we recognize revenue over time based on the extent of progress towards satisfaction of the performance obligation. The majority of our contracts are production-type contracts for which we have significant historical manufacturing experience. From time to time, we may enter into development type contracts which require more judgment to determine our total estimated costs at completion, including estimates of materials and labor costs to complete the contract. Revenue recognized is based on the cost-to-cost method as it best depicts the transfer of control to our customer which takes place as we incur costs. Under the cost-to-cost measure of progress, the extent of progress toward completion is measured based on the ratio of costs incurred to date to the total estimated costs at completion. Revenues are recorded proportionally as costs are incurred.</w:t>
      </w:r>
    </w:p>
    <w:p>
      <w:pPr>
        <w:spacing w:after="0" w:line="6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also have some contracts where we recognize revenue at a point in time upon transfer of control of the products to the customer. Point in time recognition was determined as the customer does not simultaneously receive or consume the benefits provided by our performance and the asset being manufactured has alternative uses to us.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manufacturing costs include materials, labor, and overhead. A component of materials costs is production cost of contracts. 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significant change in estimated costs at completion could affect the estimated gross profit recorded for our contracts, we review and update our estimated costs at completion on a regular basis. We recognize adjustments in estimated gross profit on contracts under the cumulative catch-up method. Under this method, the impact of the adjustment on gross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we recognize the total loss in the period it is identified. The impact of adjustments in contract estimates on our operating earnings can be reflected in either operating costs and expenses or revenue. Net cumulative catch up adjustments on gross profit recorded were not material for both the three and nine months ended September 26, 2020 and September 28,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10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 contract liability is created for the advance or progress payment.</w:t>
      </w:r>
    </w:p>
    <w:p>
      <w:pPr>
        <w:spacing w:after="0" w:line="4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color w:val="auto"/>
              </w:rPr>
              <w:t>(In thousands)</w:t>
            </w:r>
          </w:p>
        </w:tc>
      </w:tr>
      <w:tr>
        <w:trPr>
          <w:trHeight w:val="145"/>
        </w:trPr>
        <w:tc>
          <w:tcPr>
            <w:tcW w:w="8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80" w:type="dxa"/>
            <w:vAlign w:val="bottom"/>
          </w:tcPr>
          <w:p>
            <w:pPr>
              <w:spacing w:after="0"/>
              <w:rPr>
                <w:sz w:val="12"/>
                <w:szCs w:val="12"/>
                <w:color w:val="auto"/>
              </w:rPr>
            </w:pPr>
          </w:p>
        </w:tc>
        <w:tc>
          <w:tcPr>
            <w:tcW w:w="1140" w:type="dxa"/>
            <w:vAlign w:val="bottom"/>
          </w:tcPr>
          <w:p>
            <w:pPr>
              <w:jc w:val="right"/>
              <w:ind w:right="179"/>
              <w:spacing w:after="0" w:line="145" w:lineRule="exact"/>
              <w:rPr>
                <w:sz w:val="20"/>
                <w:szCs w:val="20"/>
                <w:color w:val="auto"/>
              </w:rPr>
            </w:pPr>
            <w:r>
              <w:rPr>
                <w:rFonts w:ascii="Times New Roman" w:cs="Times New Roman" w:eastAsia="Times New Roman" w:hAnsi="Times New Roman"/>
                <w:sz w:val="14"/>
                <w:szCs w:val="14"/>
                <w:color w:val="auto"/>
              </w:rPr>
              <w:t>December 31,</w:t>
            </w:r>
          </w:p>
        </w:tc>
      </w:tr>
      <w:tr>
        <w:trPr>
          <w:trHeight w:val="189"/>
        </w:trPr>
        <w:tc>
          <w:tcPr>
            <w:tcW w:w="8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2019</w:t>
            </w: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140,717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106,670</w:t>
            </w: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26,833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14,517</w:t>
            </w:r>
          </w:p>
        </w:tc>
      </w:tr>
    </w:tbl>
    <w:p>
      <w:pPr>
        <w:spacing w:after="0" w:line="13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are defined as customer placed purchase orders (“POs”) with firm fixed price and firm delivery dates. Our remaining performance obligations as of September 26, 2020 totaled $746.1 million. We anticipate recognizing an estimated 70% of our remaining performance obligations as revenue during the next 12 months with the remaining performance obligations being recognized in the remainder of 2021 and beyond.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256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color w:val="auto"/>
              </w:rPr>
              <w:t>(In thousands)</w:t>
            </w: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56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45"/>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80" w:type="dxa"/>
            <w:vAlign w:val="bottom"/>
          </w:tcPr>
          <w:p>
            <w:pPr>
              <w:spacing w:after="0"/>
              <w:rPr>
                <w:sz w:val="12"/>
                <w:szCs w:val="12"/>
                <w:color w:val="auto"/>
              </w:rPr>
            </w:pPr>
          </w:p>
        </w:tc>
        <w:tc>
          <w:tcPr>
            <w:tcW w:w="12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200" w:type="dxa"/>
            <w:vAlign w:val="bottom"/>
          </w:tcPr>
          <w:p>
            <w:pPr>
              <w:spacing w:after="0"/>
              <w:rPr>
                <w:sz w:val="12"/>
                <w:szCs w:val="12"/>
                <w:color w:val="auto"/>
              </w:rPr>
            </w:pPr>
          </w:p>
        </w:tc>
        <w:tc>
          <w:tcPr>
            <w:tcW w:w="12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80" w:type="dxa"/>
            <w:vAlign w:val="bottom"/>
          </w:tcPr>
          <w:p>
            <w:pPr>
              <w:spacing w:after="0"/>
              <w:rPr>
                <w:sz w:val="12"/>
                <w:szCs w:val="12"/>
                <w:color w:val="auto"/>
              </w:rPr>
            </w:pPr>
          </w:p>
        </w:tc>
        <w:tc>
          <w:tcPr>
            <w:tcW w:w="1140" w:type="dxa"/>
            <w:vAlign w:val="bottom"/>
          </w:tcPr>
          <w:p>
            <w:pPr>
              <w:jc w:val="right"/>
              <w:ind w:right="153"/>
              <w:spacing w:after="0" w:line="145" w:lineRule="exact"/>
              <w:rPr>
                <w:sz w:val="20"/>
                <w:szCs w:val="20"/>
                <w:color w:val="auto"/>
              </w:rPr>
            </w:pPr>
            <w:r>
              <w:rPr>
                <w:rFonts w:ascii="Times New Roman" w:cs="Times New Roman" w:eastAsia="Times New Roman" w:hAnsi="Times New Roman"/>
                <w:sz w:val="14"/>
                <w:szCs w:val="14"/>
                <w:color w:val="auto"/>
              </w:rPr>
              <w:t>September 28,</w:t>
            </w:r>
          </w:p>
        </w:tc>
      </w:tr>
      <w:tr>
        <w:trPr>
          <w:trHeight w:val="189"/>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2019</w:t>
            </w:r>
          </w:p>
        </w:tc>
      </w:tr>
      <w:tr>
        <w:trPr>
          <w:trHeight w:val="190"/>
        </w:trPr>
        <w:tc>
          <w:tcPr>
            <w:tcW w:w="20" w:type="dxa"/>
            <w:vAlign w:val="bottom"/>
            <w:shd w:val="clear" w:color="auto" w:fill="CCEEFF"/>
          </w:tcPr>
          <w:p>
            <w:pPr>
              <w:spacing w:after="0"/>
              <w:rPr>
                <w:sz w:val="16"/>
                <w:szCs w:val="16"/>
                <w:color w:val="auto"/>
              </w:rPr>
            </w:pPr>
          </w:p>
        </w:tc>
        <w:tc>
          <w:tcPr>
            <w:tcW w:w="5640" w:type="dxa"/>
            <w:vAlign w:val="bottom"/>
            <w:gridSpan w:val="4"/>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6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113,859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80,487</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307,479</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231,635</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269,080</w:t>
            </w:r>
          </w:p>
        </w:tc>
      </w:tr>
      <w:tr>
        <w:trPr>
          <w:trHeight w:val="23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418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223,692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176,813</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53,785</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4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54,822</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215,295</w:t>
            </w:r>
          </w:p>
        </w:tc>
      </w:tr>
      <w:tr>
        <w:trPr>
          <w:trHeight w:val="223"/>
        </w:trPr>
        <w:tc>
          <w:tcPr>
            <w:tcW w:w="20" w:type="dxa"/>
            <w:vAlign w:val="bottom"/>
          </w:tcPr>
          <w:p>
            <w:pPr>
              <w:spacing w:after="0"/>
              <w:rPr>
                <w:sz w:val="19"/>
                <w:szCs w:val="19"/>
                <w:color w:val="auto"/>
              </w:rPr>
            </w:pPr>
          </w:p>
        </w:tc>
        <w:tc>
          <w:tcPr>
            <w:tcW w:w="564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177,615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270,117</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 Adopted in 2020</w:t>
      </w:r>
    </w:p>
    <w:p>
      <w:pPr>
        <w:spacing w:after="0" w:line="10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March 2020, the FASB issued ASU 2020-03, “Codification Improvements to Financial Instruments” (“ASU 2020-03”), which provides clarity to, or addresses various specific issues, including modifications of debt instruments. The new guidance was effective upon issuance of this final accounting standards update. The adoption of this standard did not have a material impact on our condensed consolidated financial statements.</w:t>
      </w:r>
    </w:p>
    <w:p>
      <w:pPr>
        <w:spacing w:after="0" w:line="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2020, the FASB issued ASU 2020-02, “Financial Statements - Credit losses (Topic 326) and Leases (Topic 842) - Amendments to SEC Paragraphs Pursuant to SEC Staff Accounting Bulletin No. 119 and Update to SEC Section on Effective Date Relating to Accounting Standards Update No. 2016-02, Leases (Topic 842)” (“ASU 2020-02”), which provides guidance on the measurement and requirements related to credit losses. The new guidance was effective upon issuance of this final accounting standards update. The adoption of this standard did not have a material impact on our condensed consolidated financial statements.</w:t>
      </w:r>
    </w:p>
    <w:p>
      <w:pPr>
        <w:spacing w:after="0" w:line="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April 2019, the FASB issued ASU 2019-04, “Codification Improvements to Topic 326, Financial Instruments - Credit Losses, Topic 815, Derivatives and Hedging, and Topic 825, Financial Statements” (“ASU 2019-04”), which clarify, correct, and improve various aspects of the guidance in ASU 2016-01, ASU 2016-13, and ASU 2017-12. The new guidance is effective for fiscal years beginning after December 15, 2019, including interim periods within those fiscal years, which was our interim period beginning January 1, 2020. The adoption of this standard did not have a material impact on our condensed consolidated financial statements.</w:t>
      </w:r>
    </w:p>
    <w:p>
      <w:pPr>
        <w:spacing w:after="0" w:line="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March 2019, the FASB issued ASU 2019-01, “Leases (Topic 842): Codification Improvements” (“ASU 2019-01”), which addresses various lessor implementation issues and clarifies that lessees and lessors are exempt from certain interim disclosure requirements associated with the adoption of ASC</w:t>
      </w:r>
    </w:p>
    <w:p>
      <w:pPr>
        <w:ind w:right="40" w:firstLine="8"/>
        <w:spacing w:after="0" w:line="290" w:lineRule="auto"/>
        <w:tabs>
          <w:tab w:leader="none" w:pos="3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guidance is effective for fiscal years beginning after December 15, 2019, including interim periods within those fiscal years, which was our interim period beginning January 1, 2020. The adoption of this standard did not have a material impact on our condensed consolidated financial statements.</w:t>
      </w:r>
    </w:p>
    <w:p>
      <w:pPr>
        <w:spacing w:after="0" w:line="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which should improve the effectiveness of fair value measurement disclosures by removing certain requirements, modifying certain requirements, and adding certain new requirements. The new guidance was effective for fiscal years beginning after December 15, 2019, including interim periods within those fiscal years, which was our interim period beginning January 1, 2020. Early adoption was permitted. The adoption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standard did not have a material impact on our condensed consolidated financial statements.</w:t>
      </w:r>
    </w:p>
    <w:p>
      <w:pPr>
        <w:spacing w:after="0" w:line="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(“ASU 2016-13”), which is intended to improve financial reporting by requiring timelier recording of credit losses on loans and other financial instruments held by financial institutions and other organizations. ASU 2016-13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ASU 2016-13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The new guidance was effective for fiscal years beginning after December 15, 2019, including interim periods within those fiscal years, which was our interim period beginning January 1, 2020. The adoption of this standard did not have a material impact on our condensed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with Conversion and Other Options (Subtopic 470-20) and Derivatives and Hedging - Contracts in Entity’s Own Equity (Subtopic 815-40) - Accounting for Convertible Instruments and Contracts in an Entity’s Own Equity” (“ASU 2020-06”), which simplifies reporting or provides clarification on various topics, including clarification that an entity should use the weighted-average share count from each quarter when calculating the year-to-date weighted-average share count. The new guidance is effective for fiscal years beginning after December 15, 2021, including interim periods within those fiscal years, which will be our interim period beginning January 1, 2022. Early adoption is permitted. We are evaluating the impact of this standard.</w:t>
      </w:r>
    </w:p>
    <w:p>
      <w:pPr>
        <w:spacing w:after="0" w:line="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(“ASU 2020-04”), which provides optional guidance for a limited time for contracts that reference London Interbank Offered Rate (“LIBOR”), to ease the potential burden in accounting for, or recognizing the effects, of reference rate reform on financial reporting as a result of the cessation of LIBOR. The new guidance is effective at any time after March 12, 2020 but no later than December 31, 2022. We are evaluating the impact of this standard.</w:t>
      </w:r>
    </w:p>
    <w:p>
      <w:pPr>
        <w:spacing w:after="0" w:line="4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(“ASU 2019-12”), which removes certain exceptions and provides guidance on various areas of tax accounting. The new guidance is effective for fiscal years beginning after December 15, 2020, including interim periods within those fiscal years, which will be our interim period beginning January 1, 2021. Early adoption is permitted. We are evaluating the impact of this standard.</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2018-14, “Compensation - Retirement Benefits - Defined Benefit Plans - General (Topic 715-20): Disclosure Framework - Changes to the Disclosure Requirements for Defined Benefit Plans” (“ASU 2018-14”), which will remove disclosures that no longer are considered cost-beneficial, clarify the specific requirements of disclosures, and add disclosure requirements identified as relevant. The new guidance is effective for fiscal years beginning after December 15, 2020, including interim periods within those fiscal years, which will be our interim period beginning January 1, 2021. Early adoption is permitted. We are evaluating the impact of this standard.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2019, we acquired 100.0% of the outstanding equity interests of Nobles Parent Inc., the parent company of Nobles Worldwide, Inc. (“Nobles”), a privately-held global leader in the design and manufacturing of high performance ammunition handling systems for a wide range of military platforms including fixed-wing aircraft, rotary-wing aircraft, ground vehicles, and shipboard systems. Nobles is located in St. Croix Falls, Wisconsin. The acquisition of Nobles advances our strategy to diversify and offer more customized, value-driven engineered products with aftermarket opportunities.</w:t>
      </w:r>
    </w:p>
    <w:p>
      <w:pPr>
        <w:spacing w:after="0" w:line="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original purchase price for Nobles was $77.0 million, net of cash acquired, all payable in cash. We paid a gross total aggregate of $77.3 million in cash upon the closing of the transaction. Subsequent to the closing of the transaction, during the three months ended March 28, 2020, we received $0.2 million back from the seller which lowered the purchase price to $76.8 million, net of cash acquired. We allocated the final gross purchase price of $77.1 million to the assets acquired and liabilities assumed at estimated fair values. The excess of the purchase price over the aggregate fair values of the net assets was recorded as goodwill.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final estimated fair value of the assets acquired and liabilities assumed at the date of acquisition (in thousands):</w:t>
      </w:r>
    </w:p>
    <w:p>
      <w:pPr>
        <w:spacing w:after="0" w:line="352"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29"/>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29"/>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30"/>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34,850</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 acquired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80,736</w:t>
            </w:r>
          </w:p>
        </w:tc>
        <w:tc>
          <w:tcPr>
            <w:tcW w:w="0" w:type="dxa"/>
            <w:vAlign w:val="bottom"/>
          </w:tcPr>
          <w:p>
            <w:pPr>
              <w:spacing w:after="0"/>
              <w:rPr>
                <w:sz w:val="1"/>
                <w:szCs w:val="1"/>
                <w:color w:val="auto"/>
              </w:rPr>
            </w:pPr>
          </w:p>
        </w:tc>
      </w:tr>
      <w:tr>
        <w:trPr>
          <w:trHeight w:val="223"/>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non-current deferred tax liability</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23"/>
        </w:trPr>
        <w:tc>
          <w:tcPr>
            <w:tcW w:w="5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77,115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500" w:type="dxa"/>
            <w:vAlign w:val="bottom"/>
          </w:tcPr>
          <w:p>
            <w:pPr>
              <w:spacing w:after="0"/>
              <w:rPr>
                <w:sz w:val="24"/>
                <w:szCs w:val="24"/>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24"/>
                <w:szCs w:val="24"/>
                <w:color w:val="auto"/>
              </w:rPr>
            </w:pPr>
          </w:p>
        </w:tc>
        <w:tc>
          <w:tcPr>
            <w:tcW w:w="11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11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1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intangible assets acquired of $37.2 million were determined based on the estimated fair values using valuation techniques consistent with the income approach to measure fair value. The useful lives were estimated based on the underlying agreements or the future economic benefit expected to be received from the assets. The fair values of the identifiable intangible assets were estimated using several valuation methodologies, which represented Level 3 fair value measurements. The value for customer relationships was estimated based on a multi-period excess earnings approach, while the value for trade names and trademarks was assessed using the relief from royalty methodology.</w:t>
      </w:r>
    </w:p>
    <w:p>
      <w:pPr>
        <w:spacing w:after="0" w:line="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goodwill of $34.9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Nobles acquisition, for tax purposes, is also deemed a stock acquisition and thus, the goodwill recognized is not deductible for income tax purposes except for $6.7 million of pre-acquisition goodwill that is tax deductible.</w:t>
      </w:r>
    </w:p>
    <w:p>
      <w:pPr>
        <w:spacing w:after="0" w:line="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Acquisition related transaction costs were not included as components of consideration transferred but have been expensed as incurred. Total acquisition-related transaction costs incurred by us were $0.8 million during 2019 and charged to selling, general and administrative expenses.</w:t>
      </w:r>
    </w:p>
    <w:p>
      <w:pPr>
        <w:spacing w:after="0" w:line="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Nobles’ results of operations have been included in our condensed consolidated statements of income since the date of acquisition as part of the Structural Systems segment. Pro forma results of operations of the Nobles acquisition have not been presented as the effect of the Nobles acquisition was not material to our financial results.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(In thousands)</w:t>
            </w:r>
          </w:p>
        </w:tc>
        <w:tc>
          <w:tcPr>
            <w:tcW w:w="1400" w:type="dxa"/>
            <w:vAlign w:val="bottom"/>
          </w:tcPr>
          <w:p>
            <w:pPr>
              <w:spacing w:after="0"/>
              <w:rPr>
                <w:sz w:val="16"/>
                <w:szCs w:val="16"/>
                <w:color w:val="auto"/>
              </w:rPr>
            </w:pPr>
          </w:p>
        </w:tc>
      </w:tr>
      <w:tr>
        <w:trPr>
          <w:trHeight w:val="145"/>
        </w:trPr>
        <w:tc>
          <w:tcPr>
            <w:tcW w:w="7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ind w:left="20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460" w:type="dxa"/>
            <w:vAlign w:val="bottom"/>
          </w:tcPr>
          <w:p>
            <w:pPr>
              <w:spacing w:after="0"/>
              <w:rPr>
                <w:sz w:val="12"/>
                <w:szCs w:val="12"/>
                <w:color w:val="auto"/>
              </w:rPr>
            </w:pPr>
          </w:p>
        </w:tc>
        <w:tc>
          <w:tcPr>
            <w:tcW w:w="1400" w:type="dxa"/>
            <w:vAlign w:val="bottom"/>
          </w:tcPr>
          <w:p>
            <w:pPr>
              <w:jc w:val="right"/>
              <w:ind w:right="436"/>
              <w:spacing w:after="0" w:line="145" w:lineRule="exact"/>
              <w:rPr>
                <w:sz w:val="20"/>
                <w:szCs w:val="20"/>
                <w:color w:val="auto"/>
              </w:rPr>
            </w:pPr>
            <w:r>
              <w:rPr>
                <w:rFonts w:ascii="Times New Roman" w:cs="Times New Roman" w:eastAsia="Times New Roman" w:hAnsi="Times New Roman"/>
                <w:sz w:val="14"/>
                <w:szCs w:val="14"/>
                <w:color w:val="auto"/>
              </w:rPr>
              <w:t>December 31,</w:t>
            </w:r>
          </w:p>
        </w:tc>
      </w:tr>
      <w:tr>
        <w:trPr>
          <w:trHeight w:val="189"/>
        </w:trPr>
        <w:tc>
          <w:tcPr>
            <w:tcW w:w="7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rPr>
              <w:t>2019</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98,151</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r>
      <w:tr>
        <w:trPr>
          <w:trHeight w:val="223"/>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127,038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112,482</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perform an impairment test prior to the fourth quarter.</w:t>
      </w:r>
    </w:p>
    <w:p>
      <w:pPr>
        <w:spacing w:after="0" w:line="5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business has been negatively impacted during the nine months ended September 26, 2020 as a result of the COVID-19 pandemic. Therefore, we assessed our goodwill for potential impairment indicators. The most recent Step 1 goodwill impairment test for our Electronic Systems reporting unit was the annual goodwill impairment test as of the first day of the fourth quarter of 2019 where the fair value of our Electronic Systems reporting unit exceeded its carrying value by 44%. The most recent Step 1 goodwill impairment test for our Structural Systems reporting unit was April 2019, where the fair value of our Structural Systems reporting unit exceeded its carrying value by 85%. For our annual goodwill impairment test of our Structural Systems reporting unit as of the first day of the fourth quarter of 2019, we used a qualitative assessment and determined it was not more likely than not that the fair value of a reporting unit was less than its carrying amount. During the first quarter of 2020, we performed qualitative assessments of our reporting units including consideration of 1) margin of passing most recent annual goodwill impairment test or Step 1 analysis, 2) earnings before interest, taxes, depreciation, and amortization, 3) long-term growth rate, 4) analyzing material adverse factors/changes between valuation dates, 5) general macroeconomic factors, and 6) industry and market conditions. We determined for the first quarter of 2020 it was not more likely than not that the fair value of the reporting units were less than their carrying amounts and thus, goodwill was not deemed impaired. For the third quarter of 2020, no material adverse factors/changes have occurred since the first quarter of 2020 that would require us to perform another qualitative assessment. As such, for the third quarter of 2020, it was also not more likely than not that the fair value of the reporting units were less than their carrying amounts and thus, the respective goodwill amounts were not deemed impaired.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acquired Nobles in October 2019 and recorded goodwill of $34.9 million in our Structural Systems segment. See Note 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our goodwill were as follows: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Electronic</w:t>
            </w: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Structural</w:t>
            </w:r>
          </w:p>
        </w:tc>
        <w:tc>
          <w:tcPr>
            <w:tcW w:w="160" w:type="dxa"/>
            <w:vAlign w:val="bottom"/>
          </w:tcPr>
          <w:p>
            <w:pPr>
              <w:spacing w:after="0"/>
              <w:rPr>
                <w:sz w:val="13"/>
                <w:szCs w:val="13"/>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Consolidated</w:t>
            </w:r>
          </w:p>
        </w:tc>
      </w:tr>
      <w:tr>
        <w:trPr>
          <w:trHeight w:val="189"/>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Systems</w:t>
            </w: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Systems</w:t>
            </w:r>
          </w:p>
        </w:tc>
        <w:tc>
          <w:tcPr>
            <w:tcW w:w="160" w:type="dxa"/>
            <w:vAlign w:val="bottom"/>
          </w:tcPr>
          <w:p>
            <w:pPr>
              <w:spacing w:after="0"/>
              <w:rPr>
                <w:sz w:val="16"/>
                <w:szCs w:val="16"/>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Ducommun</w:t>
            </w:r>
          </w:p>
        </w:tc>
      </w:tr>
      <w:tr>
        <w:trPr>
          <w:trHeight w:val="223"/>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goodwill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252,639</w:t>
            </w: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r>
      <w:tr>
        <w:trPr>
          <w:trHeight w:val="223"/>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170,917</w:t>
            </w: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allocation refinements</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8"/>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26,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Accrued and Other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Pr>
          <w:p>
            <w:pPr>
              <w:spacing w:after="0"/>
              <w:rPr>
                <w:sz w:val="16"/>
                <w:szCs w:val="16"/>
                <w:color w:val="auto"/>
              </w:rPr>
            </w:pPr>
          </w:p>
        </w:tc>
      </w:tr>
      <w:tr>
        <w:trPr>
          <w:trHeight w:val="145"/>
        </w:trPr>
        <w:tc>
          <w:tcPr>
            <w:tcW w:w="7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420" w:type="dxa"/>
            <w:vAlign w:val="bottom"/>
          </w:tcPr>
          <w:p>
            <w:pPr>
              <w:spacing w:after="0"/>
              <w:rPr>
                <w:sz w:val="12"/>
                <w:szCs w:val="12"/>
                <w:color w:val="auto"/>
              </w:rPr>
            </w:pPr>
          </w:p>
        </w:tc>
        <w:tc>
          <w:tcPr>
            <w:tcW w:w="1360" w:type="dxa"/>
            <w:vAlign w:val="bottom"/>
          </w:tcPr>
          <w:p>
            <w:pPr>
              <w:jc w:val="right"/>
              <w:ind w:right="396"/>
              <w:spacing w:after="0" w:line="145" w:lineRule="exact"/>
              <w:rPr>
                <w:sz w:val="20"/>
                <w:szCs w:val="20"/>
                <w:color w:val="auto"/>
              </w:rPr>
            </w:pPr>
            <w:r>
              <w:rPr>
                <w:rFonts w:ascii="Times New Roman" w:cs="Times New Roman" w:eastAsia="Times New Roman" w:hAnsi="Times New Roman"/>
                <w:sz w:val="14"/>
                <w:szCs w:val="14"/>
                <w:color w:val="auto"/>
              </w:rPr>
              <w:t>December 31,</w:t>
            </w:r>
          </w:p>
        </w:tc>
      </w:tr>
      <w:tr>
        <w:trPr>
          <w:trHeight w:val="189"/>
        </w:trPr>
        <w:tc>
          <w:tcPr>
            <w:tcW w:w="7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2019</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31,342</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r>
      <w:tr>
        <w:trPr>
          <w:trHeight w:val="223"/>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37,620</w:t>
            </w:r>
          </w:p>
        </w:tc>
      </w:tr>
      <w:tr>
        <w:trPr>
          <w:trHeight w:val="21"/>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(In thousands)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480" w:type="dxa"/>
            <w:vAlign w:val="bottom"/>
          </w:tcPr>
          <w:p>
            <w:pPr>
              <w:spacing w:after="0"/>
              <w:rPr>
                <w:sz w:val="12"/>
                <w:szCs w:val="12"/>
                <w:color w:val="auto"/>
              </w:rPr>
            </w:pPr>
          </w:p>
        </w:tc>
        <w:tc>
          <w:tcPr>
            <w:tcW w:w="1480" w:type="dxa"/>
            <w:vAlign w:val="bottom"/>
          </w:tcPr>
          <w:p>
            <w:pPr>
              <w:jc w:val="right"/>
              <w:ind w:right="493"/>
              <w:spacing w:after="0" w:line="145"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9"/>
        </w:trPr>
        <w:tc>
          <w:tcPr>
            <w:tcW w:w="7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299,138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310,000</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349,138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310,000</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342,138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303,000</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loans</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340,324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300,887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Debt issuance costs - revolving credit facility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35"/>
              <w:spacing w:after="0" w:line="203" w:lineRule="exact"/>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0" w:type="dxa"/>
            <w:vAlign w:val="bottom"/>
          </w:tcPr>
          <w:p>
            <w:pPr>
              <w:spacing w:after="0"/>
              <w:rPr>
                <w:sz w:val="1"/>
                <w:szCs w:val="1"/>
                <w:color w:val="auto"/>
              </w:rPr>
            </w:pPr>
          </w:p>
        </w:tc>
      </w:tr>
      <w:tr>
        <w:trPr>
          <w:trHeight w:val="32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(1) Included as part of other assets.</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December 20, 2019, we completed the refinancing of a portion of our existing debt by entering into a new revolving credit facility (“New Revolving Credit Facility”) to replace the existing revolving credit facility that was entered into in November 2018 (“2018 Revolving Credit Facility”) and entering into a new term loan (“New Term Loan”). The New Revolving Credit Facility is a $100.0 million senior secured revolving credit facility that matures on December 20, 2024 replacing the $100.0 million 2018 Revolving Credit Facility that would have matured on November 21, 2023. The New Term Loan is a $140.0 million senior secured term loan that matures on December 20, 2024. We also have an existing $240.0 million senior secured term loan that was entered into in November 2018 that matures on November 21, 2025 (“2018 Term Loan”). The original amounts available under the New Revolving Credit Facility, New Term Loan, and 2018 Term Loan (collectively, the “Credit Facilities”) in aggregate, totaled $480.0 million.</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New Term Loan bears interest, at our option, at a rate equal to either (i) the Eurodollar Rate (defined as the London Interbank Offered Rate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In addition, the New Term Loan requires installment payments of 1.25% of the original outstanding principal balance of the New Term Loan amount on a quarterly basis, on the last day of each calendar quarter. For the three and nine months ended September 26, 2020, we made the required quarterly payments totaling $1.8 million and $3.5 million, respectively.</w:t>
      </w:r>
    </w:p>
    <w:p>
      <w:pPr>
        <w:spacing w:after="0" w:line="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New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New Revolving Credit Facility is subject to a commitment fee ranging from 0.175% to 0.275%, based upon the consolidated total net adjusted leverage ratio.</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quarterly.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the 2018 Term Loan requires installment payments of 0.25% of the outstanding principal balance of the 2018 Term Loan amount on a quarterly basis.</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under the Credit Facilities, if we meet the annual excess cash flow threshold, we will be required to make excess flow payments. The annual mandatory excess cash flow payments will be based on (i) 50% of the excess cash flow amount if the adjusted leverage ratio is greater than 3.25 to 1.0, (ii) 25% of the excess cash flow amount if the adjusted leverage ratio is less than or equal to 3.25 to 1.0 but greater than 2.50 to 1.0, and (iii) zero percent of the excess cash flow amount if the adjusted leverage ratio is less than or equal to 2.50 to 1.0. During our first quarter of 2020, we made the required 2019 annual excess cash flow payment of $7.4 million. As of September 26, 2020, we were in compliance with all covenants required under the Credit Facilities.</w:t>
      </w:r>
    </w:p>
    <w:p>
      <w:pPr>
        <w:spacing w:after="0" w:line="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26, 2020, as a result of drawing down $50.0 million on the New Revolving Credit Facility during our first quarter of 2020 to hold as cash, we made no net aggregate voluntary prepayments.</w:t>
      </w:r>
    </w:p>
    <w:p>
      <w:pPr>
        <w:spacing w:after="0" w:line="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conjunction with entering into the New Revolving Credit Facility and the New Term Loan, we drew down the entire $140.0 million on the New Term Loan and used those proceeds to pay off and close the 2018 Revolving Credit Facility of $58.5 million, pay down a portion of the 2018 Term Loan of $56.0 million, pay the accrued interest associated with the amounts being paid down on the 2018 Revolving Credit Facility and 2018 Term Loan, pay the fees related to this transaction, and the remainder will be used for general corporate expenses. The New Revolving Credit Facility does not require any principal installment payments, however, the undrawn portion is subject to a commitment fee ranging from 0.175% to 0.275%, based upon the consolidated total net adjusted leverage ratio. The New Term Loan requires installment payments of 1.25% of the initial principal balance outstanding on a quarterly basis. The $56.0 million pay down paid all the required quarterly principal installment payments on the 2018 Term Loan until it matures.</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New Term Loan and 2018 Term Loan were considered a modification of debt and thus, no gain or loss was recorded. Instead, the new fees paid to the lenders of $0.6 million were capitalized and are being amortized over the life of the New Term Loan. The remaining debt issuance costs related to the 2018 Term Loan of $1.5 million will continue to be amortized over its remaining life.</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New Revolving Credit Facility that replaced the 2018 Revolving Credit Facility was considered an extinguishment of debt except for the portion related to the creditors that were part of both the New Revolving Credit Facility and the 2018 Revolving Credit Facility and in which case, it was considered a modification of debt. As a result, we expensed the portion of the unamortized debt issuance costs related to the 2018 Revolving Credit Facility that was considered an extinguishment of debt of $0.5 million. In addition, the new fees paid to the lenders of $0.5 million as part of the New Revolving Credit Facility were capitalized and are being amortized over its remaining life. Further, the remaining debt issuance costs related to the 2018 Revolving Credit Facility of $1.1 million will also be amortized over its remaining life.</w:t>
      </w:r>
    </w:p>
    <w:p>
      <w:pPr>
        <w:spacing w:after="0" w:line="6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October 2019, we acquired 100.0% of the outstanding equity interests of Nobles for an original purchase price of $77.0 million, net of cash acquired, all payable in cash. Upon the closing of the transaction, we paid a gross total aggregate of $77.3 million in cash by drawing down on the 2018 Revolving Credit Facility. See Note 2.</w:t>
      </w:r>
    </w:p>
    <w:p>
      <w:pPr>
        <w:spacing w:after="0" w:line="4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September 26, 2020, we had $49.8 million of unused borrowing capacity under the New Revolving Credit Facility, after deducting $0.2 million for standby letters of credit.</w:t>
      </w:r>
    </w:p>
    <w:p>
      <w:pPr>
        <w:spacing w:after="0" w:line="4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Credit Facilities were entered into by us (“Parent Company”) and guaranteed by all of our domestic subsidiaries, other than two subsidiaries that were considered minor (“Subsidiary Guarantors”). The Subsidiary Guarantors jointly and severally guarantee the Credit Facilities. The Parent Company has no independent assets or operations and therefore, no consolidating financial information for the Parent Company and its subsidiaries are presented.</w:t>
      </w:r>
    </w:p>
    <w:p>
      <w:pPr>
        <w:spacing w:after="0" w:line="12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October 2015, we entered into interest rate cap hedges designated as cash flow hedges with a portion of these interest rate cap hedges maturing on a quarterly basis, with a final quarterly maturity date in June 2020, and in aggregate, totaling $135.0 million of our debt. We paid a total of $1.0 million in connection with entering into the interest rate cap hedges. The interest rate cap hedges matured during our second quarter of 2020 and as such, all remaining amounts related to the interest rate cap hedges were fully amortized and unrealized gains and losses recorded in accumulated other comprehensive income were also realized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Employee Benefit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expense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78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2560" w:type="dxa"/>
            <w:vAlign w:val="bottom"/>
            <w:gridSpan w:val="4"/>
          </w:tcPr>
          <w:p>
            <w:pPr>
              <w:ind w:left="780"/>
              <w:spacing w:after="0"/>
              <w:rPr>
                <w:sz w:val="20"/>
                <w:szCs w:val="20"/>
                <w:color w:val="auto"/>
              </w:rPr>
            </w:pPr>
            <w:r>
              <w:rPr>
                <w:rFonts w:ascii="Times New Roman" w:cs="Times New Roman" w:eastAsia="Times New Roman" w:hAnsi="Times New Roman"/>
                <w:sz w:val="14"/>
                <w:szCs w:val="14"/>
                <w:color w:val="auto"/>
              </w:rPr>
              <w:t>(In thousands)</w:t>
            </w:r>
          </w:p>
        </w:tc>
      </w:tr>
      <w:tr>
        <w:trPr>
          <w:trHeight w:val="189"/>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6"/>
                <w:szCs w:val="16"/>
                <w:color w:val="auto"/>
              </w:rPr>
            </w:pPr>
          </w:p>
        </w:tc>
        <w:tc>
          <w:tcPr>
            <w:tcW w:w="256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45"/>
        </w:trPr>
        <w:tc>
          <w:tcPr>
            <w:tcW w:w="5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180" w:type="dxa"/>
            <w:vAlign w:val="bottom"/>
          </w:tcPr>
          <w:p>
            <w:pPr>
              <w:spacing w:after="0"/>
              <w:rPr>
                <w:sz w:val="12"/>
                <w:szCs w:val="12"/>
                <w:color w:val="auto"/>
              </w:rPr>
            </w:pPr>
          </w:p>
        </w:tc>
        <w:tc>
          <w:tcPr>
            <w:tcW w:w="12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80" w:type="dxa"/>
            <w:vAlign w:val="bottom"/>
          </w:tcPr>
          <w:p>
            <w:pPr>
              <w:spacing w:after="0"/>
              <w:rPr>
                <w:sz w:val="12"/>
                <w:szCs w:val="12"/>
                <w:color w:val="auto"/>
              </w:rPr>
            </w:pPr>
          </w:p>
        </w:tc>
        <w:tc>
          <w:tcPr>
            <w:tcW w:w="1140" w:type="dxa"/>
            <w:vAlign w:val="bottom"/>
          </w:tcPr>
          <w:p>
            <w:pPr>
              <w:jc w:val="right"/>
              <w:ind w:right="155"/>
              <w:spacing w:after="0" w:line="145" w:lineRule="exact"/>
              <w:rPr>
                <w:sz w:val="20"/>
                <w:szCs w:val="20"/>
                <w:color w:val="auto"/>
              </w:rPr>
            </w:pPr>
            <w:r>
              <w:rPr>
                <w:rFonts w:ascii="Times New Roman" w:cs="Times New Roman" w:eastAsia="Times New Roman" w:hAnsi="Times New Roman"/>
                <w:sz w:val="14"/>
                <w:szCs w:val="14"/>
                <w:color w:val="auto"/>
              </w:rPr>
              <w:t>September 28,</w:t>
            </w:r>
          </w:p>
        </w:tc>
      </w:tr>
      <w:tr>
        <w:trPr>
          <w:trHeight w:val="189"/>
        </w:trPr>
        <w:tc>
          <w:tcPr>
            <w:tcW w:w="5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2019</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7"/>
              </w:rPr>
              <w:t>(411)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(1,321)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48"/>
        </w:trPr>
        <w:tc>
          <w:tcPr>
            <w:tcW w:w="5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components of the reclassifications of net actuarial losses from accumulated other comprehensive loss to net income for the three and nine months ended September 26, 2020 were as follows:</w:t>
      </w:r>
    </w:p>
    <w:p>
      <w:pPr>
        <w:spacing w:after="0" w:line="144" w:lineRule="exact"/>
        <w:rPr>
          <w:sz w:val="20"/>
          <w:szCs w:val="20"/>
          <w:color w:val="auto"/>
        </w:rPr>
      </w:pPr>
    </w:p>
    <w:tbl>
      <w:tblPr>
        <w:tblLayout w:type="fixed"/>
        <w:tblInd w:w="1340" w:type="dxa"/>
        <w:tblCellMar>
          <w:top w:w="0" w:type="dxa"/>
          <w:left w:w="0" w:type="dxa"/>
          <w:bottom w:w="0" w:type="dxa"/>
          <w:right w:w="0" w:type="dxa"/>
        </w:tblCellMar>
      </w:tblPr>
      <w:tr>
        <w:trPr>
          <w:trHeight w:val="188"/>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4"/>
          </w:tcPr>
          <w:p>
            <w:pPr>
              <w:ind w:left="1120"/>
              <w:spacing w:after="0"/>
              <w:rPr>
                <w:sz w:val="20"/>
                <w:szCs w:val="20"/>
                <w:color w:val="auto"/>
              </w:rPr>
            </w:pPr>
            <w:r>
              <w:rPr>
                <w:rFonts w:ascii="Times New Roman" w:cs="Times New Roman" w:eastAsia="Times New Roman" w:hAnsi="Times New Roman"/>
                <w:sz w:val="14"/>
                <w:szCs w:val="14"/>
                <w:color w:val="auto"/>
              </w:rPr>
              <w:t>(In thousands)</w:t>
            </w:r>
          </w:p>
        </w:tc>
      </w:tr>
      <w:tr>
        <w:trPr>
          <w:trHeight w:val="189"/>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6"/>
                <w:szCs w:val="16"/>
                <w:color w:val="auto"/>
              </w:rPr>
            </w:pPr>
          </w:p>
        </w:tc>
        <w:tc>
          <w:tcPr>
            <w:tcW w:w="1480" w:type="dxa"/>
            <w:vAlign w:val="bottom"/>
          </w:tcPr>
          <w:p>
            <w:pPr>
              <w:jc w:val="center"/>
              <w:ind w:right="119"/>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45"/>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80" w:type="dxa"/>
            <w:vAlign w:val="bottom"/>
          </w:tcPr>
          <w:p>
            <w:pPr>
              <w:spacing w:after="0"/>
              <w:rPr>
                <w:sz w:val="12"/>
                <w:szCs w:val="12"/>
                <w:color w:val="auto"/>
              </w:rPr>
            </w:pPr>
          </w:p>
        </w:tc>
        <w:tc>
          <w:tcPr>
            <w:tcW w:w="1480" w:type="dxa"/>
            <w:vAlign w:val="bottom"/>
          </w:tcPr>
          <w:p>
            <w:pPr>
              <w:jc w:val="center"/>
              <w:ind w:right="99"/>
              <w:spacing w:after="0" w:line="145" w:lineRule="exact"/>
              <w:rPr>
                <w:sz w:val="20"/>
                <w:szCs w:val="20"/>
                <w:color w:val="auto"/>
              </w:rPr>
            </w:pPr>
            <w:r>
              <w:rPr>
                <w:rFonts w:ascii="Times New Roman" w:cs="Times New Roman" w:eastAsia="Times New Roman" w:hAnsi="Times New Roman"/>
                <w:sz w:val="14"/>
                <w:szCs w:val="14"/>
                <w:color w:val="auto"/>
              </w:rPr>
              <w:t>September 26,</w:t>
            </w:r>
          </w:p>
        </w:tc>
      </w:tr>
      <w:tr>
        <w:trPr>
          <w:trHeight w:val="189"/>
        </w:trPr>
        <w:tc>
          <w:tcPr>
            <w:tcW w:w="5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color w:val="auto"/>
                <w:w w:val="99"/>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color w:val="auto"/>
              </w:rPr>
              <w:t>2020</w:t>
            </w:r>
          </w:p>
        </w:tc>
      </w:tr>
      <w:tr>
        <w:trPr>
          <w:trHeight w:val="223"/>
        </w:trPr>
        <w:tc>
          <w:tcPr>
            <w:tcW w:w="5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Amortization of actuarial losses - total before tax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979"/>
              <w:spacing w:after="0"/>
              <w:rPr>
                <w:sz w:val="20"/>
                <w:szCs w:val="20"/>
                <w:color w:val="auto"/>
              </w:rPr>
            </w:pPr>
            <w:r>
              <w:rPr>
                <w:rFonts w:ascii="Times New Roman" w:cs="Times New Roman" w:eastAsia="Times New Roman" w:hAnsi="Times New Roman"/>
                <w:sz w:val="18"/>
                <w:szCs w:val="18"/>
                <w:color w:val="auto"/>
                <w:w w:val="96"/>
              </w:rPr>
              <w:t>744</w:t>
            </w:r>
          </w:p>
        </w:tc>
      </w:tr>
      <w:tr>
        <w:trPr>
          <w:trHeight w:val="230"/>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959"/>
              <w:spacing w:after="0"/>
              <w:rPr>
                <w:sz w:val="20"/>
                <w:szCs w:val="20"/>
                <w:color w:val="auto"/>
              </w:rPr>
            </w:pPr>
            <w:r>
              <w:rPr>
                <w:rFonts w:ascii="Times New Roman" w:cs="Times New Roman" w:eastAsia="Times New Roman" w:hAnsi="Times New Roman"/>
                <w:sz w:val="18"/>
                <w:szCs w:val="18"/>
                <w:color w:val="auto"/>
              </w:rPr>
              <w:t>(177)</w:t>
            </w:r>
          </w:p>
        </w:tc>
      </w:tr>
      <w:tr>
        <w:trPr>
          <w:trHeight w:val="24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979"/>
              <w:spacing w:after="0"/>
              <w:rPr>
                <w:sz w:val="20"/>
                <w:szCs w:val="20"/>
                <w:color w:val="auto"/>
              </w:rPr>
            </w:pPr>
            <w:r>
              <w:rPr>
                <w:rFonts w:ascii="Times New Roman" w:cs="Times New Roman" w:eastAsia="Times New Roman" w:hAnsi="Times New Roman"/>
                <w:sz w:val="18"/>
                <w:szCs w:val="18"/>
                <w:color w:val="auto"/>
                <w:w w:val="96"/>
              </w:rPr>
              <w:t>567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80" w:right="600" w:hanging="329"/>
        <w:spacing w:after="0" w:line="282" w:lineRule="auto"/>
        <w:tabs>
          <w:tab w:leader="none" w:pos="5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expense is included in the computation of periodic pension cost and is a decrease to net income upon reclassification from accumulated other comprehensive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Indemnifications</w:t>
      </w:r>
    </w:p>
    <w:p>
      <w:pPr>
        <w:spacing w:after="0" w:line="10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In connection with certain facility leases, we have indemnified our lessors for certain claims arising from our use of the facility under our lease. We indemnify our directors and officers to the maximum extent permitted under the laws of the State of Delaware.</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However, we have a directors and officers insurance policy that may reduce our exposure in certain circumstances and may enable us to recover a portion of future amounts that may be payable, if any. The duration of the guarantees and indemnities vary and, in many cases, are subject to statutes of limitations. The majority of guarantees and indemnities do not provide any limitations of the maximum potential future payments we could be obligated to make. Historically, payments related to these guarantees and indemnities have been immaterial. We estimate the amount of our indemnification obligations as insignificant based on this history and our insurance coverage and therefore, have not recorded any liability for these guarantees and indemnities on the accompanying condensed consolidated balance sheets. Further, when considered with our insurance coverage, although recorded through different captions on our condensed consolidated balance sheets, the potential impact is further mitigated.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the recognition or derecognition of tax benefits related to uncertain tax positions, and changes in or the interpretation of tax laws in jurisdictions where we conduct business. Also, excess tax benefits and tax detriments related to our equity compensation recognized in the income statement could result in fluctuations in our effective tax rate period-over-period depending on the volatility of our stock price and how many units vest and options exercised in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4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$0.8 million for the three months ended September 26, 2020 compared to $1.9 million for the three months ended September 28, 2019. The decrease in income tax expense for the third quarter of 2020 compared to the third quarter of 2019 was primarily due to lower pre-tax income for the third quarter of 2020 compared to the third quarter of 2019 and higher discrete tax benefits recognized in the third quarter of 2020 mainly related to the U.S. Federal research and development tax credit.</w:t>
      </w:r>
    </w:p>
    <w:p>
      <w:pPr>
        <w:spacing w:after="0" w:line="5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$3.4 million for the nine months ended September 26, 2020 compared to $4.3 million for the nine months ended September 28, 2019. The decrease in income tax expense for the first nine months of 2020 compared to the first nine months of 2019 was primarily due to lower pre-tax income for the first nine months ended of 2020 compared to the first nine months ended of 2019 and higher discrete tax benefits recognized in the third quarter of 2020. The higher discrete tax benefits recognized were mainly related to the U.S. Federal research and development tax credit, partially offset by lower discrete tax benefits related to net windfalls from stock-based compensation.</w:t>
      </w:r>
    </w:p>
    <w:p>
      <w:pPr>
        <w:spacing w:after="0" w:line="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March 27, 2020, the U.S. enacted the Coronavirus Aid, Relief, and Economic Security Act (“CARES Act”) that provides tax relief to individuals and businesses affected by the coronavirus pandemic. We considered the provisions of the CARES Act and determined they do not have a material impact to our income taxes.</w:t>
      </w:r>
    </w:p>
    <w:p>
      <w:pPr>
        <w:spacing w:after="0" w:line="4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total amount of unrecognized tax benefits was $5.9 million and $5.7 million as of September 26, 2020 and December 31, 2019, respectively. If recognized, $4.3 million would affect the effective tax rate. As a result of the statute of limitations set to expire in the fourth quarter of 2020, we expect decreases to our unrecognized tax benefits of approximately $2.0 million in the next twelve months.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its facilities located in El Mirage and Monrovia, California. Based on currently available information, we have established an accrual for its estimated liability for such investigation and corrective action of $1.5 million at both September 26, 2020 and December 31, 2019, which is reflected in other long-term liabilities on our condensed consolidated balance sheets.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its future liabilities in connection with the landfill located in West Covina, California is between $0.4 million and $3.1 million. We have established an accrual for its estimated liability in connection with the West Covina landfill of $0.4 million at September 26, 2020, which is reflected in other long-term liabilities on our condensed consolidated balance sheet.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June 29, 2020, a fire severely damaged our performance center in Guaymas, Mexico, which is part of our Structural Systems segment. There were no injuries, however, property and equipment, inventories, and tooling in this leased facility were damaged. Our Guaymas performance center is comprised of two buildings with an aggregate total of 62,000 square feet. The loss of production from the Guaymas performance center is being absorbed by our other existing performance centers.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insurance covers damage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three months ended September 26,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three months ended September 26, 2020, we wrote off property and equipment and tooling with an aggregate total net book value of $6.8 million and inventory on hand of $3.4 million that were damaged by the fire. The related anticipated insurance recoveries were also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7"/>
          <w:szCs w:val="17"/>
          <w:color w:val="auto"/>
        </w:rPr>
        <w:t>presented within the same financial statement line item in the condensed consolidated statements of income resulting in no net impact, with the anticipated insurance recoveries receivable included as part of other current assets on the condensed consolidated balance sheets. As of September 26, 2020,</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$5.0 million of general insurance recoveries have been received to date. The timing of and the remaining amounts of insurance recoveries, including for business interruption, are not known at this time.</w:t>
      </w:r>
    </w:p>
    <w:p>
      <w:pPr>
        <w:spacing w:after="0" w:line="4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Business Segment Information</w:t>
      </w:r>
    </w:p>
    <w:p>
      <w:pPr>
        <w:spacing w:after="0" w:line="17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operating segment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gridSpan w:val="5"/>
          </w:tcPr>
          <w:p>
            <w:pPr>
              <w:ind w:left="78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3"/>
                <w:szCs w:val="13"/>
                <w:color w:val="auto"/>
              </w:rPr>
            </w:pPr>
          </w:p>
        </w:tc>
        <w:tc>
          <w:tcPr>
            <w:tcW w:w="256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80"/>
        </w:trPr>
        <w:tc>
          <w:tcPr>
            <w:tcW w:w="5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5"/>
                <w:szCs w:val="15"/>
                <w:color w:val="auto"/>
              </w:rPr>
            </w:pPr>
          </w:p>
        </w:tc>
        <w:tc>
          <w:tcPr>
            <w:tcW w:w="25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80" w:type="dxa"/>
            <w:vAlign w:val="bottom"/>
          </w:tcPr>
          <w:p>
            <w:pPr>
              <w:spacing w:after="0"/>
              <w:rPr>
                <w:sz w:val="12"/>
                <w:szCs w:val="12"/>
                <w:color w:val="auto"/>
              </w:rPr>
            </w:pPr>
          </w:p>
        </w:tc>
        <w:tc>
          <w:tcPr>
            <w:tcW w:w="12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180" w:type="dxa"/>
            <w:vAlign w:val="bottom"/>
          </w:tcPr>
          <w:p>
            <w:pPr>
              <w:spacing w:after="0"/>
              <w:rPr>
                <w:sz w:val="12"/>
                <w:szCs w:val="12"/>
                <w:color w:val="auto"/>
              </w:rPr>
            </w:pPr>
          </w:p>
        </w:tc>
        <w:tc>
          <w:tcPr>
            <w:tcW w:w="12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80" w:type="dxa"/>
            <w:vAlign w:val="bottom"/>
          </w:tcPr>
          <w:p>
            <w:pPr>
              <w:spacing w:after="0"/>
              <w:rPr>
                <w:sz w:val="12"/>
                <w:szCs w:val="12"/>
                <w:color w:val="auto"/>
              </w:rPr>
            </w:pPr>
          </w:p>
        </w:tc>
        <w:tc>
          <w:tcPr>
            <w:tcW w:w="1140" w:type="dxa"/>
            <w:vAlign w:val="bottom"/>
          </w:tcPr>
          <w:p>
            <w:pPr>
              <w:jc w:val="right"/>
              <w:ind w:right="152"/>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0" w:type="dxa"/>
            <w:vAlign w:val="bottom"/>
          </w:tcPr>
          <w:p>
            <w:pPr>
              <w:spacing w:after="0"/>
              <w:rPr>
                <w:sz w:val="1"/>
                <w:szCs w:val="1"/>
                <w:color w:val="auto"/>
              </w:rPr>
            </w:pPr>
          </w:p>
        </w:tc>
      </w:tr>
      <w:tr>
        <w:trPr>
          <w:trHeight w:val="189"/>
        </w:trPr>
        <w:tc>
          <w:tcPr>
            <w:tcW w:w="5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Electronic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264,045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Structural Systems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270,117</w:t>
            </w:r>
          </w:p>
        </w:tc>
        <w:tc>
          <w:tcPr>
            <w:tcW w:w="0" w:type="dxa"/>
            <w:vAlign w:val="bottom"/>
          </w:tcPr>
          <w:p>
            <w:pPr>
              <w:spacing w:after="0"/>
              <w:rPr>
                <w:sz w:val="1"/>
                <w:szCs w:val="1"/>
                <w:color w:val="auto"/>
              </w:rPr>
            </w:pPr>
          </w:p>
        </w:tc>
      </w:tr>
      <w:tr>
        <w:trPr>
          <w:trHeight w:val="223"/>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Net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534,162</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Electronic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Structural Systems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0" w:type="dxa"/>
            <w:vAlign w:val="bottom"/>
          </w:tcPr>
          <w:p>
            <w:pPr>
              <w:spacing w:after="0"/>
              <w:rPr>
                <w:sz w:val="1"/>
                <w:szCs w:val="1"/>
                <w:color w:val="auto"/>
              </w:rPr>
            </w:pPr>
          </w:p>
        </w:tc>
      </w:tr>
      <w:tr>
        <w:trPr>
          <w:trHeight w:val="223"/>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Electronic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Structural Systems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Electronic Systems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0" w:type="dxa"/>
            <w:vAlign w:val="bottom"/>
          </w:tcPr>
          <w:p>
            <w:pPr>
              <w:spacing w:after="0"/>
              <w:rPr>
                <w:sz w:val="1"/>
                <w:szCs w:val="1"/>
                <w:color w:val="auto"/>
              </w:rPr>
            </w:pPr>
          </w:p>
        </w:tc>
      </w:tr>
      <w:tr>
        <w:trPr>
          <w:trHeight w:val="230"/>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Structural Systems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right="3280" w:hanging="5289"/>
        <w:spacing w:after="0" w:line="923"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include assets directly identifiable to or allocated to each segment. Our segment assets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ind w:left="20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420" w:type="dxa"/>
            <w:vAlign w:val="bottom"/>
          </w:tcPr>
          <w:p>
            <w:pPr>
              <w:spacing w:after="0"/>
              <w:rPr>
                <w:sz w:val="12"/>
                <w:szCs w:val="12"/>
                <w:color w:val="auto"/>
              </w:rPr>
            </w:pPr>
          </w:p>
        </w:tc>
        <w:tc>
          <w:tcPr>
            <w:tcW w:w="1400" w:type="dxa"/>
            <w:vAlign w:val="bottom"/>
          </w:tcPr>
          <w:p>
            <w:pPr>
              <w:jc w:val="right"/>
              <w:ind w:right="434"/>
              <w:spacing w:after="0" w:line="145"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9"/>
        </w:trPr>
        <w:tc>
          <w:tcPr>
            <w:tcW w:w="7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Electronic Systems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441,151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411,981</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Structural Systems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328,718</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Administration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90,099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49,730</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790,429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Electronic Systems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210,453</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Structural Systems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98,826</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309,279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80" w:right="120" w:hanging="329"/>
        <w:spacing w:after="0" w:line="282" w:lineRule="auto"/>
        <w:tabs>
          <w:tab w:leader="none" w:pos="5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not specifically identified to or allocated to either the Electronic Systems or Structural Systems operating segments, including cash and cash equivalents.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 on Our Business</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COVID-19 pandemic has had a significant impact on our overall business during the three and nine months ended September 26, 2020.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made the safety of our workforce our top priority by implementing numerous well-being protocols related to health and welfare at all of our facilities. Safety protocols consistent with guidelines provided by state and local governments and the Centers for Disease Control and Prevention (“CDC”) have been put into practice, including social distancing, provision of personal protective equipment, enhanced cleaning, and flexible work arrangements wherever possible. We have also offered enhanced leave and benefits to our employees and provide frequent updates to ensure our workforce is kept apprised of evolving regulations and safety measures.</w:t>
      </w:r>
    </w:p>
    <w:p>
      <w:pPr>
        <w:spacing w:after="0" w:line="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March 27, 2020, the U.S. enacted the Coronavirus Aid, Relief, and Economic Security Act (“CARES Act”) which provides tax relief to individuals and businesses affected by the coronavirus pandemic. We have not requested or accepted any loans or payments that are available under the CARES Act, however, we have utilized the option to defer payment of the employer portion of payroll taxes (Social Security) that would otherwise be required to be made during the period beginning March 27, 2020 to December 31, 2020. One half of the deferred amount is required to be paid by December 31, 2021, with the remaining 50% to be paid by December 31, 2022. As of September 26, 2020, we have deferred $4.0 million and is included as part of other long-term liabilities on the condensed consolidated balance sheets.</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COVID-19 pandemic has and continues to contribute to a general slowdown in the global economy and specifically, the commercial aerospace end-use market.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the remainder of 2020 and beyond. See Risk Factors included in Part II, Item 1A of this Quarterly Report on Form 10-Q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2020 recap:</w:t>
      </w:r>
    </w:p>
    <w:p>
      <w:pPr>
        <w:spacing w:after="0" w:line="121"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$150.4 million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$6.5 million, or $0.54 per diluted share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$21.6 million, or 14.4% of revenues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and restructuring charges (“Adjusted EBITDA”) was $21.6 million and $23.6 million for the three months ended September 26, 2020 and September 28, 2019, respectively.</w:t>
      </w:r>
    </w:p>
    <w:p>
      <w:pPr>
        <w:spacing w:after="0" w:line="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to clarify and enhance the understanding of the factors and trends affecting our past performance and future prospects. We define these measures, explain how they are calculated and provide reconciliations of these measures to the most comparable GAAP measure in the table below. Adjusted EBITDA and the related financial ratios, as presented in this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use Adjusted EBITDA non-GAAP operating performance measures internally as complementary financial measures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5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significant interest expense or the cash requirements necessary to service interest or principal payments on our debt;</w:t>
      </w:r>
    </w:p>
    <w:p>
      <w:pPr>
        <w:spacing w:after="0" w:line="53"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on earnings of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in our industry may calculate Adjusted EBITDA differently from us, limiting their usefulness as comparative measures.</w:t>
      </w:r>
    </w:p>
    <w:p>
      <w:pPr>
        <w:spacing w:after="0" w:line="11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5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However, in spite of the above limitations, we believe that Adjusted EBITDA is useful to an investor in evaluating our results of operations because these measures:</w:t>
      </w:r>
    </w:p>
    <w:p>
      <w:pPr>
        <w:spacing w:after="0" w:line="54" w:lineRule="exact"/>
        <w:rPr>
          <w:sz w:val="20"/>
          <w:szCs w:val="20"/>
          <w:color w:val="auto"/>
        </w:rPr>
      </w:pPr>
    </w:p>
    <w:p>
      <w:pPr>
        <w:ind w:left="1300" w:right="22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used by our management team for various other purposes in presentations to our Board of Directors as a basis for strategic planning and forecasting.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53"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53"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may be useful to our investors in evaluating our core operating performance;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Guaymas fire related expenses may be useful to our investors in evaluating our core operating performance.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3"/>
                <w:szCs w:val="13"/>
                <w:color w:val="auto"/>
              </w:rPr>
            </w:pPr>
          </w:p>
        </w:tc>
        <w:tc>
          <w:tcPr>
            <w:tcW w:w="250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5"/>
                <w:szCs w:val="15"/>
                <w:color w:val="auto"/>
              </w:rPr>
            </w:pPr>
          </w:p>
        </w:tc>
        <w:tc>
          <w:tcPr>
            <w:tcW w:w="25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4"/>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60" w:type="dxa"/>
            <w:vAlign w:val="bottom"/>
          </w:tcPr>
          <w:p>
            <w:pPr>
              <w:spacing w:after="0"/>
              <w:rPr>
                <w:sz w:val="12"/>
                <w:szCs w:val="12"/>
                <w:color w:val="auto"/>
              </w:rPr>
            </w:pPr>
          </w:p>
        </w:tc>
        <w:tc>
          <w:tcPr>
            <w:tcW w:w="122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180" w:type="dxa"/>
            <w:vAlign w:val="bottom"/>
          </w:tcPr>
          <w:p>
            <w:pPr>
              <w:spacing w:after="0"/>
              <w:rPr>
                <w:sz w:val="12"/>
                <w:szCs w:val="12"/>
                <w:color w:val="auto"/>
              </w:rPr>
            </w:pPr>
          </w:p>
        </w:tc>
        <w:tc>
          <w:tcPr>
            <w:tcW w:w="122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160" w:type="dxa"/>
            <w:vAlign w:val="bottom"/>
          </w:tcPr>
          <w:p>
            <w:pPr>
              <w:spacing w:after="0"/>
              <w:rPr>
                <w:sz w:val="12"/>
                <w:szCs w:val="12"/>
                <w:color w:val="auto"/>
              </w:rPr>
            </w:pPr>
          </w:p>
        </w:tc>
        <w:tc>
          <w:tcPr>
            <w:tcW w:w="1120" w:type="dxa"/>
            <w:vAlign w:val="bottom"/>
          </w:tcPr>
          <w:p>
            <w:pPr>
              <w:jc w:val="right"/>
              <w:ind w:right="133"/>
              <w:spacing w:after="0" w:line="145" w:lineRule="exact"/>
              <w:rPr>
                <w:sz w:val="20"/>
                <w:szCs w:val="20"/>
                <w:color w:val="auto"/>
              </w:rPr>
            </w:pPr>
            <w:r>
              <w:rPr>
                <w:rFonts w:ascii="Times New Roman" w:cs="Times New Roman" w:eastAsia="Times New Roman" w:hAnsi="Times New Roman"/>
                <w:sz w:val="14"/>
                <w:szCs w:val="14"/>
                <w:color w:val="auto"/>
              </w:rPr>
              <w:t>September 28,</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6,501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19,521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23,590</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11,068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13,140</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10,407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11,334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6,605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18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21,647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65,151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67,128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 of net revenues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of 2020 Compared to Third Quarter of 2019</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60" w:type="dxa"/>
            <w:vAlign w:val="bottom"/>
            <w:gridSpan w:val="7"/>
          </w:tcPr>
          <w:p>
            <w:pPr>
              <w:jc w:val="center"/>
              <w:ind w:left="67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gridSpan w:val="7"/>
          </w:tcPr>
          <w:p>
            <w:pPr>
              <w:jc w:val="center"/>
              <w:ind w:left="67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September 26,</w:t>
            </w:r>
          </w:p>
        </w:tc>
        <w:tc>
          <w:tcPr>
            <w:tcW w:w="1000" w:type="dxa"/>
            <w:vAlign w:val="bottom"/>
            <w:gridSpan w:val="2"/>
          </w:tcPr>
          <w:p>
            <w:pPr>
              <w:jc w:val="center"/>
              <w:ind w:left="3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September 28,</w:t>
            </w: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September 26,</w:t>
            </w:r>
          </w:p>
        </w:tc>
        <w:tc>
          <w:tcPr>
            <w:tcW w:w="1020" w:type="dxa"/>
            <w:vAlign w:val="bottom"/>
            <w:gridSpan w:val="2"/>
          </w:tcPr>
          <w:p>
            <w:pPr>
              <w:jc w:val="center"/>
              <w:ind w:left="13"/>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September 28,</w:t>
            </w:r>
          </w:p>
        </w:tc>
        <w:tc>
          <w:tcPr>
            <w:tcW w:w="9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rPr>
              <w:t>of Net</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color w:val="auto"/>
              </w:rPr>
              <w:t>of Net</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color w:val="auto"/>
              </w:rPr>
              <w:t>of Net</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of Net</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spacing w:after="0"/>
              <w:rPr>
                <w:sz w:val="16"/>
                <w:szCs w:val="16"/>
                <w:color w:val="auto"/>
              </w:rPr>
            </w:pP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150,371</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181,101</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471,155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534,162</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116,906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142,774</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368,218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422,076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33,465</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38,327</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102,937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112,086</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tcPr>
          <w:p>
            <w:pPr>
              <w:spacing w:after="0"/>
              <w:rPr>
                <w:sz w:val="15"/>
                <w:szCs w:val="15"/>
                <w:color w:val="auto"/>
              </w:rPr>
            </w:pPr>
          </w:p>
        </w:tc>
        <w:tc>
          <w:tcPr>
            <w:tcW w:w="100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22,093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23,724</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67,253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71,031</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1,107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10,265</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14,603</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33,916</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41,055</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(4,363)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(11,068)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(13,140)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7,263</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10,240</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22,947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27,915</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4,325</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6,501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8,303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19,521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23,590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108"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8"/>
          <w:szCs w:val="18"/>
          <w:color w:val="auto"/>
        </w:rPr>
        <w:t>Net revenues by end-use market and operating segment during the fiscal three and nine months ended September 26, 2020 and September 28, 2019, respectively,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w w:val="99"/>
              </w:rPr>
              <w:t>Three Months Ended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Nine Months Ended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6"/>
          </w:tcPr>
          <w:p>
            <w:pPr>
              <w:ind w:left="280"/>
              <w:spacing w:after="0"/>
              <w:rPr>
                <w:sz w:val="20"/>
                <w:szCs w:val="20"/>
                <w:color w:val="auto"/>
              </w:rPr>
            </w:pPr>
            <w:r>
              <w:rPr>
                <w:rFonts w:ascii="Times New Roman" w:cs="Times New Roman" w:eastAsia="Times New Roman" w:hAnsi="Times New Roman"/>
                <w:sz w:val="11"/>
                <w:szCs w:val="11"/>
                <w:color w:val="auto"/>
              </w:rPr>
              <w:t>(Dollars in thousands)</w:t>
            </w:r>
          </w:p>
        </w:tc>
        <w:tc>
          <w:tcPr>
            <w:tcW w:w="1780" w:type="dxa"/>
            <w:vAlign w:val="bottom"/>
            <w:tcBorders>
              <w:top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1"/>
                <w:szCs w:val="11"/>
                <w:color w:val="auto"/>
              </w:rPr>
              <w:t>% of Net Revenues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280"/>
              <w:spacing w:after="0"/>
              <w:rPr>
                <w:sz w:val="20"/>
                <w:szCs w:val="20"/>
                <w:color w:val="auto"/>
              </w:rPr>
            </w:pPr>
            <w:r>
              <w:rPr>
                <w:rFonts w:ascii="Times New Roman" w:cs="Times New Roman" w:eastAsia="Times New Roman" w:hAnsi="Times New Roman"/>
                <w:sz w:val="11"/>
                <w:szCs w:val="11"/>
                <w:color w:val="auto"/>
              </w:rPr>
              <w:t>(Dollars in thousands)</w:t>
            </w:r>
          </w:p>
        </w:tc>
        <w:tc>
          <w:tcPr>
            <w:tcW w:w="1800" w:type="dxa"/>
            <w:vAlign w:val="bottom"/>
            <w:tcBorders>
              <w:top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Change</w:t>
            </w:r>
          </w:p>
        </w:tc>
        <w:tc>
          <w:tcPr>
            <w:tcW w:w="1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26,</w:t>
            </w:r>
          </w:p>
        </w:tc>
        <w:tc>
          <w:tcPr>
            <w:tcW w:w="100" w:type="dxa"/>
            <w:vAlign w:val="bottom"/>
          </w:tcPr>
          <w:p>
            <w:pPr>
              <w:spacing w:after="0"/>
              <w:rPr>
                <w:sz w:val="11"/>
                <w:szCs w:val="1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September 28,</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September 26,</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September 28,</w:t>
            </w:r>
          </w:p>
        </w:tc>
        <w:tc>
          <w:tcPr>
            <w:tcW w:w="14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Change</w:t>
            </w:r>
          </w:p>
        </w:tc>
        <w:tc>
          <w:tcPr>
            <w:tcW w:w="1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26</w:t>
            </w:r>
          </w:p>
        </w:tc>
        <w:tc>
          <w:tcPr>
            <w:tcW w:w="80" w:type="dxa"/>
            <w:vAlign w:val="bottom"/>
          </w:tcPr>
          <w:p>
            <w:pPr>
              <w:spacing w:after="0"/>
              <w:rPr>
                <w:sz w:val="11"/>
                <w:szCs w:val="1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September 28,</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September 26</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1"/>
                <w:szCs w:val="11"/>
                <w:color w:val="auto"/>
              </w:rPr>
              <w:t>September 28,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1"/>
                <w:szCs w:val="11"/>
                <w:color w:val="auto"/>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tcPr>
          <w:p>
            <w:pPr>
              <w:spacing w:after="0"/>
              <w:rPr>
                <w:sz w:val="12"/>
                <w:szCs w:val="12"/>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1"/>
                <w:szCs w:val="1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1"/>
                <w:szCs w:val="11"/>
                <w:color w:val="auto"/>
              </w:rPr>
              <w:t>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1"/>
                <w:szCs w:val="11"/>
                <w:color w:val="auto"/>
              </w:rPr>
              <w:t>2020</w:t>
            </w:r>
          </w:p>
        </w:tc>
        <w:tc>
          <w:tcPr>
            <w:tcW w:w="120" w:type="dxa"/>
            <w:vAlign w:val="bottom"/>
          </w:tcPr>
          <w:p>
            <w:pPr>
              <w:spacing w:after="0"/>
              <w:rPr>
                <w:sz w:val="12"/>
                <w:szCs w:val="12"/>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1"/>
                <w:szCs w:val="11"/>
                <w:color w:val="auto"/>
              </w:rPr>
              <w:t>2019</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98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 Ducommun</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4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33,372</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113,859</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80,487</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75.7 %</w:t>
            </w: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44.4 %</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75,844</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4"/>
                <w:szCs w:val="14"/>
                <w:color w:val="auto"/>
              </w:rPr>
              <w:t>307,479</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231,635</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65.3 %</w:t>
            </w: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43.4 %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88,922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130,948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269,080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27.8 %</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11,692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32,728</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33,447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150,371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181,101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471,155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534,162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9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Electronic Systems</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820" w:type="dxa"/>
            <w:vAlign w:val="bottom"/>
            <w:tcBorders>
              <w:top w:val="single" w:sz="8" w:color="CCEEFF"/>
            </w:tcBorders>
            <w:gridSpan w:val="3"/>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23,094</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82,175</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59,081</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79.4 %</w:t>
            </w: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65.2 %</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4"/>
                <w:szCs w:val="14"/>
                <w:color w:val="auto"/>
              </w:rPr>
              <w:t>46,879</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4"/>
                <w:szCs w:val="14"/>
                <w:color w:val="auto"/>
              </w:rPr>
              <w:t>223,692</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176,813</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76.2 %</w:t>
            </w: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67.0 %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19,815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37,120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11,692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32,728</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33,447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103,470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90,588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29,495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293,540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264,045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Structural Systems</w:t>
            </w:r>
          </w:p>
        </w:tc>
        <w:tc>
          <w:tcPr>
            <w:tcW w:w="80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21,406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67.6 %</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28,965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83,787</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69,107</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76.4 %</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(121,467)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93,828</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215,295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52.8 %</w:t>
            </w:r>
          </w:p>
        </w:tc>
        <w:tc>
          <w:tcPr>
            <w:tcW w:w="1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8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(43,612)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46,901</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90,513</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(92,502)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177,615</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270,117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September 26, 2020 were $150.4 million, compared to $181.1 million for the three months ended September 28, 2019. The year-over-year decrease was primarily due to the following:</w:t>
      </w:r>
    </w:p>
    <w:p>
      <w:pPr>
        <w:spacing w:after="0" w:line="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$62.9 million lower revenues in our commercial aerospace end-use markets due to lower build rates on large aircraft platforms; partially offset by</w:t>
      </w:r>
    </w:p>
    <w:p>
      <w:pPr>
        <w:spacing w:after="0" w:line="10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 million higher revenues in our military and space end-use markets due to additional content and higher build rates on other military and space platforms, higher build rates on military fixed-wing aircraft platforms and various missile platforms.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revenues for the nine months ended September 26, 2020 were $471.2 million, compared to $534.2 million for the nine months ended September 28, 2019. The year-over-year decrease was primarily due to the following:</w:t>
      </w:r>
    </w:p>
    <w:p>
      <w:pPr>
        <w:spacing w:after="0" w:line="4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$138.1 million lower revenues in our commercial aerospace end-use markets due to lower build rates on large aircraft platforms; partially offset by</w:t>
      </w:r>
    </w:p>
    <w:p>
      <w:pPr>
        <w:spacing w:after="0" w:line="101" w:lineRule="exact"/>
        <w:rPr>
          <w:rFonts w:ascii="Times New Roman" w:cs="Times New Roman" w:eastAsia="Times New Roman" w:hAnsi="Times New Roman"/>
          <w:sz w:val="17"/>
          <w:szCs w:val="17"/>
          <w:color w:val="auto"/>
        </w:rPr>
      </w:pPr>
    </w:p>
    <w:p>
      <w:pPr>
        <w:ind w:left="660" w:right="560" w:hanging="328"/>
        <w:spacing w:after="0" w:line="312"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$75.8 million higher revenues in our military and space end-use markets due to higher build rates on military fixed-wing aircraft platforms, additional content and higher build rates on other military and space platforms, and higher build rates on various missile platforms.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126" w:lineRule="exact"/>
        <w:rPr>
          <w:sz w:val="20"/>
          <w:szCs w:val="20"/>
          <w:color w:val="auto"/>
        </w:rPr>
      </w:pPr>
    </w:p>
    <w:tbl>
      <w:tblPr>
        <w:tblLayout w:type="fixed"/>
        <w:tblInd w:w="1680" w:type="dxa"/>
        <w:tblCellMar>
          <w:top w:w="0" w:type="dxa"/>
          <w:left w:w="0" w:type="dxa"/>
          <w:bottom w:w="0" w:type="dxa"/>
          <w:right w:w="0" w:type="dxa"/>
        </w:tblCellMar>
      </w:tblPr>
      <w:tr>
        <w:trPr>
          <w:trHeight w:val="193"/>
        </w:trPr>
        <w:tc>
          <w:tcPr>
            <w:tcW w:w="2880" w:type="dxa"/>
            <w:vAlign w:val="bottom"/>
          </w:tcPr>
          <w:p>
            <w:pPr>
              <w:spacing w:after="0"/>
              <w:rPr>
                <w:sz w:val="16"/>
                <w:szCs w:val="16"/>
                <w:color w:val="auto"/>
              </w:rPr>
            </w:pPr>
          </w:p>
        </w:tc>
        <w:tc>
          <w:tcPr>
            <w:tcW w:w="2560" w:type="dxa"/>
            <w:vAlign w:val="bottom"/>
            <w:gridSpan w:val="4"/>
          </w:tcPr>
          <w:p>
            <w:pPr>
              <w:ind w:left="620"/>
              <w:spacing w:after="0"/>
              <w:rPr>
                <w:sz w:val="20"/>
                <w:szCs w:val="20"/>
                <w:color w:val="auto"/>
              </w:rPr>
            </w:pPr>
            <w:r>
              <w:rPr>
                <w:rFonts w:ascii="Times New Roman" w:cs="Times New Roman" w:eastAsia="Times New Roman" w:hAnsi="Times New Roman"/>
                <w:sz w:val="14"/>
                <w:szCs w:val="14"/>
                <w:color w:val="auto"/>
              </w:rPr>
              <w:t>Three Months Ended</w:t>
            </w:r>
          </w:p>
        </w:tc>
        <w:tc>
          <w:tcPr>
            <w:tcW w:w="246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33"/>
        </w:trPr>
        <w:tc>
          <w:tcPr>
            <w:tcW w:w="2880" w:type="dxa"/>
            <w:vAlign w:val="bottom"/>
          </w:tcPr>
          <w:p>
            <w:pPr>
              <w:spacing w:after="0"/>
              <w:rPr>
                <w:sz w:val="11"/>
                <w:szCs w:val="11"/>
                <w:color w:val="auto"/>
              </w:rPr>
            </w:pPr>
          </w:p>
        </w:tc>
        <w:tc>
          <w:tcPr>
            <w:tcW w:w="1280" w:type="dxa"/>
            <w:vAlign w:val="bottom"/>
            <w:tcBorders>
              <w:top w:val="single" w:sz="8" w:color="auto"/>
            </w:tcBorders>
            <w:gridSpan w:val="2"/>
          </w:tcPr>
          <w:p>
            <w:pPr>
              <w:ind w:left="160"/>
              <w:spacing w:after="0" w:line="134" w:lineRule="exact"/>
              <w:rPr>
                <w:sz w:val="20"/>
                <w:szCs w:val="20"/>
                <w:color w:val="auto"/>
              </w:rPr>
            </w:pPr>
            <w:r>
              <w:rPr>
                <w:rFonts w:ascii="Times New Roman" w:cs="Times New Roman" w:eastAsia="Times New Roman" w:hAnsi="Times New Roman"/>
                <w:sz w:val="14"/>
                <w:szCs w:val="14"/>
                <w:color w:val="auto"/>
              </w:rPr>
              <w:t>September 26,</w:t>
            </w:r>
          </w:p>
        </w:tc>
        <w:tc>
          <w:tcPr>
            <w:tcW w:w="1180" w:type="dxa"/>
            <w:vAlign w:val="bottom"/>
            <w:tcBorders>
              <w:top w:val="single" w:sz="8" w:color="auto"/>
            </w:tcBorders>
          </w:tcPr>
          <w:p>
            <w:pPr>
              <w:jc w:val="right"/>
              <w:ind w:right="95"/>
              <w:spacing w:after="0" w:line="134" w:lineRule="exact"/>
              <w:rPr>
                <w:sz w:val="20"/>
                <w:szCs w:val="20"/>
                <w:color w:val="auto"/>
              </w:rPr>
            </w:pPr>
            <w:r>
              <w:rPr>
                <w:rFonts w:ascii="Times New Roman" w:cs="Times New Roman" w:eastAsia="Times New Roman" w:hAnsi="Times New Roman"/>
                <w:sz w:val="14"/>
                <w:szCs w:val="14"/>
                <w:color w:val="auto"/>
              </w:rPr>
              <w:t>September 28,</w:t>
            </w:r>
          </w:p>
        </w:tc>
        <w:tc>
          <w:tcPr>
            <w:tcW w:w="100" w:type="dxa"/>
            <w:vAlign w:val="bottom"/>
          </w:tcPr>
          <w:p>
            <w:pPr>
              <w:spacing w:after="0"/>
              <w:rPr>
                <w:sz w:val="11"/>
                <w:szCs w:val="11"/>
                <w:color w:val="auto"/>
              </w:rPr>
            </w:pPr>
          </w:p>
        </w:tc>
        <w:tc>
          <w:tcPr>
            <w:tcW w:w="1280" w:type="dxa"/>
            <w:vAlign w:val="bottom"/>
            <w:tcBorders>
              <w:top w:val="single" w:sz="8" w:color="auto"/>
            </w:tcBorders>
            <w:gridSpan w:val="2"/>
          </w:tcPr>
          <w:p>
            <w:pPr>
              <w:ind w:left="160"/>
              <w:spacing w:after="0" w:line="134" w:lineRule="exact"/>
              <w:rPr>
                <w:sz w:val="20"/>
                <w:szCs w:val="20"/>
                <w:color w:val="auto"/>
              </w:rPr>
            </w:pPr>
            <w:r>
              <w:rPr>
                <w:rFonts w:ascii="Times New Roman" w:cs="Times New Roman" w:eastAsia="Times New Roman" w:hAnsi="Times New Roman"/>
                <w:sz w:val="14"/>
                <w:szCs w:val="14"/>
                <w:color w:val="auto"/>
              </w:rPr>
              <w:t>September 26,</w:t>
            </w:r>
          </w:p>
        </w:tc>
        <w:tc>
          <w:tcPr>
            <w:tcW w:w="1180" w:type="dxa"/>
            <w:vAlign w:val="bottom"/>
            <w:tcBorders>
              <w:top w:val="single" w:sz="8" w:color="auto"/>
            </w:tcBorders>
          </w:tcPr>
          <w:p>
            <w:pPr>
              <w:jc w:val="right"/>
              <w:ind w:right="95"/>
              <w:spacing w:after="0" w:line="134" w:lineRule="exact"/>
              <w:rPr>
                <w:sz w:val="20"/>
                <w:szCs w:val="20"/>
                <w:color w:val="auto"/>
              </w:rPr>
            </w:pPr>
            <w:r>
              <w:rPr>
                <w:rFonts w:ascii="Times New Roman" w:cs="Times New Roman" w:eastAsia="Times New Roman" w:hAnsi="Times New Roman"/>
                <w:sz w:val="14"/>
                <w:szCs w:val="14"/>
                <w:color w:val="auto"/>
              </w:rPr>
              <w:t>September 28,</w:t>
            </w:r>
          </w:p>
        </w:tc>
      </w:tr>
      <w:tr>
        <w:trPr>
          <w:trHeight w:val="189"/>
        </w:trPr>
        <w:tc>
          <w:tcPr>
            <w:tcW w:w="28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2019</w:t>
            </w: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 Technologies Corporation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 Aerosystems Holdings, Inc.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312"/>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top ten customers </w:t>
            </w:r>
            <w:r>
              <w:rPr>
                <w:rFonts w:ascii="Times New Roman" w:cs="Times New Roman" w:eastAsia="Times New Roman" w:hAnsi="Times New Roman"/>
                <w:sz w:val="23"/>
                <w:szCs w:val="23"/>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65.8 %</w:t>
            </w:r>
          </w:p>
        </w:tc>
      </w:tr>
    </w:tbl>
    <w:p>
      <w:pPr>
        <w:spacing w:after="0" w:line="61" w:lineRule="exact"/>
        <w:rPr>
          <w:sz w:val="20"/>
          <w:szCs w:val="20"/>
          <w:color w:val="auto"/>
        </w:rPr>
      </w:pPr>
    </w:p>
    <w:p>
      <w:pPr>
        <w:ind w:left="340" w:right="40" w:hanging="332"/>
        <w:spacing w:after="0" w:line="282"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Boeing Company (“Boeing”), Lockheed Martin Corporation (“Lockheed”), Northrop Grumman Corporation (“Northrop”), and Raytheon Technologies Corporation (“Raytheon”) for the three months ended September 26, 2020, and Spirit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Aerosystems Holdings, Inc. (“Spirit”) for the nine months ended September 26, 2020, as well as the three and nine months ended September 28, 2019. The significant decrease in total aggregate revenues generated from our top ten customers during the nine months ended September 26, 2020 was primarily due to the decrease by Boeing and Spirit, mainly due to the impact from the continued grounding of the Boeing 737 MAX program combined with the outbreak of the COVID-19 pandemic during the first nine months of 2020, which resulted in Boeing and Spirit temporarily shutting down production at some of their facilities. The impacted plants at Boeing and Spirit resumed production during our second quarter of 2020.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Lockheed, Northrop, Raytheon, and Spirit represented the following percentages of total accounts receivable: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September 26,</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r>
      <w:tr>
        <w:trPr>
          <w:trHeight w:val="189"/>
        </w:trPr>
        <w:tc>
          <w:tcPr>
            <w:tcW w:w="86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2019</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net revenues and accounts receivable from Boeing, Lockheed, Northrop, Raytheon, and Spirit are diversified over a number of commercial, military and space programs and were generated by both operating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margin as a percentage of net revenues increased year-over-year in the three months ended September 26, 2020 to 22.3%, compared to the three months ended September 28, 2019 of 21.2% primarily due to favorable product mix, partially offset by unfavorable manufacturing volume.</w:t>
      </w:r>
    </w:p>
    <w:p>
      <w:pPr>
        <w:spacing w:after="0" w:line="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Gross profit margin as a percentage of net revenues increased year-over-year in the nine months ended September 26, 2020 to 21.8%, compared to the nine months ended September 28, 2019 of 21.0% primarily due to favorable product mix and lower compensation and benefit costs, partially offset by unfavorable manufacturing volume.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SG&amp;A expenses decreased $1.6 million year-over-year in the three months ended September 26, 2020 compared to the three months ended September 28, 2019 primarily due to lower professional services fees of $1.3 million.</w:t>
      </w:r>
    </w:p>
    <w:p>
      <w:pPr>
        <w:spacing w:after="0" w:line="4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SG&amp;A expenses decreased $3.8 million year-over-year in the nine months ended September 26, 2020 compared to the nine months ended September 28, 2019 primarily due to lower other corporate expenses of $2.2 million, lower professional services fees of $1.7 million, and one-time severance charges of $1.7 million in the prior year, partially offset by higher amortization of intangibles of $1.9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Interest expense decreased in the three and nine months ended September 26, 2020 compared to the three and nine months ended September 28, 2019 due to lower interest rates, partially offset by a higher outstanding balance on the Credit Facilities driven by the acquisition of Nobles Worldwide, Inc. (“Nobles”) in October 2019, and higher net draw downs on the Revolving Credit Facility, including $50.0 million during the first quarter of 2020, which remained as cash on hand at the end of the third quarter of 2020.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$0.8 million for the three months ended September 26, 2020 compared to $1.9 million for the three months ended September 28, 2019. The decrease in income tax expense for the third quarter of 2020 compared to the third quarter of 2019 was primarily due to lower pre-tax income for the third quarter of 2020 compared to the third quarter of 2019 and higher discrete tax benefits recognized in the third quarter of 2020 mainly related to the U.S. Federal research and development tax credit.</w:t>
      </w:r>
    </w:p>
    <w:p>
      <w:pPr>
        <w:spacing w:after="0" w:line="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$3.4 million for the nine months ended September 26, 2020 compared to $4.3 million for the nine months ended September 28, 2019. The decrease in income tax expense for the first nine months of 2020 compared to the first nine months of 2019 was primarily due to lower pre-tax income for the first nine months of 2020 compared to the first nine months of 2019 and higher discrete tax benefits recognized in the third quarter of 2020. The higher discrete tax benefits recognized were mainly related to the U.S. Federal research and development tax credit, partially offset by lower discrete tax benefits related to net windfalls from stock-based compensation.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considered the provisions of the CARES Act and determined they do not have a material impact to our income taxes.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total amount of unrecognized tax benefits was $5.9 million and $5.7 million as of September 26, 2020 and December 31, 2019, respectively. If recognized, $4.3 million would affect the effective tax rate. As a result of the statute of limitations set to expire in the fourth quarter of 2020, we expect decreases to our unrecognized tax benefits of $2.0 million in the next twelve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income and earnings per share for the three months ended September 26, 2020 were $6.5 million, or $0.54 per diluted share, compared to $8.3 million, or $0.70 per diluted share, for the three months ended September 28, 2019. The decrease in net income for the three months ended September 26, 2020 compared to the three months ended September 28, 2019 was due to $4.9 million of lower gross profit as a result of lower revenues and higher restructuring charges of $1.1 million, partially offset by lower SG&amp;A expenses of $1.6 million.</w:t>
      </w:r>
    </w:p>
    <w:p>
      <w:pPr>
        <w:spacing w:after="0" w:line="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income and earnings per share for the nine months ended September 26, 2020 were $19.5 million, or $1.64 per diluted share, compared to $23.6 million, or $2.00 per diluted share, for the nine months ended September 28, 2019. The decrease in net income for the nine months ended September 26, 2020 compared to the nine months ended September 28, 2019 was due to $9.1 million of lower gross profit as a result of lower revenues and higher restructuring charges of $1.8 million, partially offset by lower SG&amp;A expenses of $3.8 million.</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108"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and nine months ended September 26, 2020 and September 28, 2019: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1"/>
                <w:szCs w:val="11"/>
                <w:color w:val="auto"/>
                <w:w w:val="96"/>
              </w:rPr>
              <w:t>Three Months 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w w:val="99"/>
              </w:rPr>
              <w:t>Nine Months 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300"/>
              <w:spacing w:after="0"/>
              <w:rPr>
                <w:sz w:val="20"/>
                <w:szCs w:val="20"/>
                <w:color w:val="auto"/>
              </w:rPr>
            </w:pPr>
            <w:r>
              <w:rPr>
                <w:rFonts w:ascii="Times New Roman" w:cs="Times New Roman" w:eastAsia="Times New Roman" w:hAnsi="Times New Roman"/>
                <w:sz w:val="11"/>
                <w:szCs w:val="11"/>
                <w:color w:val="auto"/>
              </w:rPr>
              <w:t>(Dollars in thousands)</w:t>
            </w:r>
          </w:p>
        </w:tc>
        <w:tc>
          <w:tcPr>
            <w:tcW w:w="1760" w:type="dxa"/>
            <w:vAlign w:val="bottom"/>
            <w:tcBorders>
              <w:top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1"/>
                <w:szCs w:val="11"/>
                <w:color w:val="auto"/>
              </w:rPr>
              <w:t>% of Net Revenues</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280"/>
              <w:spacing w:after="0"/>
              <w:rPr>
                <w:sz w:val="20"/>
                <w:szCs w:val="20"/>
                <w:color w:val="auto"/>
              </w:rPr>
            </w:pPr>
            <w:r>
              <w:rPr>
                <w:rFonts w:ascii="Times New Roman" w:cs="Times New Roman" w:eastAsia="Times New Roman" w:hAnsi="Times New Roman"/>
                <w:sz w:val="11"/>
                <w:szCs w:val="11"/>
                <w:color w:val="auto"/>
              </w:rPr>
              <w:t>(Dollars in thousands)</w:t>
            </w:r>
          </w:p>
        </w:tc>
        <w:tc>
          <w:tcPr>
            <w:tcW w:w="1780" w:type="dxa"/>
            <w:vAlign w:val="bottom"/>
            <w:tcBorders>
              <w:top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Change</w:t>
            </w:r>
          </w:p>
        </w:tc>
        <w:tc>
          <w:tcPr>
            <w:tcW w:w="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September 26,</w:t>
            </w:r>
          </w:p>
        </w:tc>
        <w:tc>
          <w:tcPr>
            <w:tcW w:w="100" w:type="dxa"/>
            <w:vAlign w:val="bottom"/>
          </w:tcPr>
          <w:p>
            <w:pPr>
              <w:spacing w:after="0"/>
              <w:rPr>
                <w:sz w:val="11"/>
                <w:szCs w:val="11"/>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September 28,</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September 26,</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1"/>
                <w:szCs w:val="11"/>
                <w:color w:val="auto"/>
              </w:rPr>
              <w:t>September 28,</w:t>
            </w:r>
          </w:p>
        </w:tc>
        <w:tc>
          <w:tcPr>
            <w:tcW w:w="100" w:type="dxa"/>
            <w:vAlign w:val="bottom"/>
          </w:tcPr>
          <w:p>
            <w:pPr>
              <w:spacing w:after="0"/>
              <w:rPr>
                <w:sz w:val="11"/>
                <w:szCs w:val="11"/>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auto"/>
              </w:rPr>
              <w:t>Change</w:t>
            </w:r>
          </w:p>
        </w:tc>
        <w:tc>
          <w:tcPr>
            <w:tcW w:w="1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26,</w:t>
            </w:r>
          </w:p>
        </w:tc>
        <w:tc>
          <w:tcPr>
            <w:tcW w:w="8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September 28,</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September 26,</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1"/>
                <w:szCs w:val="11"/>
                <w:color w:val="auto"/>
              </w:rPr>
              <w:t>September 28,</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Times New Roman" w:cs="Times New Roman" w:eastAsia="Times New Roman" w:hAnsi="Times New Roman"/>
                <w:sz w:val="11"/>
                <w:szCs w:val="11"/>
                <w:color w:val="auto"/>
              </w:rPr>
              <w:t>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tcPr>
          <w:p>
            <w:pPr>
              <w:spacing w:after="0"/>
              <w:rPr>
                <w:sz w:val="12"/>
                <w:szCs w:val="12"/>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1"/>
                <w:szCs w:val="11"/>
                <w:color w:val="auto"/>
              </w:rPr>
              <w:t>2019</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Times New Roman" w:cs="Times New Roman" w:eastAsia="Times New Roman" w:hAnsi="Times New Roman"/>
                <w:sz w:val="11"/>
                <w:szCs w:val="11"/>
                <w:color w:val="auto"/>
              </w:rPr>
              <w:t>2020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tcPr>
          <w:p>
            <w:pPr>
              <w:spacing w:after="0"/>
              <w:rPr>
                <w:sz w:val="12"/>
                <w:szCs w:val="12"/>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1"/>
                <w:szCs w:val="11"/>
                <w:color w:val="auto"/>
              </w:rPr>
              <w:t>2019</w:t>
            </w:r>
          </w:p>
        </w:tc>
        <w:tc>
          <w:tcPr>
            <w:tcW w:w="0" w:type="dxa"/>
            <w:vAlign w:val="bottom"/>
          </w:tcPr>
          <w:p>
            <w:pPr>
              <w:spacing w:after="0"/>
              <w:rPr>
                <w:sz w:val="1"/>
                <w:szCs w:val="1"/>
                <w:color w:val="auto"/>
              </w:rPr>
            </w:pPr>
          </w:p>
        </w:tc>
      </w:tr>
      <w:tr>
        <w:trPr>
          <w:trHeight w:val="22"/>
        </w:trPr>
        <w:tc>
          <w:tcPr>
            <w:tcW w:w="16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Electronic Systems</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14.2 %</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103,470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293,540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49.4 %</w:t>
            </w: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Structural Systems</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46,901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90,513</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31.2 %</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177,615</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270,117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37.7 %</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50.6 %</w:t>
            </w:r>
          </w:p>
        </w:tc>
        <w:tc>
          <w:tcPr>
            <w:tcW w:w="0" w:type="dxa"/>
            <w:vAlign w:val="bottom"/>
          </w:tcPr>
          <w:p>
            <w:pPr>
              <w:spacing w:after="0"/>
              <w:rPr>
                <w:sz w:val="1"/>
                <w:szCs w:val="1"/>
                <w:color w:val="auto"/>
              </w:rPr>
            </w:pPr>
          </w:p>
        </w:tc>
      </w:tr>
      <w:tr>
        <w:trPr>
          <w:trHeight w:val="169"/>
        </w:trPr>
        <w:tc>
          <w:tcPr>
            <w:tcW w:w="2200" w:type="dxa"/>
            <w:vAlign w:val="bottom"/>
            <w:gridSpan w:val="2"/>
          </w:tcPr>
          <w:p>
            <w:pPr>
              <w:ind w:left="660"/>
              <w:spacing w:after="0" w:line="144" w:lineRule="exact"/>
              <w:rPr>
                <w:sz w:val="20"/>
                <w:szCs w:val="20"/>
                <w:color w:val="auto"/>
              </w:rPr>
            </w:pPr>
            <w:r>
              <w:rPr>
                <w:rFonts w:ascii="Times New Roman" w:cs="Times New Roman" w:eastAsia="Times New Roman" w:hAnsi="Times New Roman"/>
                <w:sz w:val="13"/>
                <w:szCs w:val="13"/>
                <w:color w:val="auto"/>
              </w:rPr>
              <w:t>Total Net Revenues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150,371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181,101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471,155</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534,162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Segment Operating Income</w:t>
            </w: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Electronic Systems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10.7 %</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40,427</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Structural Systems</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13,373</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360"/>
              <w:spacing w:after="0" w:line="128" w:lineRule="exact"/>
              <w:rPr>
                <w:sz w:val="20"/>
                <w:szCs w:val="20"/>
                <w:color w:val="auto"/>
              </w:rPr>
            </w:pPr>
            <w:r>
              <w:rPr>
                <w:rFonts w:ascii="Times New Roman" w:cs="Times New Roman" w:eastAsia="Times New Roman" w:hAnsi="Times New Roman"/>
                <w:sz w:val="13"/>
                <w:szCs w:val="13"/>
                <w:color w:val="auto"/>
              </w:rPr>
              <w:t>Corporate General and</w:t>
            </w:r>
          </w:p>
        </w:tc>
        <w:tc>
          <w:tcPr>
            <w:tcW w:w="560" w:type="dxa"/>
            <w:vAlign w:val="bottom"/>
            <w:vMerge w:val="restart"/>
            <w:shd w:val="clear" w:color="auto" w:fill="CCEEFF"/>
          </w:tcPr>
          <w:p>
            <w:pPr>
              <w:jc w:val="right"/>
              <w:ind w:right="419"/>
              <w:spacing w:after="0"/>
              <w:rPr>
                <w:sz w:val="20"/>
                <w:szCs w:val="20"/>
                <w:color w:val="auto"/>
              </w:rPr>
            </w:pPr>
            <w:r>
              <w:rPr>
                <w:rFonts w:ascii="Times New Roman" w:cs="Times New Roman" w:eastAsia="Times New Roman" w:hAnsi="Times New Roman"/>
                <w:sz w:val="8"/>
                <w:szCs w:val="8"/>
                <w:color w:val="auto"/>
                <w:w w:val="85"/>
              </w:rPr>
              <w:t>(1)</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(22,894)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6"/>
              </w:rPr>
              <w:t>Administrative Expenses</w:t>
            </w:r>
          </w:p>
        </w:tc>
        <w:tc>
          <w:tcPr>
            <w:tcW w:w="560" w:type="dxa"/>
            <w:vAlign w:val="bottom"/>
            <w:vMerge w:val="continue"/>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0" w:type="dxa"/>
            <w:vAlign w:val="bottom"/>
            <w:gridSpan w:val="2"/>
          </w:tcPr>
          <w:p>
            <w:pPr>
              <w:ind w:left="660"/>
              <w:spacing w:after="0" w:line="144" w:lineRule="exact"/>
              <w:rPr>
                <w:sz w:val="20"/>
                <w:szCs w:val="20"/>
                <w:color w:val="auto"/>
              </w:rPr>
            </w:pPr>
            <w:r>
              <w:rPr>
                <w:rFonts w:ascii="Times New Roman" w:cs="Times New Roman" w:eastAsia="Times New Roman" w:hAnsi="Times New Roman"/>
                <w:sz w:val="13"/>
                <w:szCs w:val="13"/>
                <w:color w:val="auto"/>
              </w:rPr>
              <w:t>Total Operating Income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10,265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33,916</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Electronic Systems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Operating Income</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40,427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660"/>
              <w:spacing w:after="0" w:line="122" w:lineRule="exact"/>
              <w:rPr>
                <w:sz w:val="20"/>
                <w:szCs w:val="20"/>
                <w:color w:val="auto"/>
              </w:rPr>
            </w:pPr>
            <w:r>
              <w:rPr>
                <w:rFonts w:ascii="Times New Roman" w:cs="Times New Roman" w:eastAsia="Times New Roman" w:hAnsi="Times New Roman"/>
                <w:sz w:val="13"/>
                <w:szCs w:val="13"/>
                <w:color w:val="auto"/>
              </w:rPr>
              <w:t>Depreciation and</w:t>
            </w: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3,492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3,569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10,591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Amortization</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Restructuring Charges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18,663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51,350</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14.9 %</w:t>
            </w: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Structural Systems</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Operating Income</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660"/>
              <w:spacing w:after="0" w:line="128" w:lineRule="exact"/>
              <w:rPr>
                <w:sz w:val="20"/>
                <w:szCs w:val="20"/>
                <w:color w:val="auto"/>
              </w:rPr>
            </w:pPr>
            <w:r>
              <w:rPr>
                <w:rFonts w:ascii="Times New Roman" w:cs="Times New Roman" w:eastAsia="Times New Roman" w:hAnsi="Times New Roman"/>
                <w:sz w:val="13"/>
                <w:szCs w:val="13"/>
                <w:color w:val="auto"/>
              </w:rPr>
              <w:t>Depreciation and</w:t>
            </w: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Amortization</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0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Restructuring Charges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00" w:type="dxa"/>
            <w:vAlign w:val="bottom"/>
            <w:gridSpan w:val="2"/>
            <w:shd w:val="clear" w:color="auto" w:fill="CCEEFF"/>
          </w:tcPr>
          <w:p>
            <w:pPr>
              <w:ind w:left="660"/>
              <w:spacing w:after="0" w:line="128" w:lineRule="exact"/>
              <w:rPr>
                <w:sz w:val="20"/>
                <w:szCs w:val="20"/>
                <w:color w:val="auto"/>
              </w:rPr>
            </w:pPr>
            <w:r>
              <w:rPr>
                <w:rFonts w:ascii="Times New Roman" w:cs="Times New Roman" w:eastAsia="Times New Roman" w:hAnsi="Times New Roman"/>
                <w:sz w:val="13"/>
                <w:szCs w:val="13"/>
                <w:color w:val="auto"/>
              </w:rPr>
              <w:t>Guaymas fire related</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expenses</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3"/>
            <w:vMerge w:val="continue"/>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7,122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17.9 %</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26,787</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16.6 %</w:t>
            </w: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360"/>
              <w:spacing w:after="0" w:line="128" w:lineRule="exact"/>
              <w:rPr>
                <w:sz w:val="20"/>
                <w:szCs w:val="20"/>
                <w:color w:val="auto"/>
              </w:rPr>
            </w:pPr>
            <w:r>
              <w:rPr>
                <w:rFonts w:ascii="Times New Roman" w:cs="Times New Roman" w:eastAsia="Times New Roman" w:hAnsi="Times New Roman"/>
                <w:sz w:val="13"/>
                <w:szCs w:val="13"/>
                <w:color w:val="auto"/>
              </w:rPr>
              <w:t>Corporate General and</w:t>
            </w:r>
          </w:p>
        </w:tc>
        <w:tc>
          <w:tcPr>
            <w:tcW w:w="560" w:type="dxa"/>
            <w:vAlign w:val="bottom"/>
            <w:vMerge w:val="restart"/>
            <w:shd w:val="clear" w:color="auto" w:fill="CCEEFF"/>
          </w:tcPr>
          <w:p>
            <w:pPr>
              <w:jc w:val="right"/>
              <w:ind w:right="419"/>
              <w:spacing w:after="0"/>
              <w:rPr>
                <w:sz w:val="20"/>
                <w:szCs w:val="20"/>
                <w:color w:val="auto"/>
              </w:rPr>
            </w:pPr>
            <w:r>
              <w:rPr>
                <w:rFonts w:ascii="Times New Roman" w:cs="Times New Roman" w:eastAsia="Times New Roman" w:hAnsi="Times New Roman"/>
                <w:sz w:val="8"/>
                <w:szCs w:val="8"/>
                <w:color w:val="auto"/>
                <w:w w:val="85"/>
              </w:rPr>
              <w:t>(1)</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6"/>
              </w:rPr>
              <w:t>Administrative Expenses</w:t>
            </w:r>
          </w:p>
        </w:tc>
        <w:tc>
          <w:tcPr>
            <w:tcW w:w="560" w:type="dxa"/>
            <w:vAlign w:val="bottom"/>
            <w:vMerge w:val="continue"/>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Operating Loss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Other Income</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660"/>
              <w:spacing w:after="0" w:line="122" w:lineRule="exact"/>
              <w:rPr>
                <w:sz w:val="20"/>
                <w:szCs w:val="20"/>
                <w:color w:val="auto"/>
              </w:rPr>
            </w:pPr>
            <w:r>
              <w:rPr>
                <w:rFonts w:ascii="Times New Roman" w:cs="Times New Roman" w:eastAsia="Times New Roman" w:hAnsi="Times New Roman"/>
                <w:sz w:val="13"/>
                <w:szCs w:val="13"/>
                <w:color w:val="auto"/>
              </w:rPr>
              <w:t>Depreciation and</w:t>
            </w: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Amortization</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00" w:type="dxa"/>
            <w:vAlign w:val="bottom"/>
            <w:gridSpan w:val="2"/>
            <w:shd w:val="clear" w:color="auto" w:fill="CCEEFF"/>
          </w:tcPr>
          <w:p>
            <w:pPr>
              <w:ind w:left="660"/>
              <w:spacing w:after="0" w:line="128" w:lineRule="exact"/>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Expense</w:t>
            </w: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(12,986)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00" w:type="dxa"/>
            <w:vAlign w:val="bottom"/>
            <w:tcBorders>
              <w:bottom w:val="single" w:sz="8" w:color="CCEEFF"/>
            </w:tcBorders>
            <w:gridSpan w:val="2"/>
            <w:shd w:val="clear" w:color="auto" w:fill="CCEEFF"/>
          </w:tcPr>
          <w:p>
            <w:pPr>
              <w:ind w:left="860"/>
              <w:spacing w:after="0" w:line="148" w:lineRule="exact"/>
              <w:rPr>
                <w:sz w:val="20"/>
                <w:szCs w:val="20"/>
                <w:color w:val="auto"/>
              </w:rPr>
            </w:pPr>
            <w:r>
              <w:rPr>
                <w:rFonts w:ascii="Times New Roman" w:cs="Times New Roman" w:eastAsia="Times New Roman" w:hAnsi="Times New Roman"/>
                <w:sz w:val="13"/>
                <w:szCs w:val="13"/>
                <w:color w:val="auto"/>
              </w:rPr>
              <w:t>Adjusted EBITDA</w:t>
            </w: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21,647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23,646</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14.4 %</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13.1 %</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65,151</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67,128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13.8 %</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12.6 %</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Capital Expenditures</w:t>
            </w:r>
          </w:p>
        </w:tc>
        <w:tc>
          <w:tcPr>
            <w:tcW w:w="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6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Electronic Systems</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Structural Systems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5"/>
              </w:rPr>
              <w:t>Corporate Administration</w:t>
            </w: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200" w:type="dxa"/>
            <w:vAlign w:val="bottom"/>
            <w:gridSpan w:val="2"/>
          </w:tcPr>
          <w:p>
            <w:pPr>
              <w:ind w:left="660"/>
              <w:spacing w:after="0" w:line="144" w:lineRule="exact"/>
              <w:rPr>
                <w:sz w:val="20"/>
                <w:szCs w:val="20"/>
                <w:color w:val="auto"/>
              </w:rPr>
            </w:pPr>
            <w:r>
              <w:rPr>
                <w:rFonts w:ascii="Times New Roman" w:cs="Times New Roman" w:eastAsia="Times New Roman" w:hAnsi="Times New Roman"/>
                <w:sz w:val="13"/>
                <w:szCs w:val="13"/>
                <w:color w:val="auto"/>
              </w:rPr>
              <w:t>Total Capital Expenditures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7,918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Includes costs not allocated to either the Electronic Systems or Structural Systems operating segments.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10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three months ended September 26, 2020 compared to the three months ended September 28, 2019 increased $12.9 million primarily due to the following:</w:t>
      </w:r>
    </w:p>
    <w:p>
      <w:pPr>
        <w:spacing w:after="0" w:line="40" w:lineRule="exact"/>
        <w:rPr>
          <w:sz w:val="20"/>
          <w:szCs w:val="20"/>
          <w:color w:val="auto"/>
        </w:rPr>
      </w:pPr>
    </w:p>
    <w:p>
      <w:pPr>
        <w:ind w:left="660" w:right="5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million higher revenues in our military and space end-use markets due to higher build rates on other military and space platforms and military fixed-wing aircraft platforms; partially offset by</w:t>
      </w:r>
    </w:p>
    <w:p>
      <w:pPr>
        <w:spacing w:after="0" w:line="2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million lower revenues in our commercial aerospace end-use markets due to lower build rates on other commercial aerospace platforms, large aircraft platforms, and commercial rotary-wing aircraft platforms.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nine months ended September 26, 2020 compared to the nine months ended September 28, 2019 increased $29.5 million primarily due to the following:</w:t>
      </w:r>
    </w:p>
    <w:p>
      <w:pPr>
        <w:spacing w:after="0" w:line="27" w:lineRule="exact"/>
        <w:rPr>
          <w:sz w:val="20"/>
          <w:szCs w:val="20"/>
          <w:color w:val="auto"/>
        </w:rPr>
      </w:pPr>
    </w:p>
    <w:p>
      <w:pPr>
        <w:ind w:left="660" w:right="3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 million higher revenues in our military and space end-use markets due to higher build rates on military fixed-wing aircraft platforms and other military and space platforms; partially offset by</w:t>
      </w:r>
    </w:p>
    <w:p>
      <w:pPr>
        <w:spacing w:after="0" w:line="40"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 million lower revenues in our commercial aerospace end-use markets due to lower build rates on other commercial aerospace platforms, large aircraft platforms, commercial rotary-wing aircraft platforms, and regional and business aircraft platforms.</w:t>
      </w:r>
    </w:p>
    <w:p>
      <w:pPr>
        <w:spacing w:after="0" w:line="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three months ended September 26, 2020 compared to the three months ended September 28, 2019 increased $5.2 million primarily due to favorable volume and favorable mix.</w:t>
      </w:r>
    </w:p>
    <w:p>
      <w:pPr>
        <w:spacing w:after="0" w:line="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nine months ended September 26, 2020 compared to the nine months ended September 28, 2019 increased $11.7 million primarily due to favorable volume, favorable mix, and lower compensation and benefit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10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three months ended September 26, 2020 compared to the three months ended September 28, 2019 decreased $43.6 million due to the following:</w:t>
      </w:r>
    </w:p>
    <w:p>
      <w:pPr>
        <w:spacing w:after="0" w:line="2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 million lower revenues in our commercial aerospace end-use markets due to lower build rates on large aircraft platforms; partially offset by</w:t>
      </w:r>
    </w:p>
    <w:p>
      <w:pPr>
        <w:spacing w:after="0" w:line="10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million higher revenues in our military and space end-use markets due to higher build rates on military rotary-wing aircraft platforms, various missile platforms, and military fixed-wing aircraft platforms.</w:t>
      </w:r>
    </w:p>
    <w:p>
      <w:pPr>
        <w:spacing w:after="0" w:line="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nine months ended September 26, 2020 compared to the nine months ended September 28, 2019 decreased $92.5 million primarily due to the following:</w:t>
      </w:r>
    </w:p>
    <w:p>
      <w:pPr>
        <w:spacing w:after="0" w:line="2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$121.5 million lower revenues in our commercial aerospace end-use markets due to lower build rates on large aircraft platforms; partially offset by</w:t>
      </w:r>
    </w:p>
    <w:p>
      <w:pPr>
        <w:spacing w:after="0" w:line="115" w:lineRule="exact"/>
        <w:rPr>
          <w:rFonts w:ascii="Times New Roman" w:cs="Times New Roman" w:eastAsia="Times New Roman" w:hAnsi="Times New Roman"/>
          <w:sz w:val="17"/>
          <w:szCs w:val="17"/>
          <w:color w:val="auto"/>
        </w:rPr>
      </w:pPr>
    </w:p>
    <w:p>
      <w:pPr>
        <w:ind w:left="660" w:right="3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 million higher revenues in our military and space end-use markets due to additional content and higher build rates on other military and space platforms, higher build rates on military fixed-wing aircraft platforms and military rotary-wing aircraft platforms.</w:t>
      </w:r>
    </w:p>
    <w:p>
      <w:pPr>
        <w:spacing w:after="0" w:line="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Structural Systems segment operating income in the three months ended September 26, 2020 compared to the three months ended September 28, 2019 decreased $11.1 million primarily due to unfavorable manufacturing volume.</w:t>
      </w:r>
    </w:p>
    <w:p>
      <w:pPr>
        <w:spacing w:after="0" w:line="27"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The Structural Systems segment operating income in the nine months ended September 26, 2020 compared to the nine months ended September 28, 2019 decreased $21.8 million primarily due to unfavorable manufacturing volume, partially offset by favorable mix and lower compensation and benefit costs.</w:t>
      </w:r>
    </w:p>
    <w:p>
      <w:pPr>
        <w:spacing w:after="0" w:line="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29, 2020, a fire severely damaged our performance center in Guaymas, Mexico, which is part of our Structural Systems segment. There were no injuries, however, property and equipment, inventory, and tooling in this leased facility were damaged. We have insurance coverage and expect the majority, if not all, of these items will be covered, less our deductible. The full financial impact cannot be estimated at this time as we are currently working with our insurance carriers to determine the cause of the fire. Our Guaymas performance center is comprised of two buildings with an aggregate total of 62,000 square feet. The loss of production from the Guaymas performance center is being absorbed by our other existing performance centers. See Note 10 to our condensed consolidated financial statements included in Part I, Item 1 of this Form 10-Q.</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10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CG&amp;A expenses decreased $1.6 million in the three months ended September 26, 2020 compared to the three months ended September 28, 2019 primarily due to lower professional services fees of $1.1 million.</w:t>
      </w:r>
    </w:p>
    <w:p>
      <w:pPr>
        <w:spacing w:after="0" w:line="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CG&amp;A expenses decreased $3.0 million in the nine months ended September 26, 2020 compared to the nine months ended September 28, 2019 primarily due to one-time severance charges of $1.7 million in the prior year and lower professional services fees of $1.1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The decrease in backlog was primarily in the commercial aerospace end-use markets, mainly due to reduced demand as a result of the COVID-19 pandemic on the commercial aerospace end-use market, partially offset by an increase in the military and space end-use markets. $532.0 million of total backlog is expected to be delivered over the next 12 months. The following table summarizes our backlog as of September 26, 2020 and December 31,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September 26,</w:t>
            </w:r>
          </w:p>
        </w:tc>
        <w:tc>
          <w:tcPr>
            <w:tcW w:w="220" w:type="dxa"/>
            <w:vAlign w:val="bottom"/>
          </w:tcPr>
          <w:p>
            <w:pPr>
              <w:spacing w:after="0"/>
              <w:rPr>
                <w:sz w:val="12"/>
                <w:szCs w:val="12"/>
                <w:color w:val="auto"/>
              </w:rPr>
            </w:pPr>
          </w:p>
        </w:tc>
        <w:tc>
          <w:tcPr>
            <w:tcW w:w="1220" w:type="dxa"/>
            <w:vAlign w:val="bottom"/>
          </w:tcPr>
          <w:p>
            <w:pPr>
              <w:jc w:val="right"/>
              <w:ind w:right="233"/>
              <w:spacing w:after="0" w:line="145"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6680" w:type="dxa"/>
            <w:vAlign w:val="bottom"/>
            <w:tcBorders>
              <w:top w:val="single" w:sz="8" w:color="CCEEFF"/>
            </w:tcBorders>
            <w:gridSpan w:val="4"/>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54,397</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505,690</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451,293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430,642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452,464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136,849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(Dollars in millions)</w:t>
            </w:r>
          </w:p>
        </w:tc>
        <w:tc>
          <w:tcPr>
            <w:tcW w:w="1360" w:type="dxa"/>
            <w:vAlign w:val="bottom"/>
          </w:tcPr>
          <w:p>
            <w:pPr>
              <w:spacing w:after="0"/>
              <w:rPr>
                <w:sz w:val="16"/>
                <w:szCs w:val="16"/>
                <w:color w:val="auto"/>
              </w:rPr>
            </w:pPr>
          </w:p>
        </w:tc>
      </w:tr>
      <w:tr>
        <w:trPr>
          <w:trHeight w:val="189"/>
        </w:trPr>
        <w:tc>
          <w:tcPr>
            <w:tcW w:w="7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September 26,</w:t>
            </w:r>
          </w:p>
        </w:tc>
        <w:tc>
          <w:tcPr>
            <w:tcW w:w="540" w:type="dxa"/>
            <w:vAlign w:val="bottom"/>
          </w:tcPr>
          <w:p>
            <w:pPr>
              <w:spacing w:after="0"/>
              <w:rPr>
                <w:sz w:val="16"/>
                <w:szCs w:val="16"/>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December 31,</w:t>
            </w:r>
          </w:p>
        </w:tc>
      </w:tr>
      <w:tr>
        <w:trPr>
          <w:trHeight w:val="194"/>
        </w:trPr>
        <w:tc>
          <w:tcPr>
            <w:tcW w:w="7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color w:val="auto"/>
              </w:rPr>
              <w:t>2019</w:t>
            </w: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including long-term portion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310.0</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interest rate</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6.28 %</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99.8</w:t>
            </w:r>
          </w:p>
        </w:tc>
      </w:tr>
    </w:tbl>
    <w:p>
      <w:pPr>
        <w:spacing w:after="0" w:line="14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20, 2019, we completed the refinancing of a portion of our existing debt by entering into a new revolving credit facility (“New Revolving Credit Facility”) to replace the existing revolving credit facility that was entered into in November 2018 (“2018 Revolving Credit Facility”) and entering into a new term loan (“New Term Loan”). The New Revolving Credit Facility is a $100.0 million senior secured revolving credit facility that matures on December 20, 2024 replacing the $100.0 million 2018 Revolving Credit Facility that would have matured on November 21, 2023. The New Term Loan is a $140.0 million senior secured term loan that matures on December 20, 2024. We also have an existing $240.0 million senior secured term loan that was entered into in November 2018 that matures on November 21, 2025 (“2018 Term Loan”). The original amounts available under the New Revolving Credit Facility, New Term Loan, and 2018 Term Loan (collectively, the “Credit Facilities”) in aggregate, totaled $480.0 million. We are required to make installment payments of 1.25% of the original outstanding principal balance of the New Term Loan amount on a quarterly basis, on the last day of each calendar quarter. In addition, if we meet the annual excess cash flow threshold, we will be required to make excess cash flow payments on an annual basis. Further, the undrawn portion of the commitment of the New Revolving Credit Facility is subject to a commitment fee ranging from 0.175% to 0.275%, based upon the consolidated total net adjusted leverage ratio. As of September 26, 2020, we were in compliance with all covenants required under the Credit Facilities. See Note 6 to our condensed consolidated financial statements included in Part I, Item 1 of this Form 10-Q for further information.</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2018, we completed credit facilities to replace the then existing credit facilities. The November 2018 credit facilities consisted of the 2018 Term Loan and the 2018 Revolving Credit Facility (collectively, the “2018 Credit Facilities”). We are required to make installment payments of 0.25% of the outstanding principal balance of the 2018 Term Loan amount on a quarterly basis. In addition, if we meet the annual excess cash flow threshold, we will be required to make excess flow payments on an annual basis. See Note 6 to our condensed consolidated financial statements included in Part I, Item 1 of this Form 10-Q for further information. We made an aggregate total of $1.8 million and $3.5 million of mandatory quarterly principal prepayments under the Term Loans during the three and nine months ended September 26, 2020,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2015, we entered into interest rate cap hedges that were designated as cash flow hedges, which matured during our second quarter of 2020.</w:t>
      </w:r>
    </w:p>
    <w:p>
      <w:pPr>
        <w:spacing w:after="0" w:line="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June 29, 2020, a fire severely damaged our performance center in Guaymas, Mexico, which is part of our Structural Systems segment. There were no injuries, however, property and equipment, inventories, and tooling in this leased facility were damaged. We have insurance coverage and expect the majority, if not all, of these items will be covered, less our per claim deductible. The full financial impact cannot be estimated at this time as we are currently working with our insurance carriers to determine the specific cause of the fire. Our Guaymas performance center is comprised of two buildings with an aggregate total of 62,000 square feet. The loss of production from the Guaymas performance center is being absorbed by some of our other existing performance centers. See Note 10 to our condensed consolidated financial statements included in Part I, Item 1 of this Form 10-Q for further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2019, we acquired Nobles Parent Inc., the parent company of Nobles Worldwide, Inc. (“Nobles”) for an original purchase price of</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$77.0 million, net of cash acquired, all payable in cash. We paid a gross total aggregate of $77.3 million in cash upon the closing of the transaction by drawing down on the 2018 Revolving Credit Facility. See Note 2 to our condensed consolidated financial statements included in Part I, Item 1 of this Form 10-Q.</w:t>
      </w:r>
    </w:p>
    <w:p>
      <w:pPr>
        <w:spacing w:after="0" w:line="13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expect to spend a total of $12.0 million to $14.0 million for capital expenditures in 2020 (excluding capital expenditures we will spend to restore the manufacturing capabilities related to our leased Guaymas performance center that was severely damaged by fire on June 29, 2020),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engineering content and higher levels of complexity in assemblies. However, some portion of the expected capital expenditures in 2020 could be delayed as a result of the COVID-19 pandemic.</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Credit Facilities to provide short-term liquidity. Cash generated from operations and bank borrowing capacity are expected to provide sufficient liquidity to meet our obligations during the next twelve months from the date of issuance of these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26, 2020 was $1.5 million, compared to $20.1 million for the nine months ended September 28, 2019. The lower cash provided by operating activities during the first nine months of 2020 was due to higher contract assets, higher inventories, and lower accounts payable, partially offset by higher contract liabilities and lower accounts receivable.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$5.3 million for the nine months ended September 26, 2020 compared to $14.7 million in the nine months ended September 28, 2019. The lower net cash used during the first nine months of 2020 compared to the prior year period was due to lower purchases of property and equipment.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$38.7 million for the nine months ended September 26, 2020 compared to net cash used of $8.9 million for the nine months ended September 28, 2019. The higher net cash provided by financing activities during the first nine months of 2020 was mainly due to higher net draw down on the New Revolving Credit Facility, partially offset by higher repayments of term loans.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sale-leasebacks on property and equipment, and indemnities.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2019 Annual Report on Form 10-K. There have been no material changes in any of our critical accounting policies during the three months ended September 26,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U.S. and U.K. interest rates on our outstanding long-term debt. At September 26, 2020, we had total borrowings of $349.1 million under our Credit Facilities.</w:t>
      </w:r>
    </w:p>
    <w:p>
      <w:pPr>
        <w:spacing w:after="0" w:line="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New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60" w:lineRule="auto"/>
        <w:rPr>
          <w:sz w:val="20"/>
          <w:szCs w:val="20"/>
          <w:color w:val="auto"/>
        </w:rPr>
      </w:pPr>
      <w:r>
        <w:rPr>
          <w:rFonts w:ascii="Times New Roman" w:cs="Times New Roman" w:eastAsia="Times New Roman" w:hAnsi="Times New Roman"/>
          <w:sz w:val="18"/>
          <w:szCs w:val="18"/>
          <w:color w:val="auto"/>
        </w:rPr>
        <w:t>0.50%, [b] Bank of America’s prime rate, and [c] the Eurodollar Rate plus 1.00%) plus an applicable margin ranging from 0.50% to 1.50% per year, in each case based upon the consolidated total net adjusted leverage ratio.</w:t>
      </w:r>
    </w:p>
    <w:p>
      <w:pPr>
        <w:spacing w:after="0" w:line="6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New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9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and chief financial officer (“CFO”) have conducted an evaluation of the Company’s disclosure controls and procedures (as defined in the Securities Exchange Act of 1934 Rules 13a-15(e) and 15d-15(e)), and concluded that such disclosure controls were effective as of the end of the period covered by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26, 2020 that have materially affected, or are reasonably likely to materially affect, our internal control over financial reporting.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to our condensed consolidated financial statements included in Part I, Item 1 of this Form 10-Q for a description of our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See Part I, Item 1A of our Annual Report on Form 10-K for the year ended December 31, 2019 for a discussion of our risk factors. Other than the risk factor below, there have been no material changes in the three months ended September 26, 2020 to the risk factors disclosed in our Annual Report on Form 10-K for the year ended December 31,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COVID-19 pandemic could have a material adverse effect on our business, results of operations and financial condition.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COVID-19 pandemic has caused significant volatility in financial markets, including the market price of our stock, and the commercial aerospace industry during the first nine months of 2020, which has raised the prospect of an extended global recession. Public health problems resulting from COVID-19 and precautionary measures instituted by governments and businesses to mitigate its spread, including travel restrictions, quarantines, shelter in place directives, and shutting down of non-essential businesses has and continues to contribute to a general slowdown in the global economy and if it continues for an extended period of time, it could have a material adverse impact to the businesses of our customers, suppliers and distribution partners, and disrupt our operations. Changes in our operations in response to the COVID-19 pandemic or employee illnesses resulting from the pandemic, may result in inefficiencies or delays, including in sales and product development efforts and our manufacturing and supply chain, and additional costs related to business continuity initiatives, that cannot be fully mitigated through succession planning, employees working remotely, or teleconferencing technologies. The spread of COVID-19 along with related travel restrictions and operational issues has caused a decrease in the demand for air travel and has resulted in lower demand from civil aviation customers for our products.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the remainder of 2020 and beyond.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21" w:lineRule="exact"/>
        <w:rPr>
          <w:sz w:val="20"/>
          <w:szCs w:val="20"/>
          <w:color w:val="auto"/>
        </w:rPr>
      </w:pPr>
    </w:p>
    <w:p>
      <w:pPr>
        <w:ind w:left="340" w:right="100" w:hanging="323"/>
        <w:spacing w:after="0" w:line="282" w:lineRule="auto"/>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2.1 Agreement and Plan of Merger, dated as of April 3, 2011, among Ducommun Incorporated, DLBMS, Inc. and LaBarge, Inc. Incorporated by reference</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to Exhibit 2.1 to Form 8-K filed on April 5, 2011.</w:t>
        </w:r>
      </w:hyperlink>
    </w:p>
    <w:p>
      <w:pPr>
        <w:spacing w:after="0" w:line="54" w:lineRule="exact"/>
        <w:rPr>
          <w:sz w:val="20"/>
          <w:szCs w:val="20"/>
          <w:color w:val="auto"/>
        </w:rPr>
      </w:pPr>
    </w:p>
    <w:p>
      <w:pPr>
        <w:ind w:left="340" w:hanging="323"/>
        <w:spacing w:after="0" w:line="282" w:lineRule="auto"/>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2.2 Agreement and Plan of Merger, dated as of September 11, 2017, among Ducommun LaBarge Technologies, Inc., LS Holdings Company LLC, and DLS</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Company LLC. Incorporated by reference to Exhibit 2.1 to Form 8-K filed on September 11, 2017.</w:t>
        </w:r>
      </w:hyperlink>
    </w:p>
    <w:p>
      <w:pPr>
        <w:spacing w:after="0" w:line="54" w:lineRule="exact"/>
        <w:rPr>
          <w:sz w:val="20"/>
          <w:szCs w:val="20"/>
          <w:color w:val="auto"/>
        </w:rPr>
      </w:pPr>
    </w:p>
    <w:p>
      <w:pPr>
        <w:ind w:left="340" w:hanging="323"/>
        <w:spacing w:after="0" w:line="282" w:lineRule="auto"/>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2.3 Agreement and Plan of Merger, dated as of October 8, 2019, among Ducommun LaBarge Technologies, Inc., DLT Acquisition, Inc., Nobles Parent Inc.,</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and the Stockholder Representative. Incorporated by reference to Exhibit 2.1 to Form 8-K filed on October 9, 2019.</w:t>
        </w:r>
      </w:hyperlink>
    </w:p>
    <w:p>
      <w:pPr>
        <w:spacing w:after="0" w:line="40" w:lineRule="exact"/>
        <w:rPr>
          <w:sz w:val="20"/>
          <w:szCs w:val="20"/>
          <w:color w:val="auto"/>
        </w:rPr>
      </w:pPr>
    </w:p>
    <w:p>
      <w:pPr>
        <w:ind w:left="340" w:right="600" w:hanging="323"/>
        <w:spacing w:after="0" w:line="282" w:lineRule="auto"/>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2.4 Stock Purchase Agreement dated January 22, 2016, by and among Ducommun Incorporated, Ducommun LaBarge Technologies, Inc., as Seller,</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LaBarge Electronics, Inc., and Intervala, LLC, as Buyer. Incorporated by reference to Exhibit 2.1 to Form 8-K dated January 25, 2016.</w:t>
        </w:r>
      </w:hyperlink>
    </w:p>
    <w:p>
      <w:pPr>
        <w:spacing w:after="0" w:line="27" w:lineRule="exact"/>
        <w:rPr>
          <w:sz w:val="20"/>
          <w:szCs w:val="20"/>
          <w:color w:val="auto"/>
        </w:rPr>
      </w:pPr>
    </w:p>
    <w:p>
      <w:pPr>
        <w:ind w:left="340" w:right="500" w:hanging="323"/>
        <w:spacing w:after="0" w:line="282" w:lineRule="auto"/>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2.5 Stock Purchase Agreement dated February 24, 2016, by and between Ducommun LaBarge Technologies, Inc., as Seller, and General Atomics, as</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Buyer. Incorporated by reference to Exhibit 2.1 to Form 8-K dated February 24, 2016.</w:t>
        </w:r>
      </w:hyperlink>
    </w:p>
    <w:p>
      <w:pPr>
        <w:spacing w:after="0" w:line="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85" w:lineRule="exact"/>
        <w:rPr>
          <w:sz w:val="20"/>
          <w:szCs w:val="20"/>
          <w:color w:val="auto"/>
        </w:rPr>
      </w:pPr>
    </w:p>
    <w:p>
      <w:pPr>
        <w:ind w:left="340" w:right="360" w:hanging="323"/>
        <w:spacing w:after="0" w:line="282" w:lineRule="auto"/>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3.3 Bylaws as amended and restated on March 19, 2013. Incorporated by reference to Exhibit 99.1 to Form 8-K dated March 22, 2013.</w:t>
        </w:r>
      </w:hyperlink>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3.4 Amendment to Bylaws dated January 5, 2017. Incorporated by reference to Exhibit 99.2 to Form 8-K dated January 9, 2017.</w:t>
        </w:r>
      </w:hyperlink>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3.5 Amendment to Bylaws dated February 21, 2018. Incorporated by reference to Exhibit 3.1 to Form 8-K dated February 26, 2018.</w:t>
        </w:r>
      </w:hyperlink>
    </w:p>
    <w:p>
      <w:pPr>
        <w:spacing w:after="0" w:line="9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4.1 Description of Ducommun Incorporated Securities Registered under Section 12 of the Exchange Act. Incorporated by reference to Exhibit 4.1 to Form</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10-K for the year ended December 31, 2019.</w:t>
        </w:r>
      </w:hyperlink>
    </w:p>
    <w:p>
      <w:pPr>
        <w:spacing w:after="0" w:line="85" w:lineRule="exact"/>
        <w:rPr>
          <w:sz w:val="20"/>
          <w:szCs w:val="20"/>
          <w:color w:val="auto"/>
        </w:rPr>
      </w:pPr>
    </w:p>
    <w:p>
      <w:pPr>
        <w:ind w:left="420" w:right="180" w:hanging="404"/>
        <w:spacing w:after="0" w:line="261" w:lineRule="auto"/>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10.1 Incremental Term Loan Lender Joinder Agreement and Additional Credit Extension Amendment, dated as of December 20, 2019, by and among</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Ducommun Incorporated, as Borrower, the subsidiaries of the Borrower party thereto, as Guarantors, Bank of America, N.A., as Administrative</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Agent, Swingline Lender and an L.C. Issuer, and the lender party thereto. Incorporated by reference to Exhibit 10.1 to Form 8-K filed on December</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20, 2019.</w:t>
        </w:r>
      </w:hyperlink>
    </w:p>
    <w:p>
      <w:pPr>
        <w:spacing w:after="0" w:line="58" w:lineRule="exact"/>
        <w:rPr>
          <w:rFonts w:ascii="Times New Roman" w:cs="Times New Roman" w:eastAsia="Times New Roman" w:hAnsi="Times New Roman"/>
          <w:sz w:val="18"/>
          <w:szCs w:val="18"/>
          <w:u w:val="single" w:color="auto"/>
          <w:color w:val="0000FF"/>
        </w:rPr>
      </w:pPr>
    </w:p>
    <w:p>
      <w:pPr>
        <w:ind w:left="500" w:right="40" w:hanging="485"/>
        <w:spacing w:after="0" w:line="266" w:lineRule="auto"/>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10.2 Credit Agreement, dated as of November 21, 2018, among Ducommun Incorporated, certain of its subsidiaries, Bank of America, N.A., as</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administrative agent, swingline lender and issuing bank, and other lenders party thereto. Incorporated by reference to Exhibit 10.1 to Form 8-K filed</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on November 26, 2018.</w:t>
        </w:r>
      </w:hyperlink>
    </w:p>
    <w:p>
      <w:pPr>
        <w:spacing w:after="0" w:line="4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*10.3 2007 Stock Incentive Plan. Incorporated by reference to Appendix B of Definitive Proxy Statement on Schedule 14a, filed on March 29, 2010.</w:t>
        </w:r>
      </w:hyperlink>
    </w:p>
    <w:p>
      <w:pPr>
        <w:spacing w:after="0" w:line="104" w:lineRule="exact"/>
        <w:rPr>
          <w:rFonts w:ascii="Times New Roman" w:cs="Times New Roman" w:eastAsia="Times New Roman" w:hAnsi="Times New Roman"/>
          <w:sz w:val="18"/>
          <w:szCs w:val="18"/>
          <w:u w:val="single" w:color="auto"/>
          <w:color w:val="0000FF"/>
        </w:rPr>
      </w:pPr>
    </w:p>
    <w:p>
      <w:pPr>
        <w:ind w:left="500" w:right="360" w:hanging="485"/>
        <w:spacing w:after="0" w:line="282" w:lineRule="auto"/>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*10.4 2013 Stock Incentive Plan (Amended and Restated March 18, 2015). Incorporated by reference to Appendix B of Definitive Proxy Statement on</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Schedule 14a, filed on April 22, 2015.</w:t>
        </w:r>
      </w:hyperlink>
    </w:p>
    <w:p>
      <w:pPr>
        <w:spacing w:after="0" w:line="40" w:lineRule="exact"/>
        <w:rPr>
          <w:sz w:val="20"/>
          <w:szCs w:val="20"/>
          <w:color w:val="auto"/>
        </w:rPr>
      </w:pPr>
    </w:p>
    <w:p>
      <w:pPr>
        <w:ind w:left="500" w:right="580" w:hanging="485"/>
        <w:spacing w:after="0" w:line="282" w:lineRule="auto"/>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*10.5 2013 Stock Incentive Plan (Amended and Restated May 2, 2018). Incorporated by reference to Appendix A of Definitive Proxy Statement on</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Schedule 14a, filed on March 23, 2018.</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*10.6 2018 Employee Stock Purchase Plan. Incorporated by reference to Appendix B of Definitive Proxy Statement on Schedule 14a, filed on March 23,</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2018.</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*10.7 2020 Employee Stock Purchase Plan. Incorporated by reference to Appendix A of Definitive Proxy Statement on Schedule 14a, filed on March 20,</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2020.</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*10.8 Form of Stock Option Agreement for 2016 and earlier. Incorporated by reference to Exhibit 10.8 to Form 10-K for the year ended December 31,</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2003.</w:t>
        </w:r>
      </w:hyperlink>
    </w:p>
    <w:p>
      <w:pPr>
        <w:spacing w:after="0" w:line="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*10.9 Form of Stock Option Agreement for 2017. Incorporated by reference to Exhibit 10.5 to Form 10-K for the year ended December 31, 2016.</w:t>
        </w:r>
      </w:hyperlink>
    </w:p>
    <w:p>
      <w:pPr>
        <w:spacing w:after="0" w:line="104" w:lineRule="exact"/>
        <w:rPr>
          <w:sz w:val="20"/>
          <w:szCs w:val="20"/>
          <w:color w:val="auto"/>
        </w:rPr>
      </w:pPr>
    </w:p>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u w:val="single" w:color="auto"/>
            <w:color w:val="0000FF"/>
          </w:rPr>
          <w:t>*10.10 Form of Stock Option Agreement for 2018 and after. Incorporated by reference to Exhibit 4.7 to Form S-8, filed on May 10, 2018</w:t>
        </w:r>
        <w:r>
          <w:rPr>
            <w:rFonts w:ascii="Times New Roman" w:cs="Times New Roman" w:eastAsia="Times New Roman" w:hAnsi="Times New Roman"/>
            <w:sz w:val="18"/>
            <w:szCs w:val="18"/>
            <w:color w:val="0000FF"/>
          </w:rPr>
          <w:t>.</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0" w:right="420" w:hanging="566"/>
        <w:spacing w:after="0" w:line="282" w:lineRule="auto"/>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*10.11 Form of Performance Stock Unit Agreement for 2014 and 2015. Incorporated by reference to Exhibit 10.19 to Form 10-Q for the period ended</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March 29, 2014.</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*10.12 Form of Performance Stock Unit Agreement for 2016. Incorporated by reference to Exhibit 10.6 to Form 10-Q for the period ended April 2, 2016.</w:t>
        </w:r>
      </w:hyperlink>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*10.13 Form of Performance Stock Unit Agreement for 2017. Incorporated by reference to Exhibit 10.21 to Form 10-Q for the period ended April 1, 2017.</w:t>
        </w:r>
      </w:hyperlink>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*10.14 Form of Restricted Stock Unit Agreement for 2016 and earlier. Incorporated by reference to Exhibit 99.1 to Form 8-K dated May 8, 2007.</w:t>
        </w:r>
      </w:hyperlink>
    </w:p>
    <w:p>
      <w:pPr>
        <w:spacing w:after="0" w:line="9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*10.15 Form of Restricted Stock Unit Agreement for 2017 and after. Incorporated by reference to Exhibit 10.9 to Form 10-K for the year ended December</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31, 2016.</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*10.16 Form of Directors’ Restricted Stock Unit Agreement. Incorporated by reference to Exhibit 99.1 to Form 8-K dated May 10, 2010.</w:t>
        </w:r>
      </w:hyperlink>
    </w:p>
    <w:p>
      <w:pPr>
        <w:spacing w:after="0" w:line="117" w:lineRule="exact"/>
        <w:rPr>
          <w:sz w:val="20"/>
          <w:szCs w:val="20"/>
          <w:color w:val="auto"/>
        </w:rPr>
      </w:pPr>
    </w:p>
    <w:p>
      <w:pPr>
        <w:ind w:left="580" w:right="140" w:hanging="566"/>
        <w:spacing w:after="0" w:line="282"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*10.17 Performance Restricted Stock Unit Agreement dated January 23, 2017 between Ducommun Incorporated and Stephen G. Oswald. Incorporated by</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reference to Exhibit 10.11 to Form 10-K for the year ended December 31, 2016.</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*10.18 Form of Performance Stock Unit Agreement for 2020 and after. Incorporated by reference to Exhibit 10.18 to Form 10-Q for the period ended June</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27, 2020.</w:t>
        </w:r>
      </w:hyperlink>
    </w:p>
    <w:p>
      <w:pPr>
        <w:spacing w:after="0" w:line="72" w:lineRule="exact"/>
        <w:rPr>
          <w:sz w:val="20"/>
          <w:szCs w:val="20"/>
          <w:color w:val="auto"/>
        </w:rPr>
      </w:pPr>
    </w:p>
    <w:p>
      <w:pPr>
        <w:ind w:left="580" w:right="20" w:hanging="566"/>
        <w:spacing w:after="0" w:line="282" w:lineRule="auto"/>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*10.19 Form of Restricted Stock Unit Agreement for Non-Qualified Deferred Compensation Plan Participants for 2020 and after. Incorporated by reference</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to Exhibit 10.19 to Form 10-Q for the period ended June 27, 2020.</w:t>
        </w:r>
      </w:hyperlink>
    </w:p>
    <w:p>
      <w:pPr>
        <w:spacing w:after="0" w:line="4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73">
        <w:r>
          <w:rPr>
            <w:rFonts w:ascii="Times New Roman" w:cs="Times New Roman" w:eastAsia="Times New Roman" w:hAnsi="Times New Roman"/>
            <w:sz w:val="17"/>
            <w:szCs w:val="17"/>
            <w:u w:val="single" w:color="auto"/>
            <w:color w:val="0000FF"/>
          </w:rPr>
          <w:t>*10.20 Form of Restricted Stock Unit Agreement for 2020 and after. Incorporated by reference to Exhibit 10.20 to Form 10-Q for the period ended June 27,</w:t>
        </w:r>
      </w:hyperlink>
    </w:p>
    <w:p>
      <w:pPr>
        <w:spacing w:after="0" w:line="39"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2020.</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*10.21 Form of Stock Option Agreement for 2020 and after. Incorporated by reference to Exhibit 10.21 to Form 10-Q for the period ended June 27, 2020.</w:t>
        </w:r>
      </w:hyperlink>
    </w:p>
    <w:p>
      <w:pPr>
        <w:spacing w:after="0" w:line="90" w:lineRule="exact"/>
        <w:rPr>
          <w:sz w:val="20"/>
          <w:szCs w:val="20"/>
          <w:color w:val="auto"/>
        </w:rPr>
      </w:pPr>
    </w:p>
    <w:p>
      <w:pPr>
        <w:ind w:left="580" w:right="360" w:hanging="566"/>
        <w:spacing w:after="0" w:line="282"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*10.22 Form of Performance Restricted Stock Unit Agreement for 2020. Incorporated by reference to Exhibit 10.22 to Form 10-Q for the period ended</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June 27, 2020.</w:t>
        </w:r>
      </w:hyperlink>
    </w:p>
    <w:p>
      <w:pPr>
        <w:spacing w:after="0" w:line="54" w:lineRule="exact"/>
        <w:rPr>
          <w:sz w:val="20"/>
          <w:szCs w:val="20"/>
          <w:color w:val="auto"/>
        </w:rPr>
      </w:pPr>
    </w:p>
    <w:p>
      <w:pPr>
        <w:ind w:left="660" w:right="4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*10.23</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tbl>
      <w:tblPr>
        <w:tblLayout w:type="fixed"/>
        <w:tblInd w:w="2460" w:type="dxa"/>
        <w:tblCellMar>
          <w:top w:w="0" w:type="dxa"/>
          <w:left w:w="0" w:type="dxa"/>
          <w:bottom w:w="0" w:type="dxa"/>
          <w:right w:w="0" w:type="dxa"/>
        </w:tblCellMar>
      </w:tblPr>
      <w:tr>
        <w:trPr>
          <w:trHeight w:val="194"/>
        </w:trPr>
        <w:tc>
          <w:tcPr>
            <w:tcW w:w="3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Director/Officer</w:t>
            </w:r>
          </w:p>
        </w:tc>
        <w:tc>
          <w:tcPr>
            <w:tcW w:w="2700" w:type="dxa"/>
            <w:vAlign w:val="bottom"/>
            <w:gridSpan w:val="3"/>
          </w:tcPr>
          <w:p>
            <w:pPr>
              <w:ind w:left="1280"/>
              <w:spacing w:after="0" w:line="195" w:lineRule="exact"/>
              <w:rPr>
                <w:sz w:val="20"/>
                <w:szCs w:val="20"/>
                <w:color w:val="auto"/>
              </w:rPr>
            </w:pPr>
            <w:r>
              <w:rPr>
                <w:rFonts w:ascii="Times New Roman" w:cs="Times New Roman" w:eastAsia="Times New Roman" w:hAnsi="Times New Roman"/>
                <w:sz w:val="18"/>
                <w:szCs w:val="18"/>
                <w:color w:val="auto"/>
              </w:rPr>
              <w:t>Date of Agreement</w:t>
            </w:r>
          </w:p>
        </w:tc>
      </w:tr>
      <w:tr>
        <w:trPr>
          <w:trHeight w:val="20"/>
        </w:trPr>
        <w:tc>
          <w:tcPr>
            <w:tcW w:w="11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Baldridge</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March 19, 2013</w:t>
            </w:r>
          </w:p>
        </w:tc>
      </w:tr>
      <w:tr>
        <w:trPr>
          <w:trHeight w:val="23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S. Churchill</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March 19, 2013</w:t>
            </w:r>
          </w:p>
        </w:tc>
      </w:tr>
      <w:tr>
        <w:trPr>
          <w:trHeight w:val="23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Shirley G. Drazba</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October 18, 2018</w:t>
            </w:r>
          </w:p>
        </w:tc>
      </w:tr>
      <w:tr>
        <w:trPr>
          <w:trHeight w:val="229"/>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 Ducommun</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December 31, 1985</w:t>
            </w:r>
          </w:p>
        </w:tc>
      </w:tr>
      <w:tr>
        <w:trPr>
          <w:trHeight w:val="23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 M. Flatt</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November 5, 2009</w:t>
            </w:r>
          </w:p>
        </w:tc>
      </w:tr>
      <w:tr>
        <w:trPr>
          <w:trHeight w:val="23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L. Haberland</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February 2, 2009</w:t>
            </w:r>
          </w:p>
        </w:tc>
      </w:tr>
      <w:tr>
        <w:trPr>
          <w:trHeight w:val="23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G. Oswald</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29"/>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October 1, 2015</w:t>
            </w:r>
          </w:p>
        </w:tc>
      </w:tr>
      <w:tr>
        <w:trPr>
          <w:trHeight w:val="23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Rosalie F. Rogers</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July 24, 2008</w:t>
            </w:r>
          </w:p>
        </w:tc>
      </w:tr>
      <w:tr>
        <w:trPr>
          <w:trHeight w:val="23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1, 2016</w:t>
            </w:r>
          </w:p>
        </w:tc>
      </w:tr>
    </w:tbl>
    <w:p>
      <w:pPr>
        <w:spacing w:after="0" w:line="9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*10.24 Ducommun Incorporated 2016 Bonus Plan. Incorporated by reference to Exhibit 99.3 to Form 8-K dated March 1, 2016.</w:t>
        </w:r>
      </w:hyperlink>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*10.25 Ducommun Incorporated 2017 Bonus Plan. Incorporated by reference to Exhibit 99.1 to Form 8-K dated February 27, 2017.</w:t>
        </w:r>
      </w:hyperlink>
    </w:p>
    <w:p>
      <w:pPr>
        <w:spacing w:after="0" w:line="104" w:lineRule="exact"/>
        <w:rPr>
          <w:sz w:val="20"/>
          <w:szCs w:val="20"/>
          <w:color w:val="auto"/>
        </w:rPr>
      </w:pPr>
    </w:p>
    <w:p>
      <w:pPr>
        <w:ind w:left="580" w:right="220" w:hanging="566"/>
        <w:spacing w:after="0" w:line="282"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*10.26 Directors’ Deferred Compensation and Retirement Plan, as amended and restated February 2, 2010. Incorporated by reference to Exhibit 10.15 to</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Form 10-K for the year ended December 31, 2009.</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*10.27 Non Qualified Deferred Compensation. Incorporated by reference to Exhibit 4.6 to Form S-8 dated November 26, 2019.</w:t>
        </w:r>
      </w:hyperlink>
    </w:p>
    <w:p>
      <w:pPr>
        <w:spacing w:after="0" w:line="104" w:lineRule="exact"/>
        <w:rPr>
          <w:sz w:val="20"/>
          <w:szCs w:val="20"/>
          <w:color w:val="auto"/>
        </w:rPr>
      </w:pPr>
    </w:p>
    <w:p>
      <w:pPr>
        <w:ind w:left="580" w:right="100" w:hanging="566"/>
        <w:spacing w:after="0" w:line="282"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*10.28 Key Executive Severance Agreement between Ducommun Incorporated and Stephen G. Oswald dated January 23, 2017. Incorporated by reference</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to Exhibit 99.1 to Form 8-K dated January 27, 2017.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0" w:hanging="566"/>
        <w:spacing w:after="0" w:line="266"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*10.29 Form of Key Executive Severance Agreement between Ducommun Incorporated and each of the individuals listed below. Incorporated by reference</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to Exhibit 99.2 to Form 8-K dated January 27, 2017. All of the Key Executive Severance Agreements are identical except for the name of the</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person, the address for notice, and the date of the Agreement:</w:t>
        </w:r>
      </w:hyperlink>
    </w:p>
    <w:p>
      <w:pPr>
        <w:spacing w:after="0" w:line="68" w:lineRule="exact"/>
        <w:rPr>
          <w:rFonts w:ascii="Times New Roman" w:cs="Times New Roman" w:eastAsia="Times New Roman" w:hAnsi="Times New Roman"/>
          <w:sz w:val="18"/>
          <w:szCs w:val="18"/>
          <w:u w:val="single" w:color="auto"/>
          <w:color w:val="0000FF"/>
        </w:rPr>
      </w:pPr>
    </w:p>
    <w:tbl>
      <w:tblPr>
        <w:tblLayout w:type="fixed"/>
        <w:tblInd w:w="1720" w:type="dxa"/>
        <w:tblCellMar>
          <w:top w:w="0" w:type="dxa"/>
          <w:left w:w="0" w:type="dxa"/>
          <w:bottom w:w="0" w:type="dxa"/>
          <w:right w:w="0" w:type="dxa"/>
        </w:tblCellMar>
      </w:tblPr>
      <w:tr>
        <w:trPr>
          <w:trHeight w:val="207"/>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w:t>
            </w:r>
          </w:p>
        </w:tc>
        <w:tc>
          <w:tcPr>
            <w:tcW w:w="2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98"/>
              </w:rPr>
              <w:t>Date of Agreement</w:t>
            </w:r>
          </w:p>
        </w:tc>
      </w:tr>
      <w:tr>
        <w:trPr>
          <w:trHeight w:val="20"/>
        </w:trPr>
        <w:tc>
          <w:tcPr>
            <w:tcW w:w="4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45"/>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2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29"/>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Rosalie F. Rogers</w:t>
            </w:r>
          </w:p>
        </w:tc>
        <w:tc>
          <w:tcPr>
            <w:tcW w:w="2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3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2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2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January 23, 2017</w:t>
            </w:r>
          </w:p>
        </w:tc>
      </w:tr>
    </w:tbl>
    <w:p>
      <w:pPr>
        <w:spacing w:after="0" w:line="90" w:lineRule="exact"/>
        <w:rPr>
          <w:rFonts w:ascii="Times New Roman" w:cs="Times New Roman" w:eastAsia="Times New Roman" w:hAnsi="Times New Roman"/>
          <w:sz w:val="18"/>
          <w:szCs w:val="18"/>
          <w:u w:val="single" w:color="auto"/>
          <w:color w:val="0000FF"/>
        </w:rPr>
      </w:pPr>
    </w:p>
    <w:p>
      <w:pPr>
        <w:ind w:left="580" w:right="420" w:hanging="566"/>
        <w:spacing w:after="0" w:line="282" w:lineRule="auto"/>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*10.30 Employment Letter Agreement dated January 3, 2017 between Ducommun Incorporated and Stephen G. Oswald. Incorporated by reference to</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Exhibit 99.1 to Form 8-K dated January 9, 2017.</w:t>
        </w:r>
      </w:hyperlink>
    </w:p>
    <w:p>
      <w:pPr>
        <w:spacing w:after="0" w:line="4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84">
        <w:r>
          <w:rPr>
            <w:rFonts w:ascii="Times New Roman" w:cs="Times New Roman" w:eastAsia="Times New Roman" w:hAnsi="Times New Roman"/>
            <w:sz w:val="17"/>
            <w:szCs w:val="17"/>
            <w:u w:val="single" w:color="auto"/>
            <w:color w:val="0000FF"/>
          </w:rPr>
          <w:t>*10.31 Employment Letter Agreement dated December 19, 2016 between Ducommun Incorporated and Amy M. Paul. Incorporated by reference to Exhibit</w:t>
        </w:r>
      </w:hyperlink>
    </w:p>
    <w:p>
      <w:pPr>
        <w:spacing w:after="0" w:line="39"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10.19 to Form 10-K for the year ended December 31, 2016.</w:t>
        </w:r>
      </w:hyperlink>
    </w:p>
    <w:p>
      <w:pPr>
        <w:spacing w:after="0" w:line="85" w:lineRule="exact"/>
        <w:rPr>
          <w:sz w:val="20"/>
          <w:szCs w:val="20"/>
          <w:color w:val="auto"/>
        </w:rPr>
      </w:pPr>
    </w:p>
    <w:p>
      <w:pPr>
        <w:ind w:left="580" w:right="140" w:hanging="566"/>
        <w:spacing w:after="0" w:line="282"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*10.32 Transition Services Letter Agreement dated January 10, 2017 between Ducommun Incorporated and James S. Heiser. Incorporated by reference to</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Exhibit 99.1 to Form 8-K filed on January 17, 2017.</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*10.33 Separation and Release Agreement dated May 14, 2018 between Ducommun Incorporated and Amy M. Paul. Incorporated by reference to Exhibit</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10.1 to Form 8-K filed on May 23, 2018.</w:t>
        </w:r>
      </w:hyperlink>
    </w:p>
    <w:p>
      <w:pPr>
        <w:spacing w:after="0" w:line="85" w:lineRule="exact"/>
        <w:rPr>
          <w:sz w:val="20"/>
          <w:szCs w:val="20"/>
          <w:color w:val="auto"/>
        </w:rPr>
      </w:pPr>
    </w:p>
    <w:p>
      <w:pPr>
        <w:ind w:left="580" w:right="320" w:hanging="566"/>
        <w:spacing w:after="0" w:line="261" w:lineRule="auto"/>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*10.34 Separation and Release Agreement dated June 26, 2019 between Ducommun Incorporated and Douglas L. Groves. Incorporated by reference to</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Exhibit 10.1 to Form 8-K filed on June 28, 2019.</w:t>
        </w:r>
      </w:hyperlink>
    </w:p>
    <w:p>
      <w:pPr>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31.1 Certification of Principal Executive Officer.</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31.2 Certification of Principal Financial Officer.</w:t>
        </w:r>
      </w:hyperlink>
    </w:p>
    <w:p>
      <w:pPr>
        <w:spacing w:after="0" w:line="9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hyperlink>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76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within the Inline XBRL</w:t>
            </w: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7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2020</w:t>
            </w:r>
          </w:p>
        </w:tc>
        <w:tc>
          <w:tcPr>
            <w:tcW w:w="24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29"/>
        </w:trPr>
        <w:tc>
          <w:tcPr>
            <w:tcW w:w="36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8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2020</w:t>
            </w:r>
          </w:p>
        </w:tc>
        <w:tc>
          <w:tcPr>
            <w:tcW w:w="24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D. Wampler</w:t>
            </w:r>
          </w:p>
        </w:tc>
      </w:tr>
      <w:tr>
        <w:trPr>
          <w:trHeight w:val="218"/>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D. Wampler</w:t>
            </w:r>
          </w:p>
        </w:tc>
      </w:tr>
      <w:tr>
        <w:trPr>
          <w:trHeight w:val="180"/>
        </w:trPr>
        <w:tc>
          <w:tcPr>
            <w:tcW w:w="3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Interim Chief Financial Officer and Treasurer, and</w:t>
            </w:r>
          </w:p>
        </w:tc>
      </w:tr>
      <w:tr>
        <w:trPr>
          <w:trHeight w:val="225"/>
        </w:trPr>
        <w:tc>
          <w:tcPr>
            <w:tcW w:w="36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 and Chief Accounting Officer</w:t>
            </w:r>
          </w:p>
        </w:tc>
      </w:tr>
      <w:tr>
        <w:trPr>
          <w:trHeight w:val="234"/>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17"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September 26, 2020;</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14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9">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 Wampler, certify that:</w:t>
      </w:r>
    </w:p>
    <w:p>
      <w:pPr>
        <w:spacing w:after="0" w:line="10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September 26, 2020;</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1972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D. Wampler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Interim Chief Financial Officer and Treasurer, and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Controller and Chief Accounting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September 26, 2020,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126" w:lineRule="exact"/>
        <w:rPr>
          <w:sz w:val="20"/>
          <w:szCs w:val="20"/>
          <w:color w:val="auto"/>
        </w:rPr>
      </w:pPr>
    </w:p>
    <w:p>
      <w:pPr>
        <w:ind w:left="1160" w:hanging="261"/>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292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2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September 26, 2020, as filed with the Securities and Exchange Commission on the date hereof (the “Report”), I, Christopher D. Wampler, Vice President, Interim Chief Financial Officer and Treasurer, and Controller and Chief Accounting Officer of the Company, certify pursuant to 18 U.S.C. § 1350, as adopted pursuant to § 906 of the Sarbanes-Oxley Act of 2002, that to the best of my knowledge:</w:t>
      </w:r>
    </w:p>
    <w:p>
      <w:pPr>
        <w:spacing w:after="0" w:line="126" w:lineRule="exact"/>
        <w:rPr>
          <w:sz w:val="20"/>
          <w:szCs w:val="20"/>
          <w:color w:val="auto"/>
        </w:rPr>
      </w:pPr>
    </w:p>
    <w:p>
      <w:pPr>
        <w:ind w:left="1160" w:hanging="261"/>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7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34290</wp:posOffset>
            </wp:positionV>
            <wp:extent cx="31292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Christopher D. Wampler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Vice President, Interim Chief Financial Officer and Treasurer, and</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Controller and Chief Accounting Officer</w:t>
      </w:r>
    </w:p>
    <w:p>
      <w:pPr>
        <w:spacing w:after="0" w:line="4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842"/>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63" Type="http://schemas.openxmlformats.org/officeDocument/2006/relationships/image" Target="media/image37.png"/><Relationship Id="rId81" Type="http://schemas.openxmlformats.org/officeDocument/2006/relationships/image" Target="media/image38.png"/><Relationship Id="rId88" Type="http://schemas.openxmlformats.org/officeDocument/2006/relationships/image" Target="media/image39.png"/><Relationship Id="rId89" Type="http://schemas.openxmlformats.org/officeDocument/2006/relationships/image" Target="media/image40.png"/><Relationship Id="rId90" Type="http://schemas.openxmlformats.org/officeDocument/2006/relationships/image" Target="media/image41.png"/><Relationship Id="rId91" Type="http://schemas.openxmlformats.org/officeDocument/2006/relationships/image" Target="media/image42.png"/><Relationship Id="rId92" Type="http://schemas.openxmlformats.org/officeDocument/2006/relationships/image" Target="media/image43.png"/><Relationship Id="rId44" Type="http://schemas.openxmlformats.org/officeDocument/2006/relationships/hyperlink" Target="http://www.sec.gov/Archives/edgar/data/30305/000119312511088393/dex21.htm" TargetMode="External"/><Relationship Id="rId45" Type="http://schemas.openxmlformats.org/officeDocument/2006/relationships/hyperlink" Target="http://www.sec.gov/Archives/edgar/data/30305/000119312517281838/d414212dex21.htm" TargetMode="External"/><Relationship Id="rId46" Type="http://schemas.openxmlformats.org/officeDocument/2006/relationships/hyperlink" Target="http://www.sec.gov/Archives/edgar/data/30305/000119312519264787/d817718dex21.htm" TargetMode="External"/><Relationship Id="rId47" Type="http://schemas.openxmlformats.org/officeDocument/2006/relationships/hyperlink" Target="http://www.sec.gov/Archives/edgar/data/30305/000119312516436234/d274625dex21.htm" TargetMode="External"/><Relationship Id="rId48" Type="http://schemas.openxmlformats.org/officeDocument/2006/relationships/hyperlink" Target="http://www.sec.gov/Archives/edgar/data/30305/000119312516476865/d127975dex21.htm" TargetMode="External"/><Relationship Id="rId49" Type="http://schemas.openxmlformats.org/officeDocument/2006/relationships/hyperlink" Target="http://www.sec.gov/Archives/edgar/data/30305/0000892569-99-000620-index.html" TargetMode="External"/><Relationship Id="rId50" Type="http://schemas.openxmlformats.org/officeDocument/2006/relationships/hyperlink" Target="http://www.sec.gov/Archives/edgar/data/30305/000119312513121993/d505045dex991.htm" TargetMode="External"/><Relationship Id="rId51" Type="http://schemas.openxmlformats.org/officeDocument/2006/relationships/hyperlink" Target="http://www.sec.gov/Archives/edgar/data/30305/000119312517005088/d321215dex992.htm" TargetMode="External"/><Relationship Id="rId52" Type="http://schemas.openxmlformats.org/officeDocument/2006/relationships/hyperlink" Target="http://www.sec.gov/Archives/edgar/data/30305/000119312518058275/0001193125-18-058275-index.htm" TargetMode="External"/><Relationship Id="rId53" Type="http://schemas.openxmlformats.org/officeDocument/2006/relationships/hyperlink" Target="http://www.sec.gov/Archives/edgar/data/30305/000162828020001898/dco10-k2019exhibit4_1.htm" TargetMode="External"/><Relationship Id="rId54" Type="http://schemas.openxmlformats.org/officeDocument/2006/relationships/hyperlink" Target="http://www.sec.gov/Archives/edgar/data/30305/000119312519321137/d834392dex101.htm" TargetMode="External"/><Relationship Id="rId55" Type="http://schemas.openxmlformats.org/officeDocument/2006/relationships/hyperlink" Target="http://www.sec.gov/Archives/edgar/data/30305/000119312518333904/0001193125-18-333904-index.htm" TargetMode="External"/><Relationship Id="rId56" Type="http://schemas.openxmlformats.org/officeDocument/2006/relationships/hyperlink" Target="http://www.sec.gov/Archives/edgar/data/30305/000119312510069637/ddef14a.htm" TargetMode="External"/><Relationship Id="rId57" Type="http://schemas.openxmlformats.org/officeDocument/2006/relationships/hyperlink" Target="http://www.sec.gov/Archives/edgar/data/30305/000119312515141454/d910485ddef14a.htm" TargetMode="External"/><Relationship Id="rId58" Type="http://schemas.openxmlformats.org/officeDocument/2006/relationships/hyperlink" Target="http://www.sec.gov/Archives/edgar/data/30305/000119312518093774/d536991ddef14a.htm" TargetMode="External"/><Relationship Id="rId59" Type="http://schemas.openxmlformats.org/officeDocument/2006/relationships/hyperlink" Target="http://www.sec.gov/Archives/edgar/data/30305/000119312520080692/d859194ddef14a.htm" TargetMode="External"/><Relationship Id="rId60" Type="http://schemas.openxmlformats.org/officeDocument/2006/relationships/hyperlink" Target="http://www.sec.gov/Archives/edgar/data/30305/000119312504034525/dex108.htm" TargetMode="External"/><Relationship Id="rId61" Type="http://schemas.openxmlformats.org/officeDocument/2006/relationships/hyperlink" Target="http://www.sec.gov/Archives/edgar/data/30305/000162828017002221/dco10-k2016_ex105.htm" TargetMode="External"/><Relationship Id="rId62" Type="http://schemas.openxmlformats.org/officeDocument/2006/relationships/hyperlink" Target="http://www.sec.gov/Archives/edgar/data/30305/000119312518159343/d596690dex47.htm" TargetMode="External"/><Relationship Id="rId64" Type="http://schemas.openxmlformats.org/officeDocument/2006/relationships/hyperlink" Target="http://www.sec.gov/Archives/edgar/data/30305/000144530514001489/dco-q1201410xqex1019.htm" TargetMode="External"/><Relationship Id="rId65" Type="http://schemas.openxmlformats.org/officeDocument/2006/relationships/hyperlink" Target="http://www.sec.gov/Archives/edgar/data/30305/000162828016015939/dcoq12016exhibit-psuagreem.htm" TargetMode="External"/><Relationship Id="rId66" Type="http://schemas.openxmlformats.org/officeDocument/2006/relationships/hyperlink" Target="http://www.sec.gov/Archives/edgar/data/30305/000162828017004948/blankpsuagreement_ex10x21.htm" TargetMode="External"/><Relationship Id="rId67" Type="http://schemas.openxmlformats.org/officeDocument/2006/relationships/hyperlink" Target="http://www.sec.gov/Archives/edgar/data/30305/000119312507106190/dex991.htm" TargetMode="External"/><Relationship Id="rId68" Type="http://schemas.openxmlformats.org/officeDocument/2006/relationships/hyperlink" Target="http://www.sec.gov/Archives/edgar/data/30305/000162828017002221/dco10-k2016_ex109.htm" TargetMode="External"/><Relationship Id="rId69" Type="http://schemas.openxmlformats.org/officeDocument/2006/relationships/hyperlink" Target="http://www.sec.gov/Archives/edgar/data/30305/000119312510114741/dex991.htm" TargetMode="External"/><Relationship Id="rId70" Type="http://schemas.openxmlformats.org/officeDocument/2006/relationships/hyperlink" Target="http://www.sec.gov/Archives/edgar/data/30305/000162828017002221/dco10-k2016_ex1011.htm" TargetMode="External"/><Relationship Id="rId71" Type="http://schemas.openxmlformats.org/officeDocument/2006/relationships/hyperlink" Target="http://www.sec.gov/Archives/edgar/data/30305/000162828020011005/dco-q2202010xqex1018.htm" TargetMode="External"/><Relationship Id="rId72" Type="http://schemas.openxmlformats.org/officeDocument/2006/relationships/hyperlink" Target="http://www.sec.gov/Archives/edgar/data/30305/000162828020011005/dco-q2202010xqex1019.htm" TargetMode="External"/><Relationship Id="rId73" Type="http://schemas.openxmlformats.org/officeDocument/2006/relationships/hyperlink" Target="http://www.sec.gov/Archives/edgar/data/30305/000162828020011005/dco-q2202010xqex1020.htm" TargetMode="External"/><Relationship Id="rId74" Type="http://schemas.openxmlformats.org/officeDocument/2006/relationships/hyperlink" Target="http://www.sec.gov/Archives/edgar/data/30305/000162828020011005/dco-q2202010xqex1021.htm" TargetMode="External"/><Relationship Id="rId75" Type="http://schemas.openxmlformats.org/officeDocument/2006/relationships/hyperlink" Target="http://www.sec.gov/Archives/edgar/data/30305/000162828020011005/dco-q2202010xqex1022.htm" TargetMode="External"/><Relationship Id="rId76" Type="http://schemas.openxmlformats.org/officeDocument/2006/relationships/hyperlink" Target="http://www.sec.gov/Archives/edgar/data/30305/000119312516488014/d141420dex993.htm" TargetMode="External"/><Relationship Id="rId77" Type="http://schemas.openxmlformats.org/officeDocument/2006/relationships/hyperlink" Target="http://www.sec.gov/Archives/edgar/data/30305/000119312517058409/d315826dex991.htm" TargetMode="External"/><Relationship Id="rId78" Type="http://schemas.openxmlformats.org/officeDocument/2006/relationships/hyperlink" Target="http://www.sec.gov/Archives/edgar/data/30305/000119312510036507/dex1015.htm" TargetMode="External"/><Relationship Id="rId79" Type="http://schemas.openxmlformats.org/officeDocument/2006/relationships/hyperlink" Target="http://www.sec.gov/Archives/edgar/data/30305/000119312519301183/0001193125-19-301183-index.htm" TargetMode="External"/><Relationship Id="rId80" Type="http://schemas.openxmlformats.org/officeDocument/2006/relationships/hyperlink" Target="http://www.sec.gov/Archives/edgar/data/30305/000119312517020975/d284517dex991.htm" TargetMode="External"/><Relationship Id="rId82" Type="http://schemas.openxmlformats.org/officeDocument/2006/relationships/hyperlink" Target="http://www.sec.gov/Archives/edgar/data/30305/000119312517020975/d284517dex992.htm" TargetMode="External"/><Relationship Id="rId83" Type="http://schemas.openxmlformats.org/officeDocument/2006/relationships/hyperlink" Target="http://www.sec.gov/Archives/edgar/data/30305/000119312517005088/d321215dex991.htm" TargetMode="External"/><Relationship Id="rId84" Type="http://schemas.openxmlformats.org/officeDocument/2006/relationships/hyperlink" Target="http://www.sec.gov/Archives/edgar/data/30305/000162828017002221/dco10-k2016_ex1019.htm" TargetMode="External"/><Relationship Id="rId85" Type="http://schemas.openxmlformats.org/officeDocument/2006/relationships/hyperlink" Target="http://www.sec.gov/Archives/edgar/data/30305/000119312517010708/d287508dex991.htm" TargetMode="External"/><Relationship Id="rId86" Type="http://schemas.openxmlformats.org/officeDocument/2006/relationships/hyperlink" Target="http://www.sec.gov/Archives/edgar/data/30305/000119312518171920/d578788dex101.htm" TargetMode="External"/><Relationship Id="rId87" Type="http://schemas.openxmlformats.org/officeDocument/2006/relationships/hyperlink" Target="http://www.sec.gov/Archives/edgar/data/30305/000119312519184565/d63701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2020-10-28T15:47:18Z</dcterms:created>
  <dcterms:modified xsi:type="dcterms:W3CDTF">2020-10-28T15:47:18Z</dcterms:modified>
</cp:coreProperties>
</file>