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18"/>
        </w:rPr>
        <w:t>_________________________________________________________</w:t>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3, 2021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6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001-08174</w:t>
      </w:r>
    </w:p>
    <w:p>
      <w:pPr>
        <w:pStyle w:val="TextBody"/>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p>
    <w:p>
      <w:pPr>
        <w:pStyle w:val="TextBody"/>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DUCOMMUN INCORPORATED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p>
    <w:tbl>
      <w:tblPr>
        <w:tblW w:w="6716" w:type="dxa"/>
        <w:jc w:val="center"/>
        <w:tblInd w:w="0" w:type="dxa"/>
        <w:tblCellMar>
          <w:top w:w="28" w:type="dxa"/>
          <w:left w:w="28" w:type="dxa"/>
          <w:bottom w:w="28" w:type="dxa"/>
          <w:right w:w="28" w:type="dxa"/>
        </w:tblCellMar>
      </w:tblPr>
      <w:tblGrid>
        <w:gridCol w:w="1774"/>
        <w:gridCol w:w="1554"/>
        <w:gridCol w:w="1577"/>
        <w:gridCol w:w="109"/>
        <w:gridCol w:w="109"/>
        <w:gridCol w:w="109"/>
        <w:gridCol w:w="433"/>
        <w:gridCol w:w="433"/>
        <w:gridCol w:w="618"/>
      </w:tblGrid>
      <w:tr>
        <w:trPr/>
        <w:tc>
          <w:tcPr>
            <w:tcW w:w="177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95-0693330</w:t>
            </w:r>
          </w:p>
        </w:tc>
      </w:tr>
      <w:tr>
        <w:trPr/>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4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200 Sandpointe Avenue, Suite 700, Santa Ana, California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92707-5759</w:t>
            </w:r>
          </w:p>
        </w:tc>
      </w:tr>
      <w:tr>
        <w:trPr/>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(657) 335-3665</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976" w:type="dxa"/>
        <w:jc w:val="left"/>
        <w:tblInd w:w="0" w:type="dxa"/>
        <w:tblCellMar>
          <w:top w:w="28" w:type="dxa"/>
          <w:left w:w="28" w:type="dxa"/>
          <w:bottom w:w="28" w:type="dxa"/>
          <w:right w:w="28" w:type="dxa"/>
        </w:tblCellMar>
      </w:tblPr>
      <w:tblGrid>
        <w:gridCol w:w="1285"/>
        <w:gridCol w:w="1127"/>
        <w:gridCol w:w="1142"/>
        <w:gridCol w:w="109"/>
        <w:gridCol w:w="109"/>
        <w:gridCol w:w="109"/>
        <w:gridCol w:w="484"/>
        <w:gridCol w:w="484"/>
        <w:gridCol w:w="486"/>
        <w:gridCol w:w="109"/>
        <w:gridCol w:w="109"/>
        <w:gridCol w:w="109"/>
        <w:gridCol w:w="970"/>
        <w:gridCol w:w="970"/>
        <w:gridCol w:w="1374"/>
      </w:tblGrid>
      <w:tr>
        <w:trPr/>
        <w:tc>
          <w:tcPr>
            <w:tcW w:w="1285"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 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p>
    <w:p>
      <w:pPr>
        <w:pStyle w:val="TextBody"/>
        <w:spacing w:lineRule="auto" w:line="288" w:before="60" w:after="283"/>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4"/>
        </w:rPr>
        <w:t xml:space="preserve">x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sans-serif" w:hAnsi="Wingdings;sans-serif"/>
          <w:b w:val="false"/>
          <w:color w:val="000000"/>
          <w:sz w:val="24"/>
        </w:rPr>
        <w:t>x</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585" w:type="dxa"/>
        <w:jc w:val="left"/>
        <w:tblInd w:w="0" w:type="dxa"/>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60" w:after="283"/>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60" w:after="283"/>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4"/>
        </w:rPr>
        <w:t>x</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August 5, 2021, the registrant had 11,920,322 shares of common stock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tbl>
      <w:tblPr>
        <w:tblW w:w="10205" w:type="dxa"/>
        <w:jc w:val="center"/>
        <w:tblInd w:w="0" w:type="dxa"/>
        <w:tblCellMar>
          <w:top w:w="28" w:type="dxa"/>
          <w:left w:w="28" w:type="dxa"/>
          <w:bottom w:w="28" w:type="dxa"/>
          <w:right w:w="28" w:type="dxa"/>
        </w:tblCellMar>
      </w:tblPr>
      <w:tblGrid>
        <w:gridCol w:w="230"/>
        <w:gridCol w:w="202"/>
        <w:gridCol w:w="202"/>
        <w:gridCol w:w="326"/>
        <w:gridCol w:w="317"/>
        <w:gridCol w:w="215"/>
        <w:gridCol w:w="2695"/>
        <w:gridCol w:w="2550"/>
        <w:gridCol w:w="2558"/>
        <w:gridCol w:w="260"/>
        <w:gridCol w:w="260"/>
        <w:gridCol w:w="390"/>
      </w:tblGrid>
      <w:tr>
        <w:trPr/>
        <w:tc>
          <w:tcPr>
            <w:tcW w:w="23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695"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10">
              <w:r>
                <w:rPr>
                  <w:rStyle w:val="InternetLink"/>
                  <w:rFonts w:ascii="Times New Roman;sans-serif" w:hAnsi="Times New Roman;sans-serif"/>
                  <w:b/>
                  <w:color w:val="0000FF"/>
                  <w:sz w:val="20"/>
                  <w:u w:val="single"/>
                </w:rPr>
                <w:t>PART I</w:t>
              </w:r>
            </w:hyperlink>
            <w:r>
              <w:rPr>
                <w:rFonts w:ascii="Times New Roman;sans-serif" w:hAnsi="Times New Roman;sans-serif"/>
                <w:b/>
                <w:color w:val="000000"/>
                <w:sz w:val="20"/>
              </w:rPr>
              <w:t>. FINANCIAL INFORMATION</w:t>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7803"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r>
      <w:tr>
        <w:trPr/>
        <w:tc>
          <w:tcPr>
            <w:tcW w:w="634"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7803"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13">
              <w:r>
                <w:rPr>
                  <w:rStyle w:val="InternetLink"/>
                  <w:rFonts w:ascii="Times New Roman;sans-serif" w:hAnsi="Times New Roman;sans-serif"/>
                  <w:b w:val="false"/>
                  <w:color w:val="0000FF"/>
                  <w:sz w:val="20"/>
                  <w:u w:val="single"/>
                </w:rPr>
                <w:t>Financial Statements (unaudited)</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13">
              <w:r>
                <w:rPr>
                  <w:rStyle w:val="InternetLink"/>
                  <w:rFonts w:ascii="Times New Roman;sans-serif" w:hAnsi="Times New Roman;sans-serif"/>
                  <w:b w:val="false"/>
                  <w:color w:val="0000FF"/>
                  <w:sz w:val="20"/>
                  <w:u w:val="single"/>
                </w:rPr>
                <w:t>3</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16">
              <w:r>
                <w:rPr>
                  <w:rStyle w:val="InternetLink"/>
                </w:rPr>
                <w:t xml:space="preserve">Condensed Consolidated Balance Sheets as of </w:t>
              </w:r>
            </w:hyperlink>
            <w:hyperlink w:anchor="i8895907151f6488da2f1e48031ecae9a_16">
              <w:r>
                <w:rPr>
                  <w:rStyle w:val="InternetLink"/>
                </w:rPr>
                <w:t>July</w:t>
              </w:r>
            </w:hyperlink>
            <w:hyperlink w:anchor="i8895907151f6488da2f1e48031ecae9a_16">
              <w:r>
                <w:rPr>
                  <w:rStyle w:val="InternetLink"/>
                </w:rPr>
                <w:t xml:space="preserve"> 3, 2021 and December 31, 2020</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16">
              <w:r>
                <w:rPr>
                  <w:rStyle w:val="InternetLink"/>
                  <w:rFonts w:ascii="Times New Roman;sans-serif" w:hAnsi="Times New Roman;sans-serif"/>
                  <w:b w:val="false"/>
                  <w:color w:val="0000FF"/>
                  <w:sz w:val="20"/>
                  <w:u w:val="single"/>
                </w:rPr>
                <w:t>3</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22">
              <w:r>
                <w:rPr>
                  <w:rStyle w:val="InternetLink"/>
                </w:rPr>
                <w:t>Condensed Consolidated Statements of Income for the Three</w:t>
              </w:r>
            </w:hyperlink>
            <w:hyperlink w:anchor="i8895907151f6488da2f1e48031ecae9a_22">
              <w:r>
                <w:rPr>
                  <w:rStyle w:val="InternetLink"/>
                </w:rPr>
                <w:t xml:space="preserve"> and S</w:t>
              </w:r>
            </w:hyperlink>
            <w:hyperlink w:anchor="i8895907151f6488da2f1e48031ecae9a_22">
              <w:r>
                <w:rPr>
                  <w:rStyle w:val="InternetLink"/>
                </w:rPr>
                <w:t>ix</w:t>
              </w:r>
            </w:hyperlink>
            <w:hyperlink w:anchor="i8895907151f6488da2f1e48031ecae9a_22">
              <w:r>
                <w:rPr>
                  <w:rStyle w:val="InternetLink"/>
                </w:rPr>
                <w:t xml:space="preserve"> Months Ended </w:t>
              </w:r>
            </w:hyperlink>
            <w:hyperlink w:anchor="i8895907151f6488da2f1e48031ecae9a_22">
              <w:r>
                <w:rPr>
                  <w:rStyle w:val="InternetLink"/>
                </w:rPr>
                <w:t>July</w:t>
              </w:r>
            </w:hyperlink>
            <w:hyperlink w:anchor="i8895907151f6488da2f1e48031ecae9a_22">
              <w:r>
                <w:rPr>
                  <w:rStyle w:val="InternetLink"/>
                </w:rPr>
                <w:t xml:space="preserve"> 3, 2021 and </w:t>
              </w:r>
            </w:hyperlink>
            <w:hyperlink w:anchor="i8895907151f6488da2f1e48031ecae9a_22">
              <w:r>
                <w:rPr>
                  <w:rStyle w:val="InternetLink"/>
                </w:rPr>
                <w:t>June</w:t>
              </w:r>
            </w:hyperlink>
            <w:hyperlink w:anchor="i8895907151f6488da2f1e48031ecae9a_22">
              <w:r>
                <w:rPr>
                  <w:rStyle w:val="InternetLink"/>
                </w:rPr>
                <w:t xml:space="preserve"> 2</w:t>
              </w:r>
            </w:hyperlink>
            <w:hyperlink w:anchor="i8895907151f6488da2f1e48031ecae9a_22">
              <w:r>
                <w:rPr>
                  <w:rStyle w:val="InternetLink"/>
                </w:rPr>
                <w:t>7</w:t>
              </w:r>
            </w:hyperlink>
            <w:hyperlink w:anchor="i8895907151f6488da2f1e48031ecae9a_22">
              <w:r>
                <w:rPr>
                  <w:rStyle w:val="InternetLink"/>
                </w:rPr>
                <w:t>, 2020</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22">
              <w:r>
                <w:rPr>
                  <w:rStyle w:val="InternetLink"/>
                  <w:rFonts w:ascii="Times New Roman;sans-serif" w:hAnsi="Times New Roman;sans-serif"/>
                  <w:b w:val="false"/>
                  <w:color w:val="0000FF"/>
                  <w:sz w:val="20"/>
                  <w:u w:val="single"/>
                </w:rPr>
                <w:t>4</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25">
              <w:r>
                <w:rPr>
                  <w:rStyle w:val="InternetLink"/>
                </w:rPr>
                <w:t>Condensed Consolidated Statements of Comprehensive Income for the Three</w:t>
              </w:r>
            </w:hyperlink>
            <w:hyperlink w:anchor="i8895907151f6488da2f1e48031ecae9a_25">
              <w:r>
                <w:rPr>
                  <w:rStyle w:val="InternetLink"/>
                </w:rPr>
                <w:t xml:space="preserve"> and Six</w:t>
              </w:r>
            </w:hyperlink>
            <w:hyperlink w:anchor="i8895907151f6488da2f1e48031ecae9a_25">
              <w:r>
                <w:rPr>
                  <w:rStyle w:val="InternetLink"/>
                </w:rPr>
                <w:t xml:space="preserve"> Months Ended </w:t>
              </w:r>
            </w:hyperlink>
            <w:hyperlink w:anchor="i8895907151f6488da2f1e48031ecae9a_25">
              <w:r>
                <w:rPr>
                  <w:rStyle w:val="InternetLink"/>
                </w:rPr>
                <w:t>July</w:t>
              </w:r>
            </w:hyperlink>
            <w:hyperlink w:anchor="i8895907151f6488da2f1e48031ecae9a_25">
              <w:r>
                <w:rPr>
                  <w:rStyle w:val="InternetLink"/>
                </w:rPr>
                <w:t xml:space="preserve"> 3, 2021 and </w:t>
              </w:r>
            </w:hyperlink>
            <w:hyperlink w:anchor="i8895907151f6488da2f1e48031ecae9a_25">
              <w:r>
                <w:rPr>
                  <w:rStyle w:val="InternetLink"/>
                </w:rPr>
                <w:t>June</w:t>
              </w:r>
            </w:hyperlink>
            <w:hyperlink w:anchor="i8895907151f6488da2f1e48031ecae9a_25">
              <w:r>
                <w:rPr>
                  <w:rStyle w:val="InternetLink"/>
                </w:rPr>
                <w:t xml:space="preserve"> 2</w:t>
              </w:r>
            </w:hyperlink>
            <w:hyperlink w:anchor="i8895907151f6488da2f1e48031ecae9a_25">
              <w:r>
                <w:rPr>
                  <w:rStyle w:val="InternetLink"/>
                </w:rPr>
                <w:t>7</w:t>
              </w:r>
            </w:hyperlink>
            <w:hyperlink w:anchor="i8895907151f6488da2f1e48031ecae9a_25">
              <w:r>
                <w:rPr>
                  <w:rStyle w:val="InternetLink"/>
                </w:rPr>
                <w:t>, 2020</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25">
              <w:r>
                <w:rPr>
                  <w:rStyle w:val="InternetLink"/>
                  <w:rFonts w:ascii="Times New Roman;sans-serif" w:hAnsi="Times New Roman;sans-serif"/>
                  <w:b w:val="false"/>
                  <w:color w:val="0000FF"/>
                  <w:sz w:val="20"/>
                  <w:u w:val="single"/>
                </w:rPr>
                <w:t>5</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31">
              <w:r>
                <w:rPr>
                  <w:rStyle w:val="InternetLink"/>
                </w:rPr>
                <w:t>Condensed Consolidated Statements of Changes in Shareholders’ Equity for the Three</w:t>
              </w:r>
            </w:hyperlink>
            <w:hyperlink w:anchor="i8895907151f6488da2f1e48031ecae9a_31">
              <w:r>
                <w:rPr>
                  <w:rStyle w:val="InternetLink"/>
                </w:rPr>
                <w:t xml:space="preserve"> and Six</w:t>
              </w:r>
            </w:hyperlink>
            <w:hyperlink w:anchor="i8895907151f6488da2f1e48031ecae9a_31">
              <w:r>
                <w:rPr>
                  <w:rStyle w:val="InternetLink"/>
                </w:rPr>
                <w:t xml:space="preserve"> Months Ended </w:t>
              </w:r>
            </w:hyperlink>
            <w:hyperlink w:anchor="i8895907151f6488da2f1e48031ecae9a_31">
              <w:r>
                <w:rPr>
                  <w:rStyle w:val="InternetLink"/>
                </w:rPr>
                <w:t>July</w:t>
              </w:r>
            </w:hyperlink>
            <w:hyperlink w:anchor="i8895907151f6488da2f1e48031ecae9a_31">
              <w:r>
                <w:rPr>
                  <w:rStyle w:val="InternetLink"/>
                </w:rPr>
                <w:t xml:space="preserve"> 3, 2021 and </w:t>
              </w:r>
            </w:hyperlink>
            <w:hyperlink w:anchor="i8895907151f6488da2f1e48031ecae9a_31">
              <w:r>
                <w:rPr>
                  <w:rStyle w:val="InternetLink"/>
                </w:rPr>
                <w:t>June</w:t>
              </w:r>
            </w:hyperlink>
            <w:hyperlink w:anchor="i8895907151f6488da2f1e48031ecae9a_31">
              <w:r>
                <w:rPr>
                  <w:rStyle w:val="InternetLink"/>
                </w:rPr>
                <w:t xml:space="preserve"> 2</w:t>
              </w:r>
            </w:hyperlink>
            <w:hyperlink w:anchor="i8895907151f6488da2f1e48031ecae9a_31">
              <w:r>
                <w:rPr>
                  <w:rStyle w:val="InternetLink"/>
                </w:rPr>
                <w:t>7</w:t>
              </w:r>
            </w:hyperlink>
            <w:hyperlink w:anchor="i8895907151f6488da2f1e48031ecae9a_31">
              <w:r>
                <w:rPr>
                  <w:rStyle w:val="InternetLink"/>
                </w:rPr>
                <w:t>, 2020</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31">
              <w:r>
                <w:rPr>
                  <w:rStyle w:val="InternetLink"/>
                  <w:rFonts w:ascii="Times New Roman;sans-serif" w:hAnsi="Times New Roman;sans-serif"/>
                  <w:b w:val="false"/>
                  <w:color w:val="0000FF"/>
                  <w:sz w:val="20"/>
                  <w:u w:val="single"/>
                </w:rPr>
                <w:t>6</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34">
              <w:r>
                <w:rPr>
                  <w:rStyle w:val="InternetLink"/>
                </w:rPr>
                <w:t xml:space="preserve">Condensed Consolidated Statements of Cash Flows for the </w:t>
              </w:r>
            </w:hyperlink>
            <w:hyperlink w:anchor="i8895907151f6488da2f1e48031ecae9a_34">
              <w:r>
                <w:rPr>
                  <w:rStyle w:val="InternetLink"/>
                </w:rPr>
                <w:t>Six</w:t>
              </w:r>
            </w:hyperlink>
            <w:hyperlink w:anchor="i8895907151f6488da2f1e48031ecae9a_34">
              <w:r>
                <w:rPr>
                  <w:rStyle w:val="InternetLink"/>
                </w:rPr>
                <w:t xml:space="preserve"> Months Ended </w:t>
              </w:r>
            </w:hyperlink>
            <w:hyperlink w:anchor="i8895907151f6488da2f1e48031ecae9a_34">
              <w:r>
                <w:rPr>
                  <w:rStyle w:val="InternetLink"/>
                </w:rPr>
                <w:t>July</w:t>
              </w:r>
            </w:hyperlink>
            <w:hyperlink w:anchor="i8895907151f6488da2f1e48031ecae9a_34">
              <w:r>
                <w:rPr>
                  <w:rStyle w:val="InternetLink"/>
                </w:rPr>
                <w:t xml:space="preserve"> 3, 2021 and </w:t>
              </w:r>
            </w:hyperlink>
            <w:hyperlink w:anchor="i8895907151f6488da2f1e48031ecae9a_34">
              <w:r>
                <w:rPr>
                  <w:rStyle w:val="InternetLink"/>
                </w:rPr>
                <w:t>June</w:t>
              </w:r>
            </w:hyperlink>
            <w:hyperlink w:anchor="i8895907151f6488da2f1e48031ecae9a_34">
              <w:r>
                <w:rPr>
                  <w:rStyle w:val="InternetLink"/>
                </w:rPr>
                <w:t xml:space="preserve"> 2</w:t>
              </w:r>
            </w:hyperlink>
            <w:hyperlink w:anchor="i8895907151f6488da2f1e48031ecae9a_34">
              <w:r>
                <w:rPr>
                  <w:rStyle w:val="InternetLink"/>
                </w:rPr>
                <w:t>7</w:t>
              </w:r>
            </w:hyperlink>
            <w:hyperlink w:anchor="i8895907151f6488da2f1e48031ecae9a_34">
              <w:r>
                <w:rPr>
                  <w:rStyle w:val="InternetLink"/>
                </w:rPr>
                <w:t>, 2020</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34">
              <w:r>
                <w:rPr>
                  <w:rStyle w:val="InternetLink"/>
                  <w:rFonts w:ascii="Times New Roman;sans-serif" w:hAnsi="Times New Roman;sans-serif"/>
                  <w:b w:val="false"/>
                  <w:color w:val="0000FF"/>
                  <w:sz w:val="20"/>
                  <w:u w:val="single"/>
                </w:rPr>
                <w:t>7</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37">
              <w:r>
                <w:rPr>
                  <w:rStyle w:val="InternetLink"/>
                  <w:rFonts w:ascii="Times New Roman;sans-serif" w:hAnsi="Times New Roman;sans-serif"/>
                  <w:b w:val="false"/>
                  <w:color w:val="0000FF"/>
                  <w:sz w:val="20"/>
                  <w:u w:val="single"/>
                </w:rPr>
                <w:t>Notes to Condensed Consolidated Financial Statements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37">
              <w:r>
                <w:rPr>
                  <w:rStyle w:val="InternetLink"/>
                  <w:rFonts w:ascii="Times New Roman;sans-serif" w:hAnsi="Times New Roman;sans-serif"/>
                  <w:b w:val="false"/>
                  <w:color w:val="0000FF"/>
                  <w:sz w:val="20"/>
                  <w:u w:val="single"/>
                </w:rPr>
                <w:t>8</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67">
              <w:r>
                <w:rPr>
                  <w:rStyle w:val="InternetLink"/>
                  <w:rFonts w:ascii="Times New Roman;sans-serif" w:hAnsi="Times New Roman;sans-serif"/>
                  <w:b w:val="false"/>
                  <w:color w:val="0000FF"/>
                  <w:sz w:val="20"/>
                  <w:u w:val="single"/>
                </w:rPr>
                <w:t>19</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79">
              <w:r>
                <w:rPr>
                  <w:rStyle w:val="InternetLink"/>
                  <w:rFonts w:ascii="Times New Roman;sans-serif" w:hAnsi="Times New Roman;sans-serif"/>
                  <w:b w:val="false"/>
                  <w:color w:val="0000FF"/>
                  <w:sz w:val="20"/>
                  <w:u w:val="single"/>
                </w:rPr>
                <w:t>Quantitative and Qualitative Disclosures About Market Risk</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79">
              <w:r>
                <w:rPr>
                  <w:rStyle w:val="InternetLink"/>
                  <w:rFonts w:ascii="Times New Roman;sans-serif" w:hAnsi="Times New Roman;sans-serif"/>
                  <w:b w:val="false"/>
                  <w:color w:val="0000FF"/>
                  <w:sz w:val="20"/>
                  <w:u w:val="single"/>
                </w:rPr>
                <w:t>30</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82">
              <w:r>
                <w:rPr>
                  <w:rStyle w:val="InternetLink"/>
                  <w:rFonts w:ascii="Times New Roman;sans-serif" w:hAnsi="Times New Roman;sans-serif"/>
                  <w:b w:val="false"/>
                  <w:color w:val="0000FF"/>
                  <w:sz w:val="20"/>
                  <w:u w:val="single"/>
                </w:rPr>
                <w:t>Controls and Procedures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82">
              <w:r>
                <w:rPr>
                  <w:rStyle w:val="InternetLink"/>
                  <w:rFonts w:ascii="Times New Roman;sans-serif" w:hAnsi="Times New Roman;sans-serif"/>
                  <w:b w:val="false"/>
                  <w:color w:val="0000FF"/>
                  <w:sz w:val="20"/>
                  <w:u w:val="single"/>
                </w:rPr>
                <w:t>31</w:t>
              </w:r>
            </w:hyperlink>
          </w:p>
        </w:tc>
      </w:tr>
      <w:tr>
        <w:trPr/>
        <w:tc>
          <w:tcPr>
            <w:tcW w:w="1020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85">
              <w:r>
                <w:rPr>
                  <w:rStyle w:val="InternetLink"/>
                  <w:rFonts w:ascii="Times New Roman;sans-serif" w:hAnsi="Times New Roman;sans-serif"/>
                  <w:b/>
                  <w:color w:val="0000FF"/>
                  <w:sz w:val="20"/>
                  <w:u w:val="single"/>
                </w:rPr>
                <w:t>PART II</w:t>
              </w:r>
            </w:hyperlink>
            <w:r>
              <w:rPr>
                <w:rFonts w:ascii="Times New Roman;sans-serif" w:hAnsi="Times New Roman;sans-serif"/>
                <w:b/>
                <w:color w:val="000000"/>
                <w:sz w:val="20"/>
              </w:rPr>
              <w:t>. OTHER INFORMATION</w:t>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88">
              <w:r>
                <w:rPr>
                  <w:rStyle w:val="InternetLink"/>
                  <w:rFonts w:ascii="Times New Roman;sans-serif" w:hAnsi="Times New Roman;sans-serif"/>
                  <w:b w:val="false"/>
                  <w:color w:val="0000FF"/>
                  <w:sz w:val="20"/>
                  <w:u w:val="single"/>
                </w:rPr>
                <w:t>Legal Proceedings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88">
              <w:r>
                <w:rPr>
                  <w:rStyle w:val="InternetLink"/>
                  <w:rFonts w:ascii="Times New Roman;sans-serif" w:hAnsi="Times New Roman;sans-serif"/>
                  <w:b w:val="false"/>
                  <w:color w:val="0000FF"/>
                  <w:sz w:val="20"/>
                  <w:u w:val="single"/>
                </w:rPr>
                <w:t>31</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91">
              <w:r>
                <w:rPr>
                  <w:rStyle w:val="InternetLink"/>
                  <w:rFonts w:ascii="Times New Roman;sans-serif" w:hAnsi="Times New Roman;sans-serif"/>
                  <w:b w:val="false"/>
                  <w:color w:val="0000FF"/>
                  <w:sz w:val="20"/>
                  <w:u w:val="single"/>
                </w:rPr>
                <w:t>Risk Factors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91">
              <w:r>
                <w:rPr>
                  <w:rStyle w:val="InternetLink"/>
                  <w:rFonts w:ascii="Times New Roman;sans-serif" w:hAnsi="Times New Roman;sans-serif"/>
                  <w:b w:val="false"/>
                  <w:color w:val="0000FF"/>
                  <w:sz w:val="20"/>
                  <w:u w:val="single"/>
                </w:rPr>
                <w:t>31</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94">
              <w:r>
                <w:rPr>
                  <w:rStyle w:val="InternetLink"/>
                  <w:rFonts w:ascii="Times New Roman;sans-serif" w:hAnsi="Times New Roman;sans-serif"/>
                  <w:b w:val="false"/>
                  <w:color w:val="0000FF"/>
                  <w:sz w:val="20"/>
                  <w:u w:val="single"/>
                </w:rPr>
                <w:t>Mine Safety Disclosures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94">
              <w:r>
                <w:rPr>
                  <w:rStyle w:val="InternetLink"/>
                  <w:rFonts w:ascii="Times New Roman;sans-serif" w:hAnsi="Times New Roman;sans-serif"/>
                  <w:b w:val="false"/>
                  <w:color w:val="0000FF"/>
                  <w:sz w:val="20"/>
                  <w:u w:val="single"/>
                </w:rPr>
                <w:t>31</w:t>
              </w:r>
            </w:hyperlink>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97">
              <w:r>
                <w:rPr>
                  <w:rStyle w:val="InternetLink"/>
                  <w:rFonts w:ascii="Times New Roman;sans-serif" w:hAnsi="Times New Roman;sans-serif"/>
                  <w:b w:val="false"/>
                  <w:color w:val="0000FF"/>
                  <w:sz w:val="20"/>
                  <w:u w:val="single"/>
                </w:rPr>
                <w:t>Exhibits</w:t>
              </w:r>
            </w:hyperlink>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97">
              <w:r>
                <w:rPr>
                  <w:rStyle w:val="InternetLink"/>
                  <w:rFonts w:ascii="Times New Roman;sans-serif" w:hAnsi="Times New Roman;sans-serif"/>
                  <w:b w:val="false"/>
                  <w:color w:val="0000FF"/>
                  <w:sz w:val="20"/>
                  <w:u w:val="single"/>
                </w:rPr>
                <w:t>32</w:t>
              </w:r>
            </w:hyperlink>
          </w:p>
        </w:tc>
      </w:tr>
      <w:tr>
        <w:trPr/>
        <w:tc>
          <w:tcPr>
            <w:tcW w:w="929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95907151f6488da2f1e48031ecae9a_100">
              <w:r>
                <w:rPr>
                  <w:rStyle w:val="InternetLink"/>
                  <w:rFonts w:ascii="Times New Roman;sans-serif" w:hAnsi="Times New Roman;sans-serif"/>
                  <w:b w:val="false"/>
                  <w:color w:val="0000FF"/>
                  <w:sz w:val="20"/>
                  <w:u w:val="single"/>
                </w:rPr>
                <w:t>Signatures</w:t>
              </w:r>
            </w:hyperlink>
          </w:p>
        </w:tc>
        <w:tc>
          <w:tcPr>
            <w:tcW w:w="7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895907151f6488da2f1e48031ecae9a_100">
              <w:r>
                <w:rPr>
                  <w:rStyle w:val="InternetLink"/>
                  <w:rFonts w:ascii="Times New Roman;sans-serif" w:hAnsi="Times New Roman;sans-serif"/>
                  <w:b w:val="false"/>
                  <w:color w:val="0000FF"/>
                  <w:sz w:val="20"/>
                  <w:u w:val="single"/>
                </w:rPr>
                <w:t>35</w:t>
              </w:r>
            </w:hyperlink>
          </w:p>
        </w:tc>
      </w:tr>
    </w:tbl>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share and per share data)</w:t>
      </w:r>
    </w:p>
    <w:tbl>
      <w:tblPr>
        <w:tblW w:w="10205" w:type="dxa"/>
        <w:jc w:val="center"/>
        <w:tblInd w:w="0" w:type="dxa"/>
        <w:tblCellMar>
          <w:top w:w="28" w:type="dxa"/>
          <w:left w:w="28" w:type="dxa"/>
          <w:bottom w:w="28" w:type="dxa"/>
          <w:right w:w="28" w:type="dxa"/>
        </w:tblCellMar>
      </w:tblPr>
      <w:tblGrid>
        <w:gridCol w:w="2741"/>
        <w:gridCol w:w="2258"/>
        <w:gridCol w:w="2214"/>
        <w:gridCol w:w="109"/>
        <w:gridCol w:w="109"/>
        <w:gridCol w:w="109"/>
        <w:gridCol w:w="211"/>
        <w:gridCol w:w="826"/>
        <w:gridCol w:w="109"/>
        <w:gridCol w:w="109"/>
        <w:gridCol w:w="109"/>
        <w:gridCol w:w="109"/>
        <w:gridCol w:w="211"/>
        <w:gridCol w:w="826"/>
        <w:gridCol w:w="155"/>
      </w:tblGrid>
      <w:tr>
        <w:trPr/>
        <w:tc>
          <w:tcPr>
            <w:tcW w:w="2741"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(allowance for credit losses of $1,478 and $1,552 at July 3, 2021 and December 31,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of accumulated depreciation of $174,411 and $169,742 at July 3, 2021 and December 31,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837,347 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311,922 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(Notes 6,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35,000,000 shares authorized; 11,894,807 and 11,728,212 shares issued and outstanding at July 3, 2021 and December 31,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329,334 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amounts)</w:t>
      </w:r>
    </w:p>
    <w:tbl>
      <w:tblPr>
        <w:tblW w:w="10205" w:type="dxa"/>
        <w:jc w:val="left"/>
        <w:tblInd w:w="0" w:type="dxa"/>
        <w:tblCellMar>
          <w:top w:w="28" w:type="dxa"/>
          <w:left w:w="28" w:type="dxa"/>
          <w:bottom w:w="28" w:type="dxa"/>
          <w:right w:w="28" w:type="dxa"/>
        </w:tblCellMar>
      </w:tblPr>
      <w:tblGrid>
        <w:gridCol w:w="1646"/>
        <w:gridCol w:w="1306"/>
        <w:gridCol w:w="13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4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2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2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771"/>
        <w:gridCol w:w="1554"/>
        <w:gridCol w:w="157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77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4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actuarial loss and prior service costs, net of tax of $77 and $59 for the three months ended July 3, 2021 and June 27, 2020, respectively and $153 and $118 for the six months ended July 3, 2021 and June 27, 2020,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r>
      <w:tr>
        <w:trPr/>
        <w:tc>
          <w:tcPr>
            <w:tcW w:w="489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 and losses on cash flow hedges, net of tax of zero and $31 for the three months ended July 3, 2021 and June 27, 2020, respectively and zero and $57 for the six months ended July 3, 2021 and June 27,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10353" w:type="dxa"/>
        <w:jc w:val="center"/>
        <w:tblInd w:w="0" w:type="dxa"/>
        <w:tblCellMar>
          <w:top w:w="28" w:type="dxa"/>
          <w:left w:w="28" w:type="dxa"/>
          <w:bottom w:w="28" w:type="dxa"/>
          <w:right w:w="28" w:type="dxa"/>
        </w:tblCellMar>
      </w:tblPr>
      <w:tblGrid>
        <w:gridCol w:w="728"/>
        <w:gridCol w:w="311"/>
        <w:gridCol w:w="312"/>
        <w:gridCol w:w="109"/>
        <w:gridCol w:w="109"/>
        <w:gridCol w:w="109"/>
        <w:gridCol w:w="548"/>
        <w:gridCol w:w="548"/>
        <w:gridCol w:w="316"/>
        <w:gridCol w:w="109"/>
        <w:gridCol w:w="109"/>
        <w:gridCol w:w="109"/>
        <w:gridCol w:w="211"/>
        <w:gridCol w:w="481"/>
        <w:gridCol w:w="109"/>
        <w:gridCol w:w="109"/>
        <w:gridCol w:w="109"/>
        <w:gridCol w:w="109"/>
        <w:gridCol w:w="109"/>
        <w:gridCol w:w="109"/>
        <w:gridCol w:w="211"/>
        <w:gridCol w:w="736"/>
        <w:gridCol w:w="109"/>
        <w:gridCol w:w="109"/>
        <w:gridCol w:w="109"/>
        <w:gridCol w:w="109"/>
        <w:gridCol w:w="211"/>
        <w:gridCol w:w="841"/>
        <w:gridCol w:w="109"/>
        <w:gridCol w:w="109"/>
        <w:gridCol w:w="109"/>
        <w:gridCol w:w="109"/>
        <w:gridCol w:w="263"/>
        <w:gridCol w:w="786"/>
        <w:gridCol w:w="137"/>
        <w:gridCol w:w="109"/>
        <w:gridCol w:w="109"/>
        <w:gridCol w:w="109"/>
        <w:gridCol w:w="211"/>
        <w:gridCol w:w="841"/>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Shareholders’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11,572,668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212,553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(8,268)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292,800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(39,247)</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28,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11,648,617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89,820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220,483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(7,992)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302,427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27,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11,683,131</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225,573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(7,728)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309,607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11,728,212</w:t>
            </w: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97,090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241,727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(9,600)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329,334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17,872 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(106,894)</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April 3,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11,849,597</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248,422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(9,355)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335,570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(33,626)</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July 3,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11,894,807</w:t>
            </w: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256,845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(9,110)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345,470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p>
      <w:pPr>
        <w:pStyle w:val="TextBody"/>
        <w:spacing w:lineRule="auto" w:line="288" w:before="0" w:after="0"/>
        <w:rPr>
          <w:color w:val="000000"/>
        </w:rPr>
      </w:pPr>
      <w:r>
        <w:rPr>
          <w:color w:val="000000"/>
        </w:rPr>
        <w:t> </w:t>
      </w:r>
    </w:p>
    <w:tbl>
      <w:tblPr>
        <w:tblW w:w="9245" w:type="dxa"/>
        <w:jc w:val="left"/>
        <w:tblInd w:w="0" w:type="dxa"/>
        <w:tblCellMar>
          <w:top w:w="28" w:type="dxa"/>
          <w:left w:w="28" w:type="dxa"/>
          <w:bottom w:w="28" w:type="dxa"/>
          <w:right w:w="28" w:type="dxa"/>
        </w:tblCellMar>
      </w:tblPr>
      <w:tblGrid>
        <w:gridCol w:w="2330"/>
        <w:gridCol w:w="2046"/>
        <w:gridCol w:w="2058"/>
        <w:gridCol w:w="109"/>
        <w:gridCol w:w="109"/>
        <w:gridCol w:w="109"/>
        <w:gridCol w:w="211"/>
        <w:gridCol w:w="736"/>
        <w:gridCol w:w="109"/>
        <w:gridCol w:w="109"/>
        <w:gridCol w:w="109"/>
        <w:gridCol w:w="109"/>
        <w:gridCol w:w="211"/>
        <w:gridCol w:w="736"/>
        <w:gridCol w:w="154"/>
      </w:tblGrid>
      <w:tr>
        <w:trPr/>
        <w:tc>
          <w:tcPr>
            <w:tcW w:w="2330" w:type="dxa"/>
            <w:tcBorders/>
            <w:shd w:fill="auto" w:val="clear"/>
            <w:vAlign w:val="center"/>
          </w:tcPr>
          <w:p>
            <w:pPr>
              <w:pStyle w:val="TableContents"/>
              <w:spacing w:before="0" w:after="283"/>
              <w:rPr>
                <w:sz w:val="4"/>
                <w:szCs w:val="4"/>
              </w:rPr>
            </w:pPr>
            <w:r>
              <w:rPr>
                <w:sz w:val="4"/>
                <w:szCs w:val="4"/>
              </w:rPr>
            </w:r>
          </w:p>
        </w:tc>
        <w:tc>
          <w:tcPr>
            <w:tcW w:w="2046"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6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of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(17,818)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cash received from the acquisition of Nobles Worldwide, Inc.,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(6,836)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other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39,446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70,828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Ducommun Incorporated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 of Business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We are a leading global provider of engineering and manufacturing services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Basis of Presentation</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accounts of Ducommun Incorporated and its subsidiaries (“Ducommun,” the “Company,” “we,” “us” or “our”), after eliminating intercompany balances and transactions. The December 31, 2020 condensed consolidated balance sheet data was derived from audited financial statements, but does not contain all disclosures required by accounting principles generally accepted in the United States of America (“GAAP”).</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were described in Part IV, Item 15(a)(1), “Note 1. Summary of Significant Accounting Policies” in our Annual Report on Form 10-K for the year ended December 31, 2020. The financial information included in this Quarterly Report on Form 10-Q should be read in conjunction with our Annual Report on Form 10-K for the year ended December 31, 2020.</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Quarterly Report on Form 10-Q. The results of operations for the three and six months ended July 3, 2021 are not necessarily indicative of the results to be expected for the full year ending December 31, 2021.</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period amounts to conform to the current year’s presentation.</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Use of Estimates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Supplemental Cash Flow Information</w:t>
      </w:r>
    </w:p>
    <w:tbl>
      <w:tblPr>
        <w:tblW w:w="6711" w:type="dxa"/>
        <w:jc w:val="left"/>
        <w:tblInd w:w="0" w:type="dxa"/>
        <w:tblCellMar>
          <w:top w:w="28" w:type="dxa"/>
          <w:left w:w="28" w:type="dxa"/>
          <w:bottom w:w="28" w:type="dxa"/>
          <w:right w:w="28" w:type="dxa"/>
        </w:tblCellMar>
      </w:tblPr>
      <w:tblGrid>
        <w:gridCol w:w="1499"/>
        <w:gridCol w:w="1316"/>
        <w:gridCol w:w="1325"/>
        <w:gridCol w:w="109"/>
        <w:gridCol w:w="109"/>
        <w:gridCol w:w="109"/>
        <w:gridCol w:w="211"/>
        <w:gridCol w:w="616"/>
        <w:gridCol w:w="109"/>
        <w:gridCol w:w="109"/>
        <w:gridCol w:w="109"/>
        <w:gridCol w:w="109"/>
        <w:gridCol w:w="211"/>
        <w:gridCol w:w="616"/>
        <w:gridCol w:w="154"/>
      </w:tblGrid>
      <w:tr>
        <w:trPr/>
        <w:tc>
          <w:tcPr>
            <w:tcW w:w="149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Purchases of property and equipment not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Earnings Per Share</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net income and weighted-average common shares outstanding used to compute earnings per share were as follows:</w:t>
      </w:r>
    </w:p>
    <w:tbl>
      <w:tblPr>
        <w:tblW w:w="10091" w:type="dxa"/>
        <w:jc w:val="left"/>
        <w:tblInd w:w="0" w:type="dxa"/>
        <w:tblCellMar>
          <w:top w:w="28" w:type="dxa"/>
          <w:left w:w="28" w:type="dxa"/>
          <w:bottom w:w="28" w:type="dxa"/>
          <w:right w:w="28" w:type="dxa"/>
        </w:tblCellMar>
      </w:tblPr>
      <w:tblGrid>
        <w:gridCol w:w="1731"/>
        <w:gridCol w:w="1519"/>
        <w:gridCol w:w="1534"/>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731"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br/>
              <w:t>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br/>
              <w:t>except per share data)</w:t>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Potentially dilutive stock awards, as shown below, were excluded from the computation of diluted earnings per share because their inclusion would have been anti-dilutive. However, these awards may be potentially dilutive common shares in the future.</w:t>
      </w:r>
    </w:p>
    <w:tbl>
      <w:tblPr>
        <w:tblW w:w="6763" w:type="dxa"/>
        <w:jc w:val="left"/>
        <w:tblInd w:w="0" w:type="dxa"/>
        <w:tblCellMar>
          <w:top w:w="28" w:type="dxa"/>
          <w:left w:w="28" w:type="dxa"/>
          <w:bottom w:w="28" w:type="dxa"/>
          <w:right w:w="28" w:type="dxa"/>
        </w:tblCellMar>
      </w:tblPr>
      <w:tblGrid>
        <w:gridCol w:w="911"/>
        <w:gridCol w:w="801"/>
        <w:gridCol w:w="808"/>
        <w:gridCol w:w="109"/>
        <w:gridCol w:w="109"/>
        <w:gridCol w:w="109"/>
        <w:gridCol w:w="190"/>
        <w:gridCol w:w="190"/>
        <w:gridCol w:w="190"/>
        <w:gridCol w:w="174"/>
        <w:gridCol w:w="174"/>
        <w:gridCol w:w="174"/>
        <w:gridCol w:w="238"/>
        <w:gridCol w:w="229"/>
        <w:gridCol w:w="232"/>
        <w:gridCol w:w="109"/>
        <w:gridCol w:w="109"/>
        <w:gridCol w:w="109"/>
        <w:gridCol w:w="189"/>
        <w:gridCol w:w="189"/>
        <w:gridCol w:w="191"/>
        <w:gridCol w:w="153"/>
        <w:gridCol w:w="153"/>
        <w:gridCol w:w="153"/>
        <w:gridCol w:w="233"/>
        <w:gridCol w:w="233"/>
        <w:gridCol w:w="304"/>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Fair Value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have money market funds and they are included as cash and cash equivalents. We also had interest rate cap hedge agreements for which the fair value of the interest rate cap hedge agreements was determined using pricing models that use observable market inputs as of the balance sheet date, a Level 2 measurement, however, those agreements expired during our second quarter of 2020.</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or Level 3 financial instruments in the three months ended July 3, 2021.</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and Cash Equivalents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highly liquid instruments purchased with original maturities of three months or less. These assets are valued at cost, which approximates fair value, which we classify as Level 1. See Fair Value above.</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 Instruments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As of July 3, 2021, we had no derivative instruments as our cash flow hedges matured in the second quarter of 2020. </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Inventories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Charges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May 2020, management approved and commenced a restructuring plan in the Structural Systems segment mainly to reduce headcount in response to the impact from the COVID-19 pandemic on commercial aerospace demand outlook. We completed the restructuring plan as of December 31, 2020. We recorded an aggregate total of zero and $0.7 million for severance and benefits costs which were charged to restructuring charges during the three and six months ended July 3, 2021 and June 27, 2020, respectively.</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Accumulated Other Comprehensive Loss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Recognition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pStyle w:val="TextBody"/>
        <w:spacing w:lineRule="auto" w:line="288" w:before="132" w:after="283"/>
        <w:rPr>
          <w:rFonts w:ascii="Times New Roman;sans-serif" w:hAnsi="Times New Roman;sans-serif"/>
          <w:b w:val="false"/>
          <w:color w:val="000000"/>
          <w:sz w:val="20"/>
        </w:rPr>
      </w:pPr>
      <w:r>
        <w:rPr>
          <w:rFonts w:ascii="Times New Roman;sans-serif" w:hAnsi="Times New Roman;sans-serif"/>
          <w:b w:val="false"/>
          <w:color w:val="000000"/>
          <w:sz w:val="20"/>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impact of adjustments in contract estimates on our operating earnings can be reflected in either operating costs and expenses or revenue.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cumulative catch up adjustments on gross profit recorded were not material for both the three and six months ended July 3, 2021 and June 27, 2020.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July 3, 2021 and December 31, 2020, provision for estimated losses on contracts were $2.0 million and $2.3 million,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July 3, 2021 and December 31, 2020, production cost of contracts were $8.0 million and $7.0 million, respectively.</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and Contract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32" w:after="283"/>
        <w:rPr>
          <w:rFonts w:ascii="Times New Roman;sans-serif" w:hAnsi="Times New Roman;sans-serif"/>
          <w:b w:val="false"/>
          <w:color w:val="000000"/>
          <w:sz w:val="20"/>
        </w:rPr>
      </w:pPr>
      <w:r>
        <w:rPr>
          <w:rFonts w:ascii="Times New Roman;sans-serif" w:hAnsi="Times New Roman;sans-serif"/>
          <w:b w:val="false"/>
          <w:color w:val="000000"/>
          <w:sz w:val="20"/>
        </w:rPr>
        <w:t>Contract assets and contract liabilities from revenue contracts with customers are as follows:</w:t>
      </w:r>
    </w:p>
    <w:tbl>
      <w:tblPr>
        <w:tblW w:w="4641" w:type="dxa"/>
        <w:jc w:val="left"/>
        <w:tblInd w:w="0" w:type="dxa"/>
        <w:tblCellMar>
          <w:top w:w="28" w:type="dxa"/>
          <w:left w:w="28" w:type="dxa"/>
          <w:bottom w:w="28" w:type="dxa"/>
          <w:right w:w="28" w:type="dxa"/>
        </w:tblCellMar>
      </w:tblPr>
      <w:tblGrid>
        <w:gridCol w:w="597"/>
        <w:gridCol w:w="525"/>
        <w:gridCol w:w="528"/>
        <w:gridCol w:w="109"/>
        <w:gridCol w:w="109"/>
        <w:gridCol w:w="109"/>
        <w:gridCol w:w="211"/>
        <w:gridCol w:w="826"/>
        <w:gridCol w:w="109"/>
        <w:gridCol w:w="109"/>
        <w:gridCol w:w="109"/>
        <w:gridCol w:w="109"/>
        <w:gridCol w:w="211"/>
        <w:gridCol w:w="826"/>
        <w:gridCol w:w="154"/>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increase in our contract assets as of July 3, 2021 compared to December 31, 2020 was primarily due to a net increase of products in work in process and finished goods in the current period.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decrease in our contract liabilities as of July 3, 2021 compared to December 31, 2020 was primarily due to a net decrease of advance or progress payments received from our customers in the current period. We recognized $12.1 million of the contract liabilities as of December 31, 2020 as revenues during the six months ended July 3, 2021.</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Performance obligations are defined as customer placed purchase orders (“POs”) with firm fixed price and firm delivery dates. Our remaining performance obligations as of July 3, 2021 totaled $728.9 million. We anticipate recognizing an estimated 70% of our remaining performance obligations as revenue during the next 12 months with the remaining performance obligations being recognized in the remainder of 2022 and beyond.</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 by Category</w:t>
      </w:r>
    </w:p>
    <w:p>
      <w:pPr>
        <w:pStyle w:val="TextBody"/>
        <w:spacing w:lineRule="auto" w:line="288" w:before="132" w:after="283"/>
        <w:rPr>
          <w:rFonts w:ascii="Times New Roman;sans-serif" w:hAnsi="Times New Roman;sans-serif"/>
          <w:b w:val="false"/>
          <w:color w:val="000000"/>
          <w:sz w:val="20"/>
        </w:rPr>
      </w:pPr>
      <w:r>
        <w:rPr>
          <w:rFonts w:ascii="Times New Roman;sans-serif" w:hAnsi="Times New Roman;sans-serif"/>
          <w:b w:val="false"/>
          <w:color w:val="000000"/>
          <w:sz w:val="20"/>
        </w:rPr>
        <w:t>In addition to the revenue categories disclosed above, the following table reflects our revenue disaggregated by major end-use market:</w:t>
      </w:r>
    </w:p>
    <w:tbl>
      <w:tblPr>
        <w:tblW w:w="8186" w:type="dxa"/>
        <w:jc w:val="left"/>
        <w:tblInd w:w="0" w:type="dxa"/>
        <w:tblCellMar>
          <w:top w:w="28" w:type="dxa"/>
          <w:left w:w="28" w:type="dxa"/>
          <w:bottom w:w="28" w:type="dxa"/>
          <w:right w:w="28" w:type="dxa"/>
        </w:tblCellMar>
      </w:tblPr>
      <w:tblGrid>
        <w:gridCol w:w="815"/>
        <w:gridCol w:w="716"/>
        <w:gridCol w:w="71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Electronic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10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 Accounting Pronouncements</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New Accounting Guidance Adopted in 2021</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October 2020, the FASB issued ASU 2020-10, “Codification Improvements” (“ASU 2020-10”), which affects a wide variety of Topics in the Accounting Standards Codification (“Codification”). ASU 2020-10, among other things, contains amendments that improve the consistency of the Codification by including all disclosure guidance in the appropriate Disclosure Section (Section 50). Many of the amendments arose as the FASB provided an option to give certain information either on the face of the financial statements or in the notes to financial statements and that option only was included in the Other Presentation Matters Section (Section 45) of the Codification. Those amendments are not expected to change current practice. The new guidance is effective for fiscal years beginning after December 15, 2020, which was our interim period beginning January 1, 2021. The adoption of this standard did not have a material impact on our condensed consolidated financial statements.</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ASU 2018-14, “Compensation - Retirement Benefits - Defined Benefit Plans - General (Topic 715-20): Disclosure Framework - Changes to the Disclosure Requirements for Defined Benefit Plans” (“ASU 2018-14”), which removes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pStyle w:val="TextBody"/>
        <w:spacing w:lineRule="auto" w:line="288" w:before="180" w:after="100"/>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 permitted. We are evaluating the impact of this standard.</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are evaluating the impact of this standard.</w:t>
      </w:r>
    </w:p>
    <w:p>
      <w:pPr>
        <w:pStyle w:val="TextBody"/>
        <w:spacing w:before="10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Inventories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consisted of the following: </w:t>
      </w:r>
    </w:p>
    <w:tbl>
      <w:tblPr>
        <w:tblW w:w="5316" w:type="dxa"/>
        <w:jc w:val="left"/>
        <w:tblInd w:w="0" w:type="dxa"/>
        <w:tblCellMar>
          <w:top w:w="28" w:type="dxa"/>
          <w:left w:w="28" w:type="dxa"/>
          <w:bottom w:w="28" w:type="dxa"/>
          <w:right w:w="28" w:type="dxa"/>
        </w:tblCellMar>
      </w:tblPr>
      <w:tblGrid>
        <w:gridCol w:w="842"/>
        <w:gridCol w:w="739"/>
        <w:gridCol w:w="744"/>
        <w:gridCol w:w="109"/>
        <w:gridCol w:w="109"/>
        <w:gridCol w:w="109"/>
        <w:gridCol w:w="211"/>
        <w:gridCol w:w="826"/>
        <w:gridCol w:w="109"/>
        <w:gridCol w:w="109"/>
        <w:gridCol w:w="109"/>
        <w:gridCol w:w="109"/>
        <w:gridCol w:w="211"/>
        <w:gridCol w:w="826"/>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Goodwill</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is less than its carrying amount.</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For our most recent annual goodwill impairment test of our Electronic Systems reporting unit as of the first day of the fourth quarter of 2020, we used a qualitative assessment and determined it was not more likely than not that the fair value of the reporting unit was less than its carrying amount. For our most recent annual goodwill impairment test of our Structural Systems reporting unit as of the first day of the fourth quarter of 2020, we performed a step one goodwill impairment test where the fair value of our Structural Systems reporting unit exceeded its carrying value by 69% and thus, goodwill was not deemed to be impaired. While our business continues to be negatively impacted during the three and six months ended July 3, 2021 as a result of the COVID-19 pandemic, no material adverse factors/changes have occurred since the fourth quarter of 2020 that would require us to perform another qualitative assessment. As such, for the second quarter of 2021, it was also not more likely than not that the fair values of the reporting units were less than their carrying amounts and thus, the respective goodwill amounts were not deemed to be impaired.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carrying amounts of our goodwill were as follows:</w:t>
      </w:r>
    </w:p>
    <w:tbl>
      <w:tblPr>
        <w:tblW w:w="7313" w:type="dxa"/>
        <w:jc w:val="left"/>
        <w:tblInd w:w="0" w:type="dxa"/>
        <w:tblCellMar>
          <w:top w:w="28" w:type="dxa"/>
          <w:left w:w="28" w:type="dxa"/>
          <w:bottom w:w="28" w:type="dxa"/>
          <w:right w:w="28" w:type="dxa"/>
        </w:tblCellMar>
      </w:tblPr>
      <w:tblGrid>
        <w:gridCol w:w="1070"/>
        <w:gridCol w:w="939"/>
        <w:gridCol w:w="945"/>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0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Electronic</w:t>
              <w:br/>
              <w:t>Systems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Structural</w:t>
              <w:br/>
              <w:t>Systems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Consolidated</w:t>
              <w:br/>
              <w:t>Ducommun</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goodwill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goodwill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3,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Accrued and Other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components of accrued and other liabilities were as follows:</w:t>
      </w:r>
    </w:p>
    <w:tbl>
      <w:tblPr>
        <w:tblW w:w="5639" w:type="dxa"/>
        <w:jc w:val="left"/>
        <w:tblInd w:w="0" w:type="dxa"/>
        <w:tblCellMar>
          <w:top w:w="28" w:type="dxa"/>
          <w:left w:w="28" w:type="dxa"/>
          <w:bottom w:w="28" w:type="dxa"/>
          <w:right w:w="28" w:type="dxa"/>
        </w:tblCellMar>
      </w:tblPr>
      <w:tblGrid>
        <w:gridCol w:w="1022"/>
        <w:gridCol w:w="896"/>
        <w:gridCol w:w="902"/>
        <w:gridCol w:w="109"/>
        <w:gridCol w:w="109"/>
        <w:gridCol w:w="109"/>
        <w:gridCol w:w="211"/>
        <w:gridCol w:w="721"/>
        <w:gridCol w:w="109"/>
        <w:gridCol w:w="109"/>
        <w:gridCol w:w="109"/>
        <w:gridCol w:w="109"/>
        <w:gridCol w:w="218"/>
        <w:gridCol w:w="747"/>
        <w:gridCol w:w="159"/>
      </w:tblGrid>
      <w:tr>
        <w:trPr/>
        <w:tc>
          <w:tcPr>
            <w:tcW w:w="102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 and sales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Long-Term Debt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Long-term debt and the current period interest rates were as follows:</w:t>
      </w:r>
    </w:p>
    <w:tbl>
      <w:tblPr>
        <w:tblW w:w="8250" w:type="dxa"/>
        <w:jc w:val="left"/>
        <w:tblInd w:w="0" w:type="dxa"/>
        <w:tblCellMar>
          <w:top w:w="28" w:type="dxa"/>
          <w:left w:w="28" w:type="dxa"/>
          <w:bottom w:w="28" w:type="dxa"/>
          <w:right w:w="28" w:type="dxa"/>
        </w:tblCellMar>
      </w:tblPr>
      <w:tblGrid>
        <w:gridCol w:w="1785"/>
        <w:gridCol w:w="1572"/>
        <w:gridCol w:w="1578"/>
        <w:gridCol w:w="109"/>
        <w:gridCol w:w="109"/>
        <w:gridCol w:w="109"/>
        <w:gridCol w:w="211"/>
        <w:gridCol w:w="826"/>
        <w:gridCol w:w="271"/>
        <w:gridCol w:w="109"/>
        <w:gridCol w:w="109"/>
        <w:gridCol w:w="109"/>
        <w:gridCol w:w="211"/>
        <w:gridCol w:w="826"/>
        <w:gridCol w:w="316"/>
      </w:tblGrid>
      <w:tr>
        <w:trPr/>
        <w:tc>
          <w:tcPr>
            <w:tcW w:w="1785"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4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 - term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debt issuance costs - term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Debt issuance costs - revolving credit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Included as part of other assets.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original amounts available under the 2019 Revolving Credit Facility, 2019 Term Loan, and 2018 Term Loan (collectively, the “Credit Facilities”) in aggregate, totaled $480.0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requires installment payments of 1.25% of the original outstanding principal balance of the 2019 Term Loan amount on a quarterly basis, on the last day of the calendar quarter. For the three and six months ended July 3, 2021, we made the required quarterly payments totaling $1.8 million and $3.5 million, respectively.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 1.0 but greater than 2.50 to 1.0, and (iii) zero percent of the excess cash flow amount if the consolidated adjusted leverage ratio is less than or equal to 2.50 to 1.0. During the first quarter of 2021, we made the required 2020 annual excess cash flow payment of $0.9 million. As of July 3, 2021, we were in compliance with all covenants required under the Credit Facilities.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July 3, 2021, we made net voluntary prepayments totaling $5.0 million and $10.0 million, respectively, on the 2019 Revolving Credit Facility.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conjunction with entering into the 2019 Revolving Credit Facility and the 2019 Term Loan, we drew down the entire $140.0 million on the 2019 Term Loan and used those proceeds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the remainder available for general corporate purposes. The $56.0 million pay down on the 2018 Term Loan paid all the required quarterly installment payments on the 2018 Term Loan until maturity.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as of the modification date will also be amortized over its remaining life.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As of July 3, 2021, we had $84.8 million of unused borrowing capacity under the 2019 Revolving Credit Facility, after deducting $0.2 million for standby letters of credit.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Facilities were entered into by us (“Parent Company”) and guaranteed by all of our domestic subsidiaries, other than two subsidiaries that were considered minor (“Subsidiary Guarantors”). The Subsidiary Guarantors jointly and severally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guarantee the Credit Facilities. The Parent Company has no independent assets or operations and therefore, no consolidating financial information for the Parent Company and its subsidiaries are presented.</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Indemnifications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have made guarantees and indemnities under which we may be required to make payments to a guaranteed or indemnified party, in relation to certain transactions, including revenue transactions in the ordinary course of business. In connection with certain performance center leases, we have indemnified our lessors for certain claims arising from the performance center or the lease. We indemnify our directors and officers to the maximum extent permitted under the laws of the State of Delaware.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However, we have a directors and officers insurance policy that may reduce our exposure in certain circumstances and may enable us to recover a portion of future amounts that may be payable, if any. 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$1.8 million for the three months ended July 3, 2021 compared to $1.2 million for the three months ended June 27, 2020. The increase in income tax expense for the second quarter of 2021 compared to the second quarter of 2020 was primarily due to higher pre-tax income for the second quarter of 2021 compared to the second quarter of 2020. The increase in income tax expense was partially offset by higher discrete tax benefits recognized in the second quarter of 2021 for net tax windfalls related to stock-based compensation and changes in net deferred tax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$2.9 million for the six months ended July 3, 2021, compared to $2.7 million for the six months ended June 27, 2020. The increase in income tax expense for the first six months of 2021 compared to the first six months of 2020 was primarily due to higher pre-tax income for the first six months of 2021 compared to the first six months of 2020. The increase in income tax expense was partially offset by higher discrete tax benefits recognized in the first six months of 2021 for net tax windfalls related to stock-based compensation.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March 11, 2021, the U.S. enacted the American Rescue Plan Act of 2021 (“Rescue Plan”) aimed at mitigating the continuing effects of the COVID-19 pandemic. We considered the provisions of the Rescue Plan and determined they do not have a material impact on our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total amount of unrecognized tax benefits was $4.2 million and $4.1 million as of July 3, 2021 and December 31, 2020, respectively. If recognized, $2.5 million would affect the effective tax rate. We record interest and penalty charges, if any, related to uncertain tax positions as a component of tax expense and unrecognized tax benefits. The amounts accrued for interest and penalty charges as of July 3, 2021 and December 31, 2020 were not significant. We do not expect the total amount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of unrecognized tax benefits to increase or decrease by a material amount in the next twelve months.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Commitments and Contingencies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December 2020, a representative action under California’s Private Attorneys General Act was filed against us in the Superior Court of California, County of San Bernardino. We received service of process of this complaint on January 28, 2021. The complaint alleges violations of California’s wage and hour laws relating to our current and former employees and seeks attorney’s fees and penalties. We believe these claims are baseless, are without merit and intend to vigorously defend against them. We do not currently have enough information to make a reasonable estimate as to the likelihood or amount of loss, or a range of reasonably possible losses as a result of this claim, so there has been no related accrual for estimated liability recorded as of July 3, 2021.</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July 3, 2021 and December 31, 2020, which is reflected in other long-term liabilities on our condensed consolidated balance sheets.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at both July 3, 2021 and December 31, 2020,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insurance covers damage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As of July 3, 2021, $13.5 million of general insurance recoveries have been received to date. The timing of and the remaining amounts of insurance recoveries, including for business interruption, are not known at this time.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Ducommun and its subsidiaries are defendants in certain other litigation, claims and inquiries, including matters relating to environmental laws. In addition, Ducommun makes various commitments and incurs contingent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Business Segment Information</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supply products and services primarily to the aerospace and defense industries. Our subsidiaries are organized into two strategic businesses, Electronic Systems and Structural Systems, each of which is a reportable operating segment.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reportable operating segment was as follows:</w:t>
      </w:r>
    </w:p>
    <w:tbl>
      <w:tblPr>
        <w:tblW w:w="10166" w:type="dxa"/>
        <w:jc w:val="left"/>
        <w:tblInd w:w="0" w:type="dxa"/>
        <w:tblCellMar>
          <w:top w:w="28" w:type="dxa"/>
          <w:left w:w="28" w:type="dxa"/>
          <w:bottom w:w="28" w:type="dxa"/>
          <w:right w:w="28" w:type="dxa"/>
        </w:tblCellMar>
      </w:tblPr>
      <w:tblGrid>
        <w:gridCol w:w="1533"/>
        <w:gridCol w:w="1342"/>
        <w:gridCol w:w="135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3"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b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br/>
              <w:t>Six Months Ended</w:t>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General and Administrative Expenses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costs not allocated to either the Electronic Systems or Structural Systems operating segments.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Segment assets include assets directly identifiable to or allocated to each segment. Our segment assets are as follows:</w:t>
      </w:r>
    </w:p>
    <w:tbl>
      <w:tblPr>
        <w:tblW w:w="5660" w:type="dxa"/>
        <w:jc w:val="left"/>
        <w:tblInd w:w="0" w:type="dxa"/>
        <w:tblCellMar>
          <w:top w:w="28" w:type="dxa"/>
          <w:left w:w="28" w:type="dxa"/>
          <w:bottom w:w="28" w:type="dxa"/>
          <w:right w:w="28" w:type="dxa"/>
        </w:tblCellMar>
      </w:tblPr>
      <w:tblGrid>
        <w:gridCol w:w="965"/>
        <w:gridCol w:w="850"/>
        <w:gridCol w:w="854"/>
        <w:gridCol w:w="109"/>
        <w:gridCol w:w="109"/>
        <w:gridCol w:w="109"/>
        <w:gridCol w:w="211"/>
        <w:gridCol w:w="826"/>
        <w:gridCol w:w="109"/>
        <w:gridCol w:w="109"/>
        <w:gridCol w:w="109"/>
        <w:gridCol w:w="109"/>
        <w:gridCol w:w="211"/>
        <w:gridCol w:w="826"/>
        <w:gridCol w:w="154"/>
      </w:tblGrid>
      <w:tr>
        <w:trPr/>
        <w:tc>
          <w:tcPr>
            <w:tcW w:w="965"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Administration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Structural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 and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assets not specifically identified to or allocated to either the Electronic Systems or Structural Systems operating segments, including cash and cash equivalents.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ind w:left="0" w:right="0" w:hanging="63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COVID-19 Pandemic Impact on Our Business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had a significant impact on our overall business during the three and six months ended July 3, 2021. As a result of the COVID-19 pandemic, precautionary measures were instituted by governments and businesses to mitigate its spread, including the imposition of travel restrictions, quarantines, shelter in place directives, and shutting down of non-essential businesses.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safety of our workforce is our top priority. We have implemented numerous well-being protocols related to health and welfare at all of our facilities. Safety protocols consistent with guidelines provided by state and local governments and the Centers for Disease Control and Prevention (“CDC”) have been put into practice, including social distancing, provision of personal protective equipment, enhanced cleaning, and flexible work arrangements wherever possible. We have also offered enhanced leave and benefits to our employees and provide frequent updates to ensure our workforce is kept apprised of evolving regulations and safety measures.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exercised the option to defer payment of the employer portion of payroll taxes (Social Security) that would otherwise be required to be made during the period beginning March 27, 2020 to December 31, 2020. One half of the deferred amount is required to be paid by December 31, 2021, with the remaining 50% to be paid by December 31, 2022. As of July 3, 2021, we have deferred $6.1 million, which is included as part of accrued liabilities and other long-term liabilities on the condensed consolidated balance sheets.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and continues to contribute to a general slowdown in the global economy and specifically, the commercial aerospace end-use market. In 2020, both major large aircraft manufacturers, The Boeing Company (“Boeing”) and Airbus SE, announced lower build rates for the near and medium future. In its 2020 Annual Report on Form 10-K, Boeing indicated it expects it will take approximately three years for worldwide travel to return to 2019 levels and a few years beyond that for the industry to return to a long-term trend growth of five percent.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the remainder of 2021 and beyond.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Second quarter 2021 recap:</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 xml:space="preserve">Revenues of $160.2 million </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Net income of $8.4 million, or $0.69 per diluted share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Adjusted EBITDA of $23.4 million, or 14.6% of revenues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earnings before interest, taxes, depreciation, amortization, stock-based compensation expense, restructuring charges, and Guaymas fire related expenses (“Adjusted EBITDA”) were $23.4 million and $20.3 million for the three months ended July 3, 2021 and June 27, 2020, respectively.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as measures of our liquidity. The presentation of these measures should not be interpreted to mean that our future results will be unaffected by unusual or nonrecurring items.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Adjusted EBITDA has limitations as an analytical tool, and you should not consider it in isolation or as a substitute for analysis of our results as reported under GAAP. Some of these limitations include: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It does not reflect our cash expenditures, future requirements for capital expenditures or contractual commitments;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It does not reflect changes in, or cash requirements for, our working capital needs;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It does not reflect the significant interest expense or the cash requirements necessary to service interest or principal payments on our debt;</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It is not adjusted for all non-cash income or expense items that are reflected in our statements of cash flows;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It does not reflect the impact on earnings of charges resulting from matters unrelated to our ongoing operations;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Other companies in our industry may calculate Adjusted EBITDA differently from us, limiting its usefulness as a comparative measure.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However, in spite of the above limitations, we believe that Adjusted EBITDA is useful to an investor in evaluating our results of operations because this measure:</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Helps investors to evaluate and compare the results of our operations from period to period by removing the effect of our capital structure from our operating performance;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Is used by our management team for various other purposes in presentations to our Board of Directors as a basis for strategic planning and forecasting.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items have been added back to or subtracted from our net income when calculating Adjusted EBITDA:</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Interest expense may be useful to investors for determining current cash flow;</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Income tax expense may be useful to investors because it represents the taxes which may be payable for the period and the change in deferred taxes during the period, and may reduce cash flow available for use in our business;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Depreciation may be useful to investors because it generally represents the wear and tear on our property and equipment used in our operations;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Amortization expense may be useful to investors because it represents the estimated attrition of our acquired customer base and the diminishing value of product rights;</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Stock-based compensation may be useful to our investors for determining current cash flow;</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Restructuring charges may be useful to our investors in evaluating our core operating performance; and</w:t>
      </w:r>
    </w:p>
    <w:p>
      <w:pPr>
        <w:pStyle w:val="TextBody"/>
        <w:spacing w:lineRule="auto" w:line="288" w:before="120" w:after="283"/>
        <w:ind w:left="0" w:right="0" w:hanging="720"/>
        <w:rPr/>
      </w:pPr>
      <w:r>
        <w:rPr>
          <w:color w:val="000000"/>
        </w:rPr>
        <w:t>•</w:t>
      </w:r>
      <w:r>
        <w:rPr>
          <w:rFonts w:ascii="Times New Roman;sans-serif" w:hAnsi="Times New Roman;sans-serif"/>
          <w:b w:val="false"/>
          <w:color w:val="000000"/>
          <w:sz w:val="20"/>
        </w:rPr>
        <w:t>Guaymas fire related expenses may be useful to our investors in evaluating our core operating performance.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Reconciliations of net income to Adjusted EBITDA and the presentation of Adjusted EBITDA as a percentage of net revenues were as follows:</w:t>
      </w:r>
    </w:p>
    <w:tbl>
      <w:tblPr>
        <w:tblW w:w="8837" w:type="dxa"/>
        <w:jc w:val="left"/>
        <w:tblInd w:w="0" w:type="dxa"/>
        <w:tblCellMar>
          <w:top w:w="28" w:type="dxa"/>
          <w:left w:w="28" w:type="dxa"/>
          <w:bottom w:w="28" w:type="dxa"/>
          <w:right w:w="28" w:type="dxa"/>
        </w:tblCellMar>
      </w:tblPr>
      <w:tblGrid>
        <w:gridCol w:w="1087"/>
        <w:gridCol w:w="952"/>
        <w:gridCol w:w="96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0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Guaymas fire related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net revenues</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00" w:after="283"/>
        <w:rPr>
          <w:rFonts w:ascii="Times New Roman;sans-serif" w:hAnsi="Times New Roman;sans-serif"/>
          <w:b/>
          <w:color w:val="000000"/>
          <w:sz w:val="20"/>
          <w:u w:val="single"/>
        </w:rPr>
      </w:pPr>
      <w:r>
        <w:rPr>
          <w:rFonts w:ascii="Times New Roman;sans-serif" w:hAnsi="Times New Roman;sans-serif"/>
          <w:b/>
          <w:color w:val="000000"/>
          <w:sz w:val="20"/>
          <w:u w:val="single"/>
        </w:rPr>
        <w:t>Second Quarter of 2021 Compared to Second Quarter of 2020</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revenues, selected financial data, the effective tax rate and diluted earnings per share:</w:t>
      </w:r>
    </w:p>
    <w:tbl>
      <w:tblPr>
        <w:tblW w:w="13001" w:type="dxa"/>
        <w:jc w:val="left"/>
        <w:tblInd w:w="0" w:type="dxa"/>
        <w:tblCellMar>
          <w:top w:w="28" w:type="dxa"/>
          <w:left w:w="28" w:type="dxa"/>
          <w:bottom w:w="28" w:type="dxa"/>
          <w:right w:w="28" w:type="dxa"/>
        </w:tblCellMar>
      </w:tblPr>
      <w:tblGrid>
        <w:gridCol w:w="484"/>
        <w:gridCol w:w="424"/>
        <w:gridCol w:w="428"/>
        <w:gridCol w:w="109"/>
        <w:gridCol w:w="109"/>
        <w:gridCol w:w="109"/>
        <w:gridCol w:w="211"/>
        <w:gridCol w:w="826"/>
        <w:gridCol w:w="271"/>
        <w:gridCol w:w="109"/>
        <w:gridCol w:w="109"/>
        <w:gridCol w:w="109"/>
        <w:gridCol w:w="308"/>
        <w:gridCol w:w="308"/>
        <w:gridCol w:w="326"/>
        <w:gridCol w:w="109"/>
        <w:gridCol w:w="109"/>
        <w:gridCol w:w="109"/>
        <w:gridCol w:w="211"/>
        <w:gridCol w:w="826"/>
        <w:gridCol w:w="271"/>
        <w:gridCol w:w="109"/>
        <w:gridCol w:w="109"/>
        <w:gridCol w:w="109"/>
        <w:gridCol w:w="308"/>
        <w:gridCol w:w="308"/>
        <w:gridCol w:w="326"/>
        <w:gridCol w:w="109"/>
        <w:gridCol w:w="109"/>
        <w:gridCol w:w="109"/>
        <w:gridCol w:w="211"/>
        <w:gridCol w:w="826"/>
        <w:gridCol w:w="271"/>
        <w:gridCol w:w="109"/>
        <w:gridCol w:w="109"/>
        <w:gridCol w:w="109"/>
        <w:gridCol w:w="308"/>
        <w:gridCol w:w="308"/>
        <w:gridCol w:w="326"/>
        <w:gridCol w:w="109"/>
        <w:gridCol w:w="109"/>
        <w:gridCol w:w="109"/>
        <w:gridCol w:w="211"/>
        <w:gridCol w:w="826"/>
        <w:gridCol w:w="271"/>
        <w:gridCol w:w="109"/>
        <w:gridCol w:w="109"/>
        <w:gridCol w:w="109"/>
        <w:gridCol w:w="308"/>
        <w:gridCol w:w="308"/>
        <w:gridCol w:w="375"/>
      </w:tblGrid>
      <w:tr>
        <w:trPr/>
        <w:tc>
          <w:tcPr>
            <w:tcW w:w="48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per share data)</w:t>
              <w:b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per share data)</w:t>
              <w:br/>
              <w:t>Six Months Ended</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br/>
              <w:t>of Net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br/>
              <w:t>of 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br/>
              <w:t>of Net  Revenues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br/>
              <w:t>of Net  Revenues</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247,461 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Net Revenues by End-Use Market and Operating Segment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revenues by end-use market and operating segment during the fiscal three and six months ended July 3, 2021 and June 27, 2020, respectively, were as follows:</w:t>
      </w:r>
    </w:p>
    <w:tbl>
      <w:tblPr>
        <w:tblW w:w="13650" w:type="dxa"/>
        <w:jc w:val="left"/>
        <w:tblInd w:w="0" w:type="dxa"/>
        <w:tblCellMar>
          <w:top w:w="28" w:type="dxa"/>
          <w:left w:w="28" w:type="dxa"/>
          <w:bottom w:w="28" w:type="dxa"/>
          <w:right w:w="28" w:type="dxa"/>
        </w:tblCellMar>
      </w:tblPr>
      <w:tblGrid>
        <w:gridCol w:w="386"/>
        <w:gridCol w:w="339"/>
        <w:gridCol w:w="341"/>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241"/>
        <w:gridCol w:w="109"/>
        <w:gridCol w:w="109"/>
        <w:gridCol w:w="109"/>
        <w:gridCol w:w="278"/>
        <w:gridCol w:w="278"/>
        <w:gridCol w:w="241"/>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241"/>
        <w:gridCol w:w="109"/>
        <w:gridCol w:w="109"/>
        <w:gridCol w:w="109"/>
        <w:gridCol w:w="278"/>
        <w:gridCol w:w="278"/>
        <w:gridCol w:w="286"/>
      </w:tblGrid>
      <w:tr>
        <w:trPr/>
        <w:tc>
          <w:tcPr>
            <w:tcW w:w="38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5"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5"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Six Months Ended</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(Dollars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 of 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(Dollars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 of Net Revenues</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Electronic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143,483 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revenues for the three months ended July 3, 2021 were $160.2 million, compared to $147.3 million for the three months ended June 27, 2020. The year-over-year increase was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$18.5 million higher revenues in our military and space end-use markets due to higher build rates on military fixed-wing aircraft platforms and various missile platforms; partially offset by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$2.1 million lower revenues in our commercial aerospace end-use markets due to lower build rates on large aircraft platforms.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Net revenues for the six months ended July 3, 2021 were $317.3 million, compared to $320.8 million for the six months ended June 27, 2020. The year-over-year decrease was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$27.3 million lower revenues in our commercial aerospace end-use markets due to lower build rates on large aircraft platforms and regional and business aircraft platforms;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$6.9 million lower revenues in our industrial end-use markets; partially offset by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$30.7 million higher revenues in our military and space end-use markets due to higher build rates on military fixed-wing aircraft platforms, various missile platforms, and other military and space platforms.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Net Revenues by Major Customers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net revenues are from our top ten customers as follows:</w:t>
      </w:r>
    </w:p>
    <w:tbl>
      <w:tblPr>
        <w:tblW w:w="8005" w:type="dxa"/>
        <w:jc w:val="center"/>
        <w:tblInd w:w="0" w:type="dxa"/>
        <w:tblCellMar>
          <w:top w:w="28" w:type="dxa"/>
          <w:left w:w="28" w:type="dxa"/>
          <w:bottom w:w="28" w:type="dxa"/>
          <w:right w:w="28" w:type="dxa"/>
        </w:tblCellMar>
      </w:tblPr>
      <w:tblGrid>
        <w:gridCol w:w="1125"/>
        <w:gridCol w:w="986"/>
        <w:gridCol w:w="994"/>
        <w:gridCol w:w="109"/>
        <w:gridCol w:w="109"/>
        <w:gridCol w:w="109"/>
        <w:gridCol w:w="255"/>
        <w:gridCol w:w="256"/>
        <w:gridCol w:w="327"/>
        <w:gridCol w:w="131"/>
        <w:gridCol w:w="131"/>
        <w:gridCol w:w="131"/>
        <w:gridCol w:w="255"/>
        <w:gridCol w:w="256"/>
        <w:gridCol w:w="383"/>
        <w:gridCol w:w="109"/>
        <w:gridCol w:w="109"/>
        <w:gridCol w:w="109"/>
        <w:gridCol w:w="255"/>
        <w:gridCol w:w="256"/>
        <w:gridCol w:w="316"/>
        <w:gridCol w:w="116"/>
        <w:gridCol w:w="116"/>
        <w:gridCol w:w="116"/>
        <w:gridCol w:w="255"/>
        <w:gridCol w:w="256"/>
        <w:gridCol w:w="435"/>
      </w:tblGrid>
      <w:tr>
        <w:trPr/>
        <w:tc>
          <w:tcPr>
            <w:tcW w:w="112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Six Months Ended</w:t>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27,</w:t>
              <w:br/>
              <w:t>2020</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Boeing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 Martin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 Technologies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8" w:type="dxa"/>
            <w:gridSpan w:val="3"/>
            <w:tcBorders/>
            <w:shd w:fill="auto" w:val="clear"/>
            <w:vAlign w:val="center"/>
          </w:tcPr>
          <w:p>
            <w:pPr>
              <w:pStyle w:val="TableContents"/>
              <w:spacing w:before="0" w:after="283"/>
              <w:rPr>
                <w:sz w:val="4"/>
                <w:szCs w:val="4"/>
              </w:rPr>
            </w:pPr>
            <w:r>
              <w:rPr>
                <w:sz w:val="4"/>
                <w:szCs w:val="4"/>
              </w:rPr>
            </w:r>
          </w:p>
        </w:tc>
        <w:tc>
          <w:tcPr>
            <w:tcW w:w="393" w:type="dxa"/>
            <w:gridSpan w:val="3"/>
            <w:tcBorders/>
            <w:shd w:fill="auto" w:val="clear"/>
            <w:vAlign w:val="center"/>
          </w:tcPr>
          <w:p>
            <w:pPr>
              <w:pStyle w:val="TableContents"/>
              <w:spacing w:before="0" w:after="283"/>
              <w:rPr>
                <w:sz w:val="4"/>
                <w:szCs w:val="4"/>
              </w:rPr>
            </w:pPr>
            <w:r>
              <w:rPr>
                <w:sz w:val="4"/>
                <w:szCs w:val="4"/>
              </w:rPr>
            </w:r>
          </w:p>
        </w:tc>
        <w:tc>
          <w:tcPr>
            <w:tcW w:w="8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top ten customers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4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The Boeing Company (“Boeing”), Lockheed Martin Corporation (“Lockheed”), Northrop Grumman Corporation (“Northrop”), and Raytheon Technologies Corporation (“Raytheon”).</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Boeing, Lockheed, Northrop, and Raytheon represented the following percentages of total accounts receivable:</w:t>
      </w:r>
    </w:p>
    <w:tbl>
      <w:tblPr>
        <w:tblW w:w="3594" w:type="dxa"/>
        <w:jc w:val="left"/>
        <w:tblInd w:w="0" w:type="dxa"/>
        <w:tblCellMar>
          <w:top w:w="28" w:type="dxa"/>
          <w:left w:w="28" w:type="dxa"/>
          <w:bottom w:w="28" w:type="dxa"/>
          <w:right w:w="28" w:type="dxa"/>
        </w:tblCellMar>
      </w:tblPr>
      <w:tblGrid>
        <w:gridCol w:w="337"/>
        <w:gridCol w:w="295"/>
        <w:gridCol w:w="299"/>
        <w:gridCol w:w="109"/>
        <w:gridCol w:w="109"/>
        <w:gridCol w:w="109"/>
        <w:gridCol w:w="255"/>
        <w:gridCol w:w="256"/>
        <w:gridCol w:w="316"/>
        <w:gridCol w:w="109"/>
        <w:gridCol w:w="109"/>
        <w:gridCol w:w="109"/>
        <w:gridCol w:w="286"/>
        <w:gridCol w:w="228"/>
        <w:gridCol w:w="668"/>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Boeing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Lockheed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Northrop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Raytheon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net revenues and accounts receivable from Boeing, Lockheed, Northrop, and Raytheon are diversified over a number of commercial, military and space programs and were generated by both operating segments.</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Gross Profit</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July 3, 2021 of 23.0%, compared to the three months ended June 27, 2020 of 22.2% primarily due to favorable manufacturing volume.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Gross profit as a percentage of net revenues increased year-over-year with the six months ended July 3, 2021 of 22.0%, compared to the six months ended June 27, 2020 of 21.7% primarily due to favorable product mix and lower compensation and benefits costs, partially offset by unfavorable manufacturing volume.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Selling, General and Administrative (“SG&amp;A”)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$1.7 million year-over-year in the three months ended July 3, 2021 compared to the three months ended June 27, 2020 primarily due to higher compensation and benefits costs of $1.7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SG&amp;A expenses increased $1.0 million year-over-year in the six months ended July 3, 2021 compared to the six months ended June 27, 2020 primarily due to higher compensation and benefits costs of $1.9 million, partially offset by lower professional services fees of $0.6 million.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$0.9 million and $2.3 million in the three and six months ended July 3, 2021, respectively, compared to the three and six months ended June 27, 2020 due to lower interest rates and a lower outstanding debt balance.</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$1.8 million for the three months ended July 3, 2021, compared to $1.2 million for the three months ended June 27, 2020. The increase in income tax expense for the second quarter of 2021 compared to the second quarter of 2020 was primarily due to higher pre-tax income for the second quarter of 2021 compared to the second quarter of 2020. The increase in income tax expense was partially offset by higher discrete tax benefits recognized in the second quarter of 2021 for net tax windfalls related to stock-based compensation and changes in net deferred tax liabilities.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We recorded income tax expense of $2.9 million for the six months ended July 3, 2021, compared to $2.7 million for the six months ended June 27, 2020. The increase in income tax expense for the first six months of 2021 compared to the first six months of 2020 was primarily due to higher pre-tax income for the first six months of 2021 compared to the first six months of 2020. The increase in income tax expense was partially offset by higher discrete tax benefits recognized in the first six months of 2021 for net tax windfalls related to stock-based compensation.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On March 11, 2021, the U.S. enacted the American Rescue Plan Act of 2021 (“Rescue Plan”) aimed at mitigating the continuing effects of the COVID-19 pandemic. We considered the provisions of the Rescue Plan and determined they do not have a material impact on our income taxes.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total amount of unrecognized tax benefits was $4.2 million and $4.1 million as of July 3, 2021 and December 31, 2020, respectively. If recognized, $2.5 million would affect the effective tax rate. We record interest and penalty charges, if any, related to uncertain tax positions as a component of tax expense and unrecognized tax benefits. The amounts accrued for interest and penalty charges as of July 3, 2021 and December 31, 2020 were not significant. We do not expect the total amount of unrecognized tax benefits to increase or decrease by a material amount in the next twelve months.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authority if they either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have been or will be used in a subsequent period. We believe we have adequately accrued for tax deficiencies or reductions in tax benefits, if any, that could result from the examination and all open audit years.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Net Income and Earnings per Share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income and earnings per share for the three months ended July 3, 2021 were $8.4 million, or $0.69 per diluted share, compared to $5.1 million, or $0.43 per diluted share, for the three months ended June 27, 2020. The increase in net income for the three months ended July 3, 2021 compared to the three months ended June 27, 2020 was primarily due to $4.1 million of higher gross profit as a result of higher revenues, partially offset by higher SG&amp;A expenses of $1.7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Net income and earnings per share for the six months ended July 3, 2021 were $15.1 million, or $1.23 per diluted share, compared to $13.0 million, or $1.10 per diluted share, for the six months ended June 27, 2020. The increase in net income for the six months ended July 3, 2021 compared to the six months ended June 27, 2020 was primarily due to lower interest expense of $2.3 million.</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Business Segment Performance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six months ended July 3, 2021 and June 27, 2020: </w:t>
      </w:r>
    </w:p>
    <w:tbl>
      <w:tblPr>
        <w:tblW w:w="11924" w:type="dxa"/>
        <w:jc w:val="left"/>
        <w:tblInd w:w="0" w:type="dxa"/>
        <w:tblCellMar>
          <w:top w:w="28" w:type="dxa"/>
          <w:left w:w="28" w:type="dxa"/>
          <w:bottom w:w="28" w:type="dxa"/>
          <w:right w:w="28" w:type="dxa"/>
        </w:tblCellMar>
      </w:tblPr>
      <w:tblGrid>
        <w:gridCol w:w="575"/>
        <w:gridCol w:w="215"/>
        <w:gridCol w:w="216"/>
        <w:gridCol w:w="109"/>
        <w:gridCol w:w="109"/>
        <w:gridCol w:w="109"/>
        <w:gridCol w:w="195"/>
        <w:gridCol w:w="196"/>
        <w:gridCol w:w="237"/>
        <w:gridCol w:w="109"/>
        <w:gridCol w:w="109"/>
        <w:gridCol w:w="109"/>
        <w:gridCol w:w="181"/>
        <w:gridCol w:w="616"/>
        <w:gridCol w:w="109"/>
        <w:gridCol w:w="109"/>
        <w:gridCol w:w="109"/>
        <w:gridCol w:w="109"/>
        <w:gridCol w:w="181"/>
        <w:gridCol w:w="616"/>
        <w:gridCol w:w="109"/>
        <w:gridCol w:w="109"/>
        <w:gridCol w:w="109"/>
        <w:gridCol w:w="109"/>
        <w:gridCol w:w="232"/>
        <w:gridCol w:w="234"/>
        <w:gridCol w:w="211"/>
        <w:gridCol w:w="109"/>
        <w:gridCol w:w="109"/>
        <w:gridCol w:w="109"/>
        <w:gridCol w:w="232"/>
        <w:gridCol w:w="234"/>
        <w:gridCol w:w="211"/>
        <w:gridCol w:w="109"/>
        <w:gridCol w:w="109"/>
        <w:gridCol w:w="109"/>
        <w:gridCol w:w="203"/>
        <w:gridCol w:w="203"/>
        <w:gridCol w:w="237"/>
        <w:gridCol w:w="109"/>
        <w:gridCol w:w="109"/>
        <w:gridCol w:w="109"/>
        <w:gridCol w:w="181"/>
        <w:gridCol w:w="616"/>
        <w:gridCol w:w="109"/>
        <w:gridCol w:w="109"/>
        <w:gridCol w:w="109"/>
        <w:gridCol w:w="109"/>
        <w:gridCol w:w="181"/>
        <w:gridCol w:w="616"/>
        <w:gridCol w:w="109"/>
        <w:gridCol w:w="109"/>
        <w:gridCol w:w="109"/>
        <w:gridCol w:w="109"/>
        <w:gridCol w:w="232"/>
        <w:gridCol w:w="234"/>
        <w:gridCol w:w="211"/>
        <w:gridCol w:w="109"/>
        <w:gridCol w:w="109"/>
        <w:gridCol w:w="109"/>
        <w:gridCol w:w="232"/>
        <w:gridCol w:w="234"/>
        <w:gridCol w:w="256"/>
      </w:tblGrid>
      <w:tr>
        <w:trPr/>
        <w:tc>
          <w:tcPr>
            <w:tcW w:w="57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Six Months Ended</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(Dollars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 of Net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(Dollars 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 of Net Revenues</w:t>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June 27,</w:t>
              <w:br/>
              <w:t>2020</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11.8 </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6.2 </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63.6 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317,343 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320,784 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 xml:space="preserve">Corporate General and Administrative Expenses </w:t>
            </w:r>
            <w:r>
              <w:rPr>
                <w:rFonts w:ascii="Times New Roman;sans-serif" w:hAnsi="Times New Roman;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Restructuring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Guaymas fire related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 xml:space="preserve">Corporate General and Administrative Expenses </w:t>
            </w:r>
            <w:r>
              <w:rPr>
                <w:rFonts w:ascii="Times New Roman;sans-serif" w:hAnsi="Times New Roman;sans-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(1)Includes costs not allocated to either the Electronic Systems or Structural Systems operating segments.</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Electronic Systems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Electronic Systems net revenues in the three months ended July 3, 2021 compared to the three months ended June 27, 2020 increased $10.8 million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$11.6 million higher revenues in our military and space end-use markets due to higher build rates on military fixed-wing aircraft platforms and other military and space platforms; and</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$2.8 million higher revenues in our commercial aerospace end-use markets due to higher build rates on other commercial aerospace platforms.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Electronic Systems net revenues in the six months ended July 3, 2021 compared to the six months ended June 27, 2020 increased $11.8 million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$19.0 million higher revenues in our military and space end-use markets due to higher build rates on military fixed-wing aircraft platforms and other military and space platforms; partially offset by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$0.3 million lower revenues in our commercial aerospace end-use markets due to lower build rates on large aircraft platforms and regional and business aircraft platforms, partially offset by higher build rates on other commercial aerospace platforms.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Electronic Systems segment operating income in the three months ended July 3, 2021 compared to the three months ended June 27, 2020 increased $3.9 million primarily due to favorable manufacturing volume and favorable product mix.</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Electronic Systems segment operating income in the six months ended July 3, 2021 compared to the six months ended June 27, 2020 increased $1.3 million primarily due to favorable manufacturing volume.</w:t>
      </w:r>
    </w:p>
    <w:p>
      <w:pPr>
        <w:pStyle w:val="TextBody"/>
        <w:spacing w:lineRule="auto" w:line="288" w:before="2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Structural Systems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Structural Systems net revenues in the three months ended July 3, 2021 compared to the three months ended June 27, 2020 increased $2.0 million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$6.9 million higher revenues in our military and space end-use markets due to higher build rates on various missile platforms and military rotary-wing aircraft platforms; partially offset by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$4.9 million lower revenues in our commercial aerospace end-use markets due to lower build rates on large aircraft platforms and regional and business aircraft platforms.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Structural Systems net revenues in the six months ended July 3, 2021 compared to the six months ended June 27, 2020 decreased $15.3 million primarily due to the following:</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$27.0 million lower revenues in our commercial aerospace end-use markets due to lower build rates on large aircraft platforms and regional and business aircraft platforms; partially offset by</w:t>
      </w:r>
    </w:p>
    <w:p>
      <w:pPr>
        <w:pStyle w:val="TextBody"/>
        <w:spacing w:lineRule="auto" w:line="288" w:before="100" w:after="283"/>
        <w:ind w:left="0" w:right="0" w:hanging="360"/>
        <w:rPr/>
      </w:pPr>
      <w:r>
        <w:rPr>
          <w:color w:val="000000"/>
        </w:rPr>
        <w:t>•</w:t>
      </w:r>
      <w:r>
        <w:rPr>
          <w:rFonts w:ascii="Times New Roman;sans-serif" w:hAnsi="Times New Roman;sans-serif"/>
          <w:b w:val="false"/>
          <w:color w:val="000000"/>
          <w:sz w:val="20"/>
        </w:rPr>
        <w:t>$11.7 million higher revenues in our military and space end-use markets due to higher build rates on various missile platforms.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Structural Systems segment operating income in the three months ended July 3, 2021 compared to the three months ended June 27, 2020 decreased $0.6 million primarily due to unfavorable product mix, partially offset by favorable manufacturing volume.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Structural Systems segment operating income in the six months ended July 3, 2021 compared to the six months ended June 27, 2020 decreased $0.9 million primarily due to unfavorable manufacturing volume, partially offset by favorable product mix and lower compensation and benefits costs.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In June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8 to our condensed consolidated financial statements included in Part I, Item 1 of this Form 10-Q.</w:t>
      </w:r>
    </w:p>
    <w:p>
      <w:pPr>
        <w:pStyle w:val="TextBody"/>
        <w:spacing w:lineRule="auto" w:line="288" w:before="1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Corporate General and Administrative (“CG&amp;A”) Expenses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CG&amp;A expenses increased by $0.2 million for the three months ended July 3, 2021 compared to the three months ended June 27, 2020 primarily due to higher compensation and benefits costs of $0.6 million.</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CG&amp;A expenses increased by $0.4 million for the six months ended July 3, 2021 compared to the six months ended June 27, 2020 primarily due to higher compensation and benefits costs of $1.0 million, partially offset by lower professional services fees of $0.5 million.</w:t>
      </w:r>
    </w:p>
    <w:p>
      <w:pPr>
        <w:pStyle w:val="TextBody"/>
        <w:spacing w:lineRule="auto" w:line="288" w:before="280" w:after="283"/>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increase in backlog was primarily in the industrial end-use markets. $576.0 million of total backlog is expected to be delivered over the next 12 months. The following table summarizes our backlog as of July 3, 2021 and December 31, 2020:</w:t>
      </w:r>
    </w:p>
    <w:tbl>
      <w:tblPr>
        <w:tblW w:w="6683" w:type="dxa"/>
        <w:jc w:val="left"/>
        <w:tblInd w:w="0" w:type="dxa"/>
        <w:tblCellMar>
          <w:top w:w="28" w:type="dxa"/>
          <w:left w:w="28" w:type="dxa"/>
          <w:bottom w:w="28" w:type="dxa"/>
          <w:right w:w="28" w:type="dxa"/>
        </w:tblCellMar>
      </w:tblPr>
      <w:tblGrid>
        <w:gridCol w:w="815"/>
        <w:gridCol w:w="716"/>
        <w:gridCol w:w="718"/>
        <w:gridCol w:w="109"/>
        <w:gridCol w:w="109"/>
        <w:gridCol w:w="109"/>
        <w:gridCol w:w="211"/>
        <w:gridCol w:w="796"/>
        <w:gridCol w:w="109"/>
        <w:gridCol w:w="109"/>
        <w:gridCol w:w="109"/>
        <w:gridCol w:w="109"/>
        <w:gridCol w:w="211"/>
        <w:gridCol w:w="826"/>
        <w:gridCol w:w="109"/>
        <w:gridCol w:w="109"/>
        <w:gridCol w:w="109"/>
        <w:gridCol w:w="109"/>
        <w:gridCol w:w="211"/>
        <w:gridCol w:w="826"/>
        <w:gridCol w:w="154"/>
      </w:tblGrid>
      <w:tr>
        <w:trPr/>
        <w:tc>
          <w:tcPr>
            <w:tcW w:w="8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br/>
              <w:t>2020</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Available Liquidity</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Total debt, the weighted-average interest rate, cash and cash equivalents and available credit facilities were as follows:</w:t>
      </w:r>
    </w:p>
    <w:tbl>
      <w:tblPr>
        <w:tblW w:w="6225" w:type="dxa"/>
        <w:jc w:val="left"/>
        <w:tblInd w:w="0" w:type="dxa"/>
        <w:tblCellMar>
          <w:top w:w="28" w:type="dxa"/>
          <w:left w:w="28" w:type="dxa"/>
          <w:bottom w:w="28" w:type="dxa"/>
          <w:right w:w="28" w:type="dxa"/>
        </w:tblCellMar>
      </w:tblPr>
      <w:tblGrid>
        <w:gridCol w:w="1207"/>
        <w:gridCol w:w="1058"/>
        <w:gridCol w:w="1065"/>
        <w:gridCol w:w="109"/>
        <w:gridCol w:w="109"/>
        <w:gridCol w:w="109"/>
        <w:gridCol w:w="211"/>
        <w:gridCol w:w="616"/>
        <w:gridCol w:w="271"/>
        <w:gridCol w:w="109"/>
        <w:gridCol w:w="109"/>
        <w:gridCol w:w="109"/>
        <w:gridCol w:w="211"/>
        <w:gridCol w:w="616"/>
        <w:gridCol w:w="316"/>
      </w:tblGrid>
      <w:tr>
        <w:trPr/>
        <w:tc>
          <w:tcPr>
            <w:tcW w:w="1207"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millions)</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w:t>
            </w:r>
          </w:p>
        </w:tc>
      </w:tr>
      <w:tr>
        <w:trPr/>
        <w:tc>
          <w:tcPr>
            <w:tcW w:w="3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2020</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including long-term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interest rate on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Loans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Unused 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We made the mandatory quarterly principal prepayment under the 2019 Term Loan during the three and six months ended July 3, 2021 of $1.8 million and $3.5 million, respectively. In addition, if we meet the annual excess cash flow threshold, we are required to make an annual additional principal payment on the 2018 Term Loan based on the consolidated adjusted leverage ratio. During the first quarter of 2021, we made the required 2020 annual excess cash flow principal payment of $0.9 million. Further, the undrawn portion of the commitment of the 2019 Revolving Credit Facility is subject to a commitment fee ranging from 0.175% to 0.275%, based upon the consolidated total net adjusted leverage ratio. As of July 3, 2021, we were in compliance with all covenants required under the Credit Facilities. See Note 5 to our condensed consolidated financial statements included in Part I, Item 1 of this Form 10-Q for further information.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July 3, 2021, we made net voluntary prepayments totaling $5.0 million and $10.0 million, respectively, on the 2019 Revolving Credit Facility.</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October 2015, we entered into interest rate cap hedges that were designated as cash flow hedges, which matured during our second quarter of 2020.</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expect to spend a total of $16.0 million to $18.0 million for capital expenditures in 2021 (excluding capital expenditures we will spend to restore the manufacturing capabilities related to our Guaymas performance center that was severely damaged by fire in June 2020), financed by cash generated from operations, principally to support new contract awards in Electronic Systems and Structural Systems.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2021 could be delayed as a result of the COVID-19 pandemic.</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Cash Flow Summary</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July 3, 2021 was $17.8 million, compared to $3.4 million for the six months ended June 27, 2020. The higher cash used in operating activities during the first six months of 2021 was due to higher contract assets, higher accounts receivable, lower contract liabilities, and lower accrued and other liabilities, partially offset by higher accounts payable.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$6.8 million for the six months ended July 3, 2021, compared to $4.8 million in the six months ended June 27, 2020. The higher net cash used during the first six months of 2021 compared to the prior year period was due to higher purchases of property and equipment.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$19.8 million for the six months ended July 3, 2021, compared to net cash provided by financing activities of $39.4 million for the six months ended June 27, 2020. The higher net cash used in financing activities during the first six months of 2021 was mainly due to the $50.0 million draw down on the 2019 Revolving Credit Facility during the first quarter of 2020 to hold as cash on hand that did not reoccur in 2021 and lower net draw downs on the 2019 Revolving Credit Facility, partially offset by lower repayments of term loans.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2020 Annual Report on Form 10-K. There have been no material changes in any of our critical accounting policies during the three months ended July 3, 2021.</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“Part I, Item 1. Ducommun Incorporated and Subsidiaries—Notes to Condensed Consolidated Financial Statements—Note 1. Summary of Significant Accounting Policies—Recent Accounting Pronouncements” 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market risk exposure relates to changes in U.S. and U.K. interest rates on our outstanding long-term debt. At July 3, 2021, we had total borrowings of $306.2 million under our Credit Facilities.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A hypothetical 10% increase or decrease in the interest rate would have an immaterial impact on our financial condition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Disclosure Controls and Procedures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pStyle w:val="TextBody"/>
        <w:spacing w:lineRule="auto" w:line="288" w:before="18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Changes in Internal Control over Financial Reporting</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July 3, 2021 that have materially affected, or are reasonably likely to materially affect, our internal control over financial reporting.</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See Note 8 to our condensed consolidated financial statements included in Part I, Item 1 of this Form 10-Q for a description of our legal proceedings.</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See Part I, Item 1A of our Annual Report on Form 10-K (“Form 10-K”) for the year ended December 31, 2020 for a discussion of our risk factors. There have been no material changes during the three months ended July 3, 2021 to the risk factors disclosed in our Form 10-K for the year ended December 31, 2020.</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Item 6. Exhibits</w:t>
      </w:r>
    </w:p>
    <w:p>
      <w:pPr>
        <w:pStyle w:val="TextBody"/>
        <w:spacing w:lineRule="auto" w:line="288" w:before="120" w:after="283"/>
        <w:ind w:left="0" w:right="0" w:hanging="360"/>
        <w:rPr/>
      </w:pPr>
      <w:hyperlink r:id="rId2">
        <w:r>
          <w:rPr>
            <w:rStyle w:val="InternetLink"/>
            <w:rFonts w:ascii="Times New Roman;sans-serif" w:hAnsi="Times New Roman;sans-serif"/>
            <w:b w:val="false"/>
            <w:color w:val="0000FF"/>
            <w:sz w:val="20"/>
            <w:u w:val="single"/>
          </w:rPr>
          <w:t>2.1 Agreement and Plan of Merger, dated as of September 11, 2017, among Ducommun LaBarge Technologies, Inc., LS Holdings Company LLC, and DLS Company LLC. Incorporated by reference to Exhibit 2.1 to Form 8-K filed on September 11, 2017.</w:t>
        </w:r>
      </w:hyperlink>
    </w:p>
    <w:p>
      <w:pPr>
        <w:pStyle w:val="TextBody"/>
        <w:spacing w:lineRule="auto" w:line="288" w:before="120" w:after="283"/>
        <w:ind w:left="0" w:right="0" w:hanging="360"/>
        <w:rPr/>
      </w:pPr>
      <w:hyperlink r:id="rId3">
        <w:r>
          <w:rPr>
            <w:rStyle w:val="InternetLink"/>
            <w:rFonts w:ascii="Times New Roman;sans-serif" w:hAnsi="Times New Roman;sans-serif"/>
            <w:b w:val="false"/>
            <w:color w:val="0000FF"/>
            <w:sz w:val="20"/>
            <w:u w:val="single"/>
          </w:rPr>
          <w:t>2.2 Agreement and Plan of Merger, dated as of October 8, 2019, among Ducommun LaBarge Technologies, Inc., DLT Acquisition, Inc., Nobles Parent Inc., and the Stockholder Representative. Incorporated by reference to Exhibit 2.1 to Form 8-K filed on October 9, 2019.</w:t>
        </w:r>
      </w:hyperlink>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3.1     Restated Certificate of Incorporation filed with the Delaware Secretary of State on May 29, 1990. Incorporated by reference to Exhibit 3.1 to Form 10-K for the year ended December 31, 1990.</w:t>
      </w:r>
    </w:p>
    <w:p>
      <w:pPr>
        <w:pStyle w:val="TextBody"/>
        <w:spacing w:lineRule="auto" w:line="288" w:before="100" w:after="283"/>
        <w:ind w:left="0" w:right="0" w:hanging="360"/>
        <w:rPr/>
      </w:pPr>
      <w:hyperlink r:id="rId4">
        <w:r>
          <w:rPr>
            <w:rStyle w:val="InternetLink"/>
            <w:rFonts w:ascii="Times New Roman;sans-serif" w:hAnsi="Times New Roman;sans-serif"/>
            <w:b w:val="false"/>
            <w:color w:val="0000FF"/>
            <w:sz w:val="20"/>
            <w:u w:val="single"/>
          </w:rPr>
          <w:t>3.2 Certificate of Amendment of Certificate of Incorporation filed with the Delaware Secretary of State on May 27, 1998. Incorporated by reference to Exhibit 3.2 to Form 10-K for the year ended December 31, 1998.</w:t>
        </w:r>
      </w:hyperlink>
    </w:p>
    <w:p>
      <w:pPr>
        <w:pStyle w:val="TextBody"/>
        <w:spacing w:lineRule="auto" w:line="288" w:before="100" w:after="283"/>
        <w:ind w:left="0" w:right="0" w:hanging="360"/>
        <w:rPr/>
      </w:pPr>
      <w:hyperlink r:id="rId5">
        <w:r>
          <w:rPr>
            <w:rStyle w:val="InternetLink"/>
            <w:rFonts w:ascii="Times New Roman;sans-serif" w:hAnsi="Times New Roman;sans-serif"/>
            <w:b w:val="false"/>
            <w:color w:val="0000FF"/>
            <w:sz w:val="20"/>
            <w:u w:val="single"/>
          </w:rPr>
          <w:t>3.3 Bylaws as amended and restated on March 19, 2013. Incorporated by reference to Exhibit 99.1 to Form 8-K dated March 22, 2013.</w:t>
        </w:r>
      </w:hyperlink>
    </w:p>
    <w:p>
      <w:pPr>
        <w:pStyle w:val="TextBody"/>
        <w:spacing w:lineRule="auto" w:line="288" w:before="100" w:after="283"/>
        <w:ind w:left="0" w:right="0" w:hanging="360"/>
        <w:rPr/>
      </w:pPr>
      <w:hyperlink r:id="rId6">
        <w:r>
          <w:rPr>
            <w:rStyle w:val="InternetLink"/>
            <w:rFonts w:ascii="Times New Roman;sans-serif" w:hAnsi="Times New Roman;sans-serif"/>
            <w:b w:val="false"/>
            <w:color w:val="0000FF"/>
            <w:sz w:val="20"/>
            <w:u w:val="single"/>
          </w:rPr>
          <w:t>3.4 Amendment to Bylaws dated January 5, 2017. Incorporated by reference to Exhibit 99.2 to Form 8-K dated January 9, 2017.</w:t>
        </w:r>
      </w:hyperlink>
    </w:p>
    <w:p>
      <w:pPr>
        <w:pStyle w:val="TextBody"/>
        <w:spacing w:lineRule="auto" w:line="288" w:before="100" w:after="283"/>
        <w:ind w:left="0" w:right="0" w:hanging="360"/>
        <w:rPr/>
      </w:pPr>
      <w:hyperlink r:id="rId7">
        <w:r>
          <w:rPr>
            <w:rStyle w:val="InternetLink"/>
            <w:rFonts w:ascii="Times New Roman;sans-serif" w:hAnsi="Times New Roman;sans-serif"/>
            <w:b w:val="false"/>
            <w:color w:val="0000FF"/>
            <w:sz w:val="20"/>
            <w:u w:val="single"/>
          </w:rPr>
          <w:t>3.5 Amendment to Bylaws dated February 21, 2018. Incorporated by reference to Exhibit 3.1 to Form 8-K dated February 26, 2018.</w:t>
        </w:r>
      </w:hyperlink>
    </w:p>
    <w:p>
      <w:pPr>
        <w:pStyle w:val="TextBody"/>
        <w:spacing w:lineRule="auto" w:line="288" w:before="100" w:after="283"/>
        <w:ind w:left="0" w:right="0" w:hanging="360"/>
        <w:rPr/>
      </w:pPr>
      <w:hyperlink r:id="rId8">
        <w:r>
          <w:rPr>
            <w:rStyle w:val="InternetLink"/>
            <w:rFonts w:ascii="Times New Roman;sans-serif" w:hAnsi="Times New Roman;sans-serif"/>
            <w:b w:val="false"/>
            <w:color w:val="0000FF"/>
            <w:sz w:val="20"/>
            <w:u w:val="single"/>
          </w:rPr>
          <w:t>3.6 Amendment to Bylaws dated March 5, 2021. Incorporated by reference to Exhibit 3.1 to Form 8-K dated March 8, 2021.</w:t>
        </w:r>
      </w:hyperlink>
    </w:p>
    <w:p>
      <w:pPr>
        <w:pStyle w:val="TextBody"/>
        <w:spacing w:lineRule="auto" w:line="288" w:before="100" w:after="283"/>
        <w:ind w:left="0" w:right="0" w:hanging="360"/>
        <w:rPr/>
      </w:pPr>
      <w:hyperlink r:id="rId9">
        <w:r>
          <w:rPr>
            <w:rStyle w:val="InternetLink"/>
            <w:rFonts w:ascii="Times New Roman;sans-serif" w:hAnsi="Times New Roman;sans-serif"/>
            <w:b w:val="false"/>
            <w:color w:val="0000FF"/>
            <w:sz w:val="20"/>
            <w:u w:val="single"/>
          </w:rPr>
          <w:t>4.1 Description of Ducommun Incorporated Securities Registered under Section 12 of the Exchange Act. Incorporated by reference to Exhibit 4.1 to Form 10-K for the year ended December 31, 2019.</w:t>
        </w:r>
      </w:hyperlink>
    </w:p>
    <w:p>
      <w:pPr>
        <w:pStyle w:val="TextBody"/>
        <w:spacing w:lineRule="auto" w:line="288" w:before="100" w:after="283"/>
        <w:ind w:left="0" w:right="0" w:hanging="450"/>
        <w:rPr/>
      </w:pPr>
      <w:hyperlink r:id="rId10">
        <w:r>
          <w:rPr>
            <w:rStyle w:val="InternetLink"/>
            <w:rFonts w:ascii="Times New Roman;sans-serif" w:hAnsi="Times New Roman;sans-serif"/>
            <w:b w:val="false"/>
            <w:color w:val="0000FF"/>
            <w:sz w:val="20"/>
            <w:u w:val="single"/>
          </w:rPr>
          <w:t>10.1 Incremental Term Loan Lender Joinder Agreement and Additional Credit Extension Amendment, dated as of December 20, 2019, by and among Ducommun Incorporated, as Borrower, the subsidiaries of the Borrower party thereto, as Guarantors, Bank of America, N.A., as Administrative Agent, Swingline Lender and an L.C. Issuer, and the lender party thereto. Incorporated by reference to Exhibit 10.1 to Form 8-K filed on December 20, 2019.</w:t>
        </w:r>
      </w:hyperlink>
    </w:p>
    <w:p>
      <w:pPr>
        <w:pStyle w:val="TextBody"/>
        <w:spacing w:lineRule="auto" w:line="288" w:before="100" w:after="283"/>
        <w:ind w:left="0" w:right="0" w:hanging="540"/>
        <w:rPr/>
      </w:pPr>
      <w:hyperlink r:id="rId11">
        <w:r>
          <w:rPr>
            <w:rStyle w:val="InternetLink"/>
            <w:rFonts w:ascii="Times New Roman;sans-serif" w:hAnsi="Times New Roman;sans-serif"/>
            <w:b w:val="false"/>
            <w:color w:val="0000FF"/>
            <w:sz w:val="20"/>
            <w:u w:val="single"/>
          </w:rPr>
          <w:t>10.2 Credit Agreement, dated as of November 21, 2018, among Ducommun Incorporated, certain of its subsidiaries, Bank of America, N.A., as administrative agent, swingline lender and issuing bank, and other lenders party thereto. Incorporated by reference to Exhibit 10.1 to Form 8-K filed on November 26, 2018.</w:t>
        </w:r>
      </w:hyperlink>
    </w:p>
    <w:p>
      <w:pPr>
        <w:pStyle w:val="TextBody"/>
        <w:spacing w:lineRule="auto" w:line="288" w:before="100" w:after="283"/>
        <w:ind w:left="0" w:right="0" w:hanging="540"/>
        <w:rPr/>
      </w:pPr>
      <w:hyperlink r:id="rId12">
        <w:r>
          <w:rPr>
            <w:rStyle w:val="InternetLink"/>
            <w:rFonts w:ascii="Times New Roman;sans-serif" w:hAnsi="Times New Roman;sans-serif"/>
            <w:b w:val="false"/>
            <w:color w:val="0000FF"/>
            <w:sz w:val="20"/>
            <w:u w:val="single"/>
          </w:rPr>
          <w:t>*10.3 2013 Stock Incentive Plan (Amended and Restated May 2, 2018). Incorporated by reference to Appendix A of Definitive Proxy Statement on Schedule 14a, filed on March 23, 2018.</w:t>
        </w:r>
      </w:hyperlink>
    </w:p>
    <w:p>
      <w:pPr>
        <w:pStyle w:val="TextBody"/>
        <w:spacing w:lineRule="auto" w:line="288" w:before="100" w:after="283"/>
        <w:ind w:left="0" w:right="0" w:hanging="540"/>
        <w:rPr/>
      </w:pPr>
      <w:hyperlink r:id="rId13">
        <w:r>
          <w:rPr>
            <w:rStyle w:val="InternetLink"/>
            <w:rFonts w:ascii="Times New Roman;sans-serif" w:hAnsi="Times New Roman;sans-serif"/>
            <w:b w:val="false"/>
            <w:color w:val="0000FF"/>
            <w:sz w:val="20"/>
            <w:u w:val="single"/>
          </w:rPr>
          <w:t>*10.4 2020 Employee Stock Incentive Plan. Incorporated by reference to Appendix A of Definitive Proxy Statement on Schedule 14a, filed on March 20, 2020.</w:t>
        </w:r>
      </w:hyperlink>
    </w:p>
    <w:p>
      <w:pPr>
        <w:pStyle w:val="TextBody"/>
        <w:spacing w:lineRule="auto" w:line="288" w:before="100" w:after="283"/>
        <w:ind w:left="0" w:right="0" w:hanging="540"/>
        <w:rPr/>
      </w:pPr>
      <w:hyperlink r:id="rId14">
        <w:r>
          <w:rPr>
            <w:rStyle w:val="InternetLink"/>
            <w:rFonts w:ascii="Times New Roman;sans-serif" w:hAnsi="Times New Roman;sans-serif"/>
            <w:b w:val="false"/>
            <w:color w:val="0000FF"/>
            <w:sz w:val="20"/>
            <w:u w:val="single"/>
          </w:rPr>
          <w:t>*10.5 2018 Employee Stock Purchase Plan. Incorporated by reference to Appendix B of Definitive Proxy Statement on Schedule 14a, filed on March 23, 2018.</w:t>
        </w:r>
      </w:hyperlink>
    </w:p>
    <w:p>
      <w:pPr>
        <w:pStyle w:val="TextBody"/>
        <w:spacing w:lineRule="auto" w:line="288" w:before="100" w:after="283"/>
        <w:ind w:left="0" w:right="0" w:hanging="540"/>
        <w:rPr/>
      </w:pPr>
      <w:hyperlink r:id="rId15">
        <w:r>
          <w:rPr>
            <w:rStyle w:val="InternetLink"/>
            <w:rFonts w:ascii="Times New Roman;sans-serif" w:hAnsi="Times New Roman;sans-serif"/>
            <w:b w:val="false"/>
            <w:color w:val="0000FF"/>
            <w:sz w:val="20"/>
            <w:u w:val="single"/>
          </w:rPr>
          <w:t>*10.6 2020 Employee Stock Purchase Plan. Incorporated by reference to Appendix A of Definitive Proxy Statement on Schedule 14a, filed on March 20, 2020.</w:t>
        </w:r>
      </w:hyperlink>
    </w:p>
    <w:p>
      <w:pPr>
        <w:pStyle w:val="TextBody"/>
        <w:spacing w:lineRule="auto" w:line="288" w:before="100" w:after="283"/>
        <w:ind w:left="0" w:right="0" w:hanging="540"/>
        <w:rPr/>
      </w:pPr>
      <w:hyperlink r:id="rId16">
        <w:r>
          <w:rPr>
            <w:rStyle w:val="InternetLink"/>
            <w:rFonts w:ascii="Times New Roman;sans-serif" w:hAnsi="Times New Roman;sans-serif"/>
            <w:b w:val="false"/>
            <w:color w:val="0000FF"/>
            <w:sz w:val="20"/>
            <w:u w:val="single"/>
          </w:rPr>
          <w:t>*10.7 Form of Stock Option Agreement for 2016 and earlier. Incorporated by reference to Exhibit 10.8 to Form 10-K for the year ended December 31, 2003.</w:t>
        </w:r>
      </w:hyperlink>
    </w:p>
    <w:p>
      <w:pPr>
        <w:pStyle w:val="TextBody"/>
        <w:spacing w:lineRule="auto" w:line="288" w:before="100" w:after="283"/>
        <w:ind w:left="0" w:right="0" w:hanging="540"/>
        <w:rPr/>
      </w:pPr>
      <w:hyperlink r:id="rId17">
        <w:r>
          <w:rPr>
            <w:rStyle w:val="InternetLink"/>
            <w:rFonts w:ascii="Times New Roman;sans-serif" w:hAnsi="Times New Roman;sans-serif"/>
            <w:b w:val="false"/>
            <w:color w:val="0000FF"/>
            <w:sz w:val="20"/>
            <w:u w:val="single"/>
          </w:rPr>
          <w:t>*10.8 Form of Stock Option Agreement for 2017. Incorporated by reference to Exhibit 10.5 to Form 10-K for the year ended December 31, 2016.</w:t>
        </w:r>
      </w:hyperlink>
    </w:p>
    <w:p>
      <w:pPr>
        <w:pStyle w:val="TextBody"/>
        <w:spacing w:lineRule="auto" w:line="288" w:before="100" w:after="283"/>
        <w:ind w:left="0" w:right="0" w:hanging="540"/>
        <w:rPr/>
      </w:pPr>
      <w:hyperlink r:id="rId18">
        <w:r>
          <w:rPr>
            <w:rStyle w:val="InternetLink"/>
            <w:rFonts w:ascii="Times New Roman;sans-serif" w:hAnsi="Times New Roman;sans-serif"/>
            <w:b w:val="false"/>
            <w:color w:val="0000FF"/>
            <w:sz w:val="20"/>
            <w:u w:val="single"/>
          </w:rPr>
          <w:t>*10.9 Form of Stock Option Agreement for 2018 and after. Incorporated by reference to Exhibit 4.7 to Form S-8, filed on May 10, 2018.</w:t>
        </w:r>
      </w:hyperlink>
    </w:p>
    <w:p>
      <w:pPr>
        <w:pStyle w:val="TextBody"/>
        <w:spacing w:lineRule="auto" w:line="288" w:before="100" w:after="283"/>
        <w:ind w:left="0" w:right="0" w:hanging="630"/>
        <w:rPr/>
      </w:pPr>
      <w:hyperlink r:id="rId19">
        <w:r>
          <w:rPr>
            <w:rStyle w:val="InternetLink"/>
            <w:rFonts w:ascii="Times New Roman;sans-serif" w:hAnsi="Times New Roman;sans-serif"/>
            <w:b w:val="false"/>
            <w:color w:val="0000FF"/>
            <w:sz w:val="20"/>
            <w:u w:val="single"/>
          </w:rPr>
          <w:t>*10.10 Form of Restricted Stock Unit Agreement for 2017 through 2019. Incorporated by reference to Exhibit 10.9 to Form 10-K for the year ended December 31, 2016.</w:t>
        </w:r>
      </w:hyperlink>
    </w:p>
    <w:p>
      <w:pPr>
        <w:pStyle w:val="TextBody"/>
        <w:spacing w:lineRule="auto" w:line="288" w:before="120" w:after="283"/>
        <w:ind w:left="0" w:right="0" w:hanging="630"/>
        <w:rPr/>
      </w:pPr>
      <w:hyperlink r:id="rId20">
        <w:r>
          <w:rPr>
            <w:rStyle w:val="InternetLink"/>
            <w:rFonts w:ascii="Times New Roman;sans-serif" w:hAnsi="Times New Roman;sans-serif"/>
            <w:b w:val="false"/>
            <w:color w:val="0000FF"/>
            <w:sz w:val="20"/>
            <w:u w:val="single"/>
          </w:rPr>
          <w:t>*10.11 Performance Restricted Stock Unit Agreement dated January 23, 2017 between Ducommun Incorporated and Stephen G. Oswald. Incorporated by reference to Exhibit 10.11 to Form 10-K for the year ended December 31, 2016.</w:t>
        </w:r>
      </w:hyperlink>
    </w:p>
    <w:p>
      <w:pPr>
        <w:pStyle w:val="TextBody"/>
        <w:spacing w:lineRule="auto" w:line="288" w:before="100" w:after="283"/>
        <w:ind w:left="0" w:right="0" w:hanging="630"/>
        <w:rPr/>
      </w:pPr>
      <w:hyperlink r:id="rId21">
        <w:r>
          <w:rPr>
            <w:rStyle w:val="InternetLink"/>
            <w:rFonts w:ascii="Times New Roman;sans-serif" w:hAnsi="Times New Roman;sans-serif"/>
            <w:b w:val="false"/>
            <w:color w:val="0000FF"/>
            <w:sz w:val="20"/>
            <w:u w:val="single"/>
          </w:rPr>
          <w:t>*10.12 Form of Performance Stock Unit Agreement for 2020 and after. Incorporated by reference to Exhibit 10.18 to Form 10-Q for the period ended June 27, 2020.</w:t>
        </w:r>
      </w:hyperlink>
    </w:p>
    <w:p>
      <w:pPr>
        <w:pStyle w:val="TextBody"/>
        <w:spacing w:lineRule="auto" w:line="288" w:before="100" w:after="283"/>
        <w:ind w:left="0" w:right="0" w:hanging="630"/>
        <w:rPr/>
      </w:pPr>
      <w:hyperlink r:id="rId22">
        <w:r>
          <w:rPr>
            <w:rStyle w:val="InternetLink"/>
            <w:rFonts w:ascii="Times New Roman;sans-serif" w:hAnsi="Times New Roman;sans-serif"/>
            <w:b w:val="false"/>
            <w:color w:val="0000FF"/>
            <w:sz w:val="20"/>
            <w:u w:val="single"/>
          </w:rPr>
          <w:t>*10.13 Form of Restricted Stock Unit Agreement for Non-Qualified Deferred Compensation Plan Participants for 2020 and after. Incorporated by reference to Exhibit 10.19 to Form 10-Q for the period ended June 27, 2020.</w:t>
        </w:r>
      </w:hyperlink>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ind w:left="0" w:right="0" w:hanging="630"/>
        <w:rPr>
          <w:rFonts w:ascii="Times New Roman;sans-serif" w:hAnsi="Times New Roman;sans-serif"/>
          <w:b/>
          <w:color w:val="000000"/>
          <w:sz w:val="20"/>
        </w:rPr>
      </w:pPr>
      <w:r>
        <w:rPr>
          <w:rFonts w:ascii="Times New Roman;sans-serif" w:hAnsi="Times New Roman;sans-serif"/>
          <w:b/>
          <w:color w:val="000000"/>
          <w:sz w:val="20"/>
        </w:rPr>
        <w:t>Exhibit</w:t>
      </w:r>
    </w:p>
    <w:p>
      <w:pPr>
        <w:pStyle w:val="TextBody"/>
        <w:spacing w:lineRule="auto" w:line="288" w:before="0" w:after="0"/>
        <w:rPr/>
      </w:pPr>
      <w:r>
        <w:rPr>
          <w:rFonts w:ascii="Times New Roman;sans-serif" w:hAnsi="Times New Roman;sans-serif"/>
          <w:b/>
          <w:color w:val="000000"/>
          <w:sz w:val="20"/>
          <w:u w:val="single"/>
        </w:rPr>
        <w:t>No.    </w:t>
      </w:r>
      <w:r>
        <w:rPr>
          <w:color w:val="000000"/>
        </w:rPr>
        <w:t>    </w:t>
      </w:r>
      <w:r>
        <w:rPr>
          <w:rFonts w:ascii="Times New Roman;sans-serif" w:hAnsi="Times New Roman;sans-serif"/>
          <w:b/>
          <w:color w:val="000000"/>
          <w:sz w:val="20"/>
          <w:u w:val="single"/>
        </w:rPr>
        <w:t>Description</w:t>
      </w:r>
    </w:p>
    <w:p>
      <w:pPr>
        <w:pStyle w:val="TextBody"/>
        <w:spacing w:lineRule="auto" w:line="288" w:before="120" w:after="283"/>
        <w:ind w:left="0" w:right="0" w:hanging="630"/>
        <w:rPr/>
      </w:pPr>
      <w:hyperlink r:id="rId23">
        <w:r>
          <w:rPr>
            <w:rStyle w:val="InternetLink"/>
            <w:rFonts w:ascii="Times New Roman;sans-serif" w:hAnsi="Times New Roman;sans-serif"/>
            <w:b w:val="false"/>
            <w:color w:val="0000FF"/>
            <w:sz w:val="20"/>
            <w:u w:val="single"/>
          </w:rPr>
          <w:t>*10.14 Form of Restricted Stock Unit Agreement for 2020 and after. Incorporated by reference to Exhibit 10.20 to Form 10-Q for the period ended June 27, 2020.</w:t>
        </w:r>
      </w:hyperlink>
    </w:p>
    <w:p>
      <w:pPr>
        <w:pStyle w:val="TextBody"/>
        <w:spacing w:lineRule="auto" w:line="288" w:before="100" w:after="283"/>
        <w:ind w:left="0" w:right="0" w:hanging="630"/>
        <w:rPr/>
      </w:pPr>
      <w:hyperlink r:id="rId24">
        <w:r>
          <w:rPr>
            <w:rStyle w:val="InternetLink"/>
            <w:rFonts w:ascii="Times New Roman;sans-serif" w:hAnsi="Times New Roman;sans-serif"/>
            <w:b w:val="false"/>
            <w:color w:val="0000FF"/>
            <w:sz w:val="20"/>
            <w:u w:val="single"/>
          </w:rPr>
          <w:t>*10.15 Form of Stock Option Agreement for 2020 and after. Incorporated by reference to Exhibit 10.21 to Form 10-Q for the period ended June 27, 2020.</w:t>
        </w:r>
      </w:hyperlink>
    </w:p>
    <w:p>
      <w:pPr>
        <w:pStyle w:val="TextBody"/>
        <w:spacing w:lineRule="auto" w:line="288" w:before="100" w:after="283"/>
        <w:ind w:left="0" w:right="0" w:hanging="630"/>
        <w:rPr/>
      </w:pPr>
      <w:hyperlink r:id="rId25">
        <w:r>
          <w:rPr>
            <w:rStyle w:val="InternetLink"/>
            <w:rFonts w:ascii="Times New Roman;sans-serif" w:hAnsi="Times New Roman;sans-serif"/>
            <w:b w:val="false"/>
            <w:color w:val="0000FF"/>
            <w:sz w:val="20"/>
            <w:u w:val="single"/>
          </w:rPr>
          <w:t>*10.16 Form of Performance Restricted Stock Unit Agreement for 2020. Incorporated by reference to Exhibit 10.22 to Form 10-Q for the period ended June 27, 2020.</w:t>
        </w:r>
      </w:hyperlink>
    </w:p>
    <w:p>
      <w:pPr>
        <w:pStyle w:val="TextBody"/>
        <w:spacing w:lineRule="auto" w:line="288" w:before="120" w:after="283"/>
        <w:ind w:left="0" w:right="0" w:hanging="630"/>
        <w:rPr/>
      </w:pPr>
      <w:hyperlink r:id="rId26">
        <w:r>
          <w:rPr>
            <w:rStyle w:val="InternetLink"/>
            <w:rFonts w:ascii="Times New Roman;sans-serif" w:hAnsi="Times New Roman;sans-serif"/>
            <w:b w:val="false"/>
            <w:color w:val="0000FF"/>
            <w:sz w:val="20"/>
            <w:u w:val="single"/>
          </w:rPr>
          <w:t>*10.17 Directors’ Deferred Compensation and Retirement Plan, as amended and restated February 2, 2010. Incorporated by reference to Exhibit 10.15 to Form 10-K for the year ended December 31, 2009.</w:t>
        </w:r>
      </w:hyperlink>
    </w:p>
    <w:p>
      <w:pPr>
        <w:pStyle w:val="TextBody"/>
        <w:spacing w:lineRule="auto" w:line="288" w:before="100" w:after="283"/>
        <w:rPr/>
      </w:pPr>
      <w:hyperlink r:id="rId27">
        <w:r>
          <w:rPr>
            <w:rStyle w:val="InternetLink"/>
            <w:rFonts w:ascii="Times New Roman;sans-serif" w:hAnsi="Times New Roman;sans-serif"/>
            <w:b w:val="false"/>
            <w:color w:val="0000FF"/>
            <w:sz w:val="20"/>
            <w:u w:val="single"/>
          </w:rPr>
          <w:t>*10.18 Non Qualified Deferred Compensation. Incorporated by reference to Exhibit 4.6 to Form S-8 dated November 26, 2019.</w:t>
        </w:r>
      </w:hyperlink>
    </w:p>
    <w:p>
      <w:pPr>
        <w:pStyle w:val="TextBody"/>
        <w:spacing w:lineRule="auto" w:line="288" w:before="100" w:after="283"/>
        <w:ind w:left="0" w:right="0" w:hanging="630"/>
        <w:rPr/>
      </w:pPr>
      <w:hyperlink r:id="rId28">
        <w:r>
          <w:rPr>
            <w:rStyle w:val="InternetLink"/>
            <w:rFonts w:ascii="Times New Roman;sans-serif" w:hAnsi="Times New Roman;sans-serif"/>
            <w:b w:val="false"/>
            <w:color w:val="0000FF"/>
            <w:sz w:val="20"/>
            <w:u w:val="single"/>
          </w:rPr>
          <w:t>*10.19 Key Executive Severance Agreement between Ducommun Incorporated and Stephen G. Oswald dated January 23, 2017. Incorporated by reference to Exhibit 99.1 to Form 8-K dated January 27, 2017.</w:t>
        </w:r>
      </w:hyperlink>
    </w:p>
    <w:p>
      <w:pPr>
        <w:pStyle w:val="TextBody"/>
        <w:spacing w:lineRule="auto" w:line="288" w:before="100" w:after="283"/>
        <w:ind w:left="0" w:right="0" w:hanging="630"/>
        <w:rPr/>
      </w:pPr>
      <w:hyperlink r:id="rId29">
        <w:r>
          <w:rPr>
            <w:rStyle w:val="InternetLink"/>
            <w:rFonts w:ascii="Times New Roman;sans-serif" w:hAnsi="Times New Roman;sans-serif"/>
            <w:b w:val="false"/>
            <w:color w:val="0000FF"/>
            <w:sz w:val="20"/>
            <w:u w:val="single"/>
          </w:rPr>
          <w:t>*10.20 Form of Key Executive Severance Agreement between Ducommun Incorporated and each of the individuals listed below. Incorporated by reference to Exhibit 99.2 to Form 8-K dated January 27, 2017. All of the Key Executive Severance Agreements are identical except for the name of the person, the address for notice, and the date of the Agreement:</w:t>
        </w:r>
      </w:hyperlink>
    </w:p>
    <w:tbl>
      <w:tblPr>
        <w:tblW w:w="4730" w:type="dxa"/>
        <w:jc w:val="left"/>
        <w:tblInd w:w="0" w:type="dxa"/>
        <w:tblCellMar>
          <w:top w:w="28" w:type="dxa"/>
          <w:left w:w="28" w:type="dxa"/>
          <w:bottom w:w="28" w:type="dxa"/>
          <w:right w:w="28" w:type="dxa"/>
        </w:tblCellMar>
      </w:tblPr>
      <w:tblGrid>
        <w:gridCol w:w="124"/>
        <w:gridCol w:w="109"/>
        <w:gridCol w:w="109"/>
        <w:gridCol w:w="689"/>
        <w:gridCol w:w="689"/>
        <w:gridCol w:w="692"/>
        <w:gridCol w:w="109"/>
        <w:gridCol w:w="109"/>
        <w:gridCol w:w="109"/>
        <w:gridCol w:w="539"/>
        <w:gridCol w:w="539"/>
        <w:gridCol w:w="5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of Agreement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Jerry L. Redondo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Rosalie F. Rogers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Rajiv A. Tata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24, 2020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 Wampler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hanging="630"/>
        <w:rPr/>
      </w:pPr>
      <w:hyperlink r:id="rId30">
        <w:r>
          <w:rPr>
            <w:rStyle w:val="InternetLink"/>
            <w:rFonts w:ascii="Times New Roman;sans-serif" w:hAnsi="Times New Roman;sans-serif"/>
            <w:b w:val="false"/>
            <w:color w:val="0000FF"/>
            <w:sz w:val="20"/>
            <w:u w:val="single"/>
          </w:rPr>
          <w:t>*10.21 Employment Letter Agreement dated January 3, 2017 between Ducommun Incorporated and Stephen G. Oswald. Incorporated by reference to Exhibit 99.1 to Form 8-K dated January 9, 2017.</w:t>
        </w:r>
      </w:hyperlink>
    </w:p>
    <w:p>
      <w:pPr>
        <w:pStyle w:val="TextBody"/>
        <w:spacing w:lineRule="auto" w:line="288" w:before="100" w:after="283"/>
        <w:ind w:left="0" w:right="0" w:hanging="630"/>
        <w:rPr/>
      </w:pPr>
      <w:hyperlink r:id="rId31">
        <w:r>
          <w:rPr>
            <w:rStyle w:val="InternetLink"/>
            <w:rFonts w:ascii="Times New Roman;sans-serif" w:hAnsi="Times New Roman;sans-serif"/>
            <w:b w:val="false"/>
            <w:color w:val="0000FF"/>
            <w:sz w:val="20"/>
            <w:u w:val="single"/>
          </w:rPr>
          <w:t>*10.22 Separation and Release Agreement dated June 26, 2019 between Ducommun Incorporated and Douglas L. Groves. Incorporated by reference to Exhibit 10.1 to Form 8-K filed on June 28, 2019.</w:t>
        </w:r>
      </w:hyperlink>
    </w:p>
    <w:p>
      <w:pPr>
        <w:pStyle w:val="TextBody"/>
        <w:spacing w:lineRule="auto" w:line="288" w:before="120" w:after="12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10.23    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tbl>
      <w:tblPr>
        <w:tblW w:w="4790" w:type="dxa"/>
        <w:jc w:val="left"/>
        <w:tblInd w:w="0" w:type="dxa"/>
        <w:tblCellMar>
          <w:top w:w="28" w:type="dxa"/>
          <w:left w:w="28" w:type="dxa"/>
          <w:bottom w:w="28" w:type="dxa"/>
          <w:right w:w="28" w:type="dxa"/>
        </w:tblCellMar>
      </w:tblPr>
      <w:tblGrid>
        <w:gridCol w:w="124"/>
        <w:gridCol w:w="109"/>
        <w:gridCol w:w="109"/>
        <w:gridCol w:w="689"/>
        <w:gridCol w:w="689"/>
        <w:gridCol w:w="692"/>
        <w:gridCol w:w="109"/>
        <w:gridCol w:w="109"/>
        <w:gridCol w:w="109"/>
        <w:gridCol w:w="559"/>
        <w:gridCol w:w="559"/>
        <w:gridCol w:w="56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Director/Officer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Date of Agreement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A. Baldridge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19, 2013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Shirley G. Drazba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18, 2018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C. Ducommun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1985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Dean M. Flatt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5, 2009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L. Haberland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 2009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Sheila G. Kramer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Oswald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Jerry L. Redondo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Rosalie F. Rogers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24, 2008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Rajiv A. Tata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24, 2020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 Wampler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720"/>
        <w:rPr/>
      </w:pPr>
      <w:hyperlink w:anchor="dco-q2202110xqex31_1.htm">
        <w:r>
          <w:rPr>
            <w:rStyle w:val="InternetLink"/>
            <w:rFonts w:ascii="Times New Roman;sans-serif" w:hAnsi="Times New Roman;sans-serif"/>
            <w:b w:val="false"/>
            <w:color w:val="0000FF"/>
            <w:sz w:val="20"/>
            <w:u w:val="single"/>
          </w:rPr>
          <w:t>31.1 Certification of Principal Executive Officer.</w:t>
        </w:r>
      </w:hyperlink>
    </w:p>
    <w:p>
      <w:pPr>
        <w:pStyle w:val="TextBody"/>
        <w:spacing w:lineRule="auto" w:line="288" w:before="100" w:after="283"/>
        <w:ind w:left="0" w:right="0" w:hanging="720"/>
        <w:rPr/>
      </w:pPr>
      <w:hyperlink w:anchor="dco-q2202110xqxex31_2.htm">
        <w:r>
          <w:rPr>
            <w:rStyle w:val="InternetLink"/>
            <w:rFonts w:ascii="Times New Roman;sans-serif" w:hAnsi="Times New Roman;sans-serif"/>
            <w:b w:val="false"/>
            <w:color w:val="0000FF"/>
            <w:sz w:val="20"/>
            <w:u w:val="single"/>
          </w:rPr>
          <w:t>31.2 Certification of Principal Financial Officer.</w:t>
        </w:r>
      </w:hyperlink>
    </w:p>
    <w:p>
      <w:pPr>
        <w:pStyle w:val="TextBody"/>
        <w:spacing w:lineRule="auto" w:line="288" w:before="100" w:after="283"/>
        <w:rPr/>
      </w:pPr>
      <w:hyperlink w:anchor="dco-q2202110xqxex32.htm">
        <w:r>
          <w:rPr>
            <w:rStyle w:val="InternetLink"/>
            <w:rFonts w:ascii="Times New Roman;sans-serif" w:hAnsi="Times New Roman;sans-serif"/>
            <w:b w:val="false"/>
            <w:color w:val="0000FF"/>
            <w:sz w:val="20"/>
            <w:u w:val="single"/>
          </w:rPr>
          <w:t>32 Certification Pursuant to 18 U.S.C. Section 1350, as Adopted Pursuant to Section 906 of the Sarbanes-Oxley Act of 2002.</w:t>
        </w:r>
      </w:hyperlink>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100" w:after="283"/>
        <w:ind w:left="0" w:right="0" w:hanging="720"/>
        <w:rPr>
          <w:rFonts w:ascii="Times New Roman;sans-serif" w:hAnsi="Times New Roman;sans-serif"/>
          <w:b/>
          <w:color w:val="000000"/>
          <w:sz w:val="20"/>
        </w:rPr>
      </w:pPr>
      <w:r>
        <w:rPr>
          <w:rFonts w:ascii="Times New Roman;sans-serif" w:hAnsi="Times New Roman;sans-serif"/>
          <w:b/>
          <w:color w:val="000000"/>
          <w:sz w:val="20"/>
        </w:rPr>
        <w:t>Exhibit</w:t>
      </w:r>
    </w:p>
    <w:p>
      <w:pPr>
        <w:pStyle w:val="TextBody"/>
        <w:spacing w:lineRule="auto" w:line="288" w:before="0" w:after="0"/>
        <w:rPr/>
      </w:pPr>
      <w:r>
        <w:rPr>
          <w:rFonts w:ascii="Times New Roman;sans-serif" w:hAnsi="Times New Roman;sans-serif"/>
          <w:b/>
          <w:color w:val="000000"/>
          <w:sz w:val="20"/>
          <w:u w:val="single"/>
        </w:rPr>
        <w:t>No.    </w:t>
      </w:r>
      <w:r>
        <w:rPr>
          <w:color w:val="000000"/>
        </w:rPr>
        <w:t>    </w:t>
      </w:r>
      <w:r>
        <w:rPr>
          <w:rFonts w:ascii="Times New Roman;sans-serif" w:hAnsi="Times New Roman;sans-serif"/>
          <w:b/>
          <w:color w:val="000000"/>
          <w:sz w:val="20"/>
          <w:u w:val="single"/>
        </w:rPr>
        <w:t>Description</w:t>
      </w:r>
    </w:p>
    <w:p>
      <w:pPr>
        <w:pStyle w:val="TextBody"/>
        <w:spacing w:lineRule="auto" w:line="288" w:before="100" w:after="283"/>
        <w:ind w:left="0" w:right="0" w:hanging="1440"/>
        <w:rPr>
          <w:rFonts w:ascii="Times New Roman;sans-serif" w:hAnsi="Times New Roman;sans-serif"/>
          <w:b w:val="false"/>
          <w:color w:val="000000"/>
          <w:sz w:val="20"/>
        </w:rPr>
      </w:pPr>
      <w:r>
        <w:rPr>
          <w:rFonts w:ascii="Times New Roman;sans-serif" w:hAnsi="Times New Roman;sans-serif"/>
          <w:b w:val="false"/>
          <w:color w:val="000000"/>
          <w:sz w:val="20"/>
        </w:rPr>
        <w:t>101.INS    Inline XBRL Instance Document - the instance document does not appear in the Interactive Data File because its XBRL tags are embedded within the Inline XBRL</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101.SCH    Inline XBRL Taxonomy Extension Schema</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101.CAL    Inline XBRL Taxonomy Extension Calculation Linkbase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101.DEF    Inline XBRL Taxonomy Extension Definition Linkbase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101.LAB    Inline XBRL Taxonomy Extension Label Linkbase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101.PRE    Inline XBRL Taxonomy Extension Presentation Linkbase</w:t>
      </w:r>
    </w:p>
    <w:p>
      <w:pPr>
        <w:pStyle w:val="TextBody"/>
        <w:spacing w:lineRule="auto" w:line="288" w:before="100" w:after="283"/>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(formatted as Inline XBRL and contained in Exhibit 101)</w:t>
      </w:r>
    </w:p>
    <w:p>
      <w:pPr>
        <w:pStyle w:val="TextBody"/>
        <w:spacing w:lineRule="auto" w:line="288" w:before="0" w:after="0"/>
        <w:ind w:left="0" w:right="0" w:hanging="126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extBody"/>
        <w:spacing w:lineRule="auto" w:line="288" w:before="0" w:after="0"/>
        <w:ind w:left="0" w:right="0" w:hanging="1260"/>
        <w:jc w:val="both"/>
        <w:rPr>
          <w:rFonts w:ascii="Times New Roman;sans-serif" w:hAnsi="Times New Roman;sans-serif"/>
          <w:b w:val="false"/>
          <w:color w:val="000000"/>
          <w:sz w:val="24"/>
        </w:rPr>
      </w:pPr>
      <w:r>
        <w:rPr>
          <w:rFonts w:ascii="Times New Roman;sans-serif" w:hAnsi="Times New Roman;sans-serif"/>
          <w:b w:val="false"/>
          <w:color w:val="000000"/>
          <w:sz w:val="24"/>
        </w:rPr>
        <w:t>* Indicates an executive compensation plan or arrangement.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8895907151f6488da2f1e48031ecae9a_7">
        <w:r>
          <w:rPr>
            <w:rStyle w:val="InternetLink"/>
            <w:rFonts w:ascii="Times New Roman;sans-serif" w:hAnsi="Times New Roman;sans-serif"/>
            <w:b/>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SIGNATURES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021" w:type="dxa"/>
        <w:jc w:val="left"/>
        <w:tblInd w:w="0" w:type="dxa"/>
        <w:tblCellMar>
          <w:top w:w="28" w:type="dxa"/>
          <w:left w:w="28" w:type="dxa"/>
          <w:bottom w:w="28" w:type="dxa"/>
          <w:right w:w="28" w:type="dxa"/>
        </w:tblCellMar>
      </w:tblPr>
      <w:tblGrid>
        <w:gridCol w:w="705"/>
        <w:gridCol w:w="621"/>
        <w:gridCol w:w="624"/>
        <w:gridCol w:w="134"/>
        <w:gridCol w:w="134"/>
        <w:gridCol w:w="136"/>
        <w:gridCol w:w="109"/>
        <w:gridCol w:w="109"/>
        <w:gridCol w:w="109"/>
        <w:gridCol w:w="1564"/>
        <w:gridCol w:w="1564"/>
        <w:gridCol w:w="2212"/>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Oswald</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Oswald</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D. Wampler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 Wampler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Controller and Treasurer</w:t>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Principal Accounting Officer)</w:t>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Stephen G. Oswald,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Ducommun Incorporated (the “registrant”) on Form 10-Q for the period ended July 3, 2021;</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bl>
      <w:tblPr>
        <w:tblW w:w="4110" w:type="dxa"/>
        <w:jc w:val="left"/>
        <w:tblInd w:w="0" w:type="dxa"/>
        <w:tblCellMar>
          <w:top w:w="28" w:type="dxa"/>
          <w:left w:w="28" w:type="dxa"/>
          <w:bottom w:w="28" w:type="dxa"/>
          <w:right w:w="28" w:type="dxa"/>
        </w:tblCellMar>
      </w:tblPr>
      <w:tblGrid>
        <w:gridCol w:w="1315"/>
        <w:gridCol w:w="1153"/>
        <w:gridCol w:w="1642"/>
      </w:tblGrid>
      <w:tr>
        <w:trPr/>
        <w:tc>
          <w:tcPr>
            <w:tcW w:w="1315"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Oswald</w:t>
            </w:r>
          </w:p>
        </w:tc>
      </w:tr>
      <w:tr>
        <w:trPr/>
        <w:tc>
          <w:tcPr>
            <w:tcW w:w="4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Oswald</w:t>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Sarbanes-Oxley Act of 2002</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 Christopher D. Wampler, certify that: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of Ducommun Incorporated (the “registrant”) on Form 10-Q for the period ended July 3, 2021;</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Date: August 12, 2021</w:t>
      </w:r>
    </w:p>
    <w:tbl>
      <w:tblPr>
        <w:tblW w:w="5355" w:type="dxa"/>
        <w:jc w:val="left"/>
        <w:tblInd w:w="0" w:type="dxa"/>
        <w:tblCellMar>
          <w:top w:w="28" w:type="dxa"/>
          <w:left w:w="28" w:type="dxa"/>
          <w:bottom w:w="28" w:type="dxa"/>
          <w:right w:w="28" w:type="dxa"/>
        </w:tblCellMar>
      </w:tblPr>
      <w:tblGrid>
        <w:gridCol w:w="1711"/>
        <w:gridCol w:w="1503"/>
        <w:gridCol w:w="2141"/>
      </w:tblGrid>
      <w:tr>
        <w:trPr/>
        <w:tc>
          <w:tcPr>
            <w:tcW w:w="1711"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vAlign w:val="center"/>
          </w:tcPr>
          <w:p>
            <w:pPr>
              <w:pStyle w:val="TableContents"/>
              <w:spacing w:before="0" w:after="283"/>
              <w:rPr>
                <w:sz w:val="4"/>
                <w:szCs w:val="4"/>
              </w:rPr>
            </w:pPr>
            <w:r>
              <w:rPr>
                <w:sz w:val="4"/>
                <w:szCs w:val="4"/>
              </w:rPr>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D. Wampler</w:t>
            </w:r>
          </w:p>
        </w:tc>
      </w:tr>
      <w:tr>
        <w:trPr/>
        <w:tc>
          <w:tcPr>
            <w:tcW w:w="5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 Wampler</w:t>
            </w:r>
          </w:p>
        </w:tc>
      </w:tr>
      <w:tr>
        <w:trPr/>
        <w:tc>
          <w:tcPr>
            <w:tcW w:w="5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Controller and Treasurer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Ducommun Incorporated (the “Company”) on Form 10-Q for the period ending July 3, 2021,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pStyle w:val="TextBody"/>
        <w:spacing w:lineRule="auto" w:line="288" w:before="18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18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949" w:type="dxa"/>
        <w:jc w:val="left"/>
        <w:tblInd w:w="0" w:type="dxa"/>
        <w:tblCellMar>
          <w:top w:w="28" w:type="dxa"/>
          <w:left w:w="28" w:type="dxa"/>
          <w:bottom w:w="28" w:type="dxa"/>
          <w:right w:w="28" w:type="dxa"/>
        </w:tblCellMar>
      </w:tblPr>
      <w:tblGrid>
        <w:gridCol w:w="124"/>
        <w:gridCol w:w="109"/>
        <w:gridCol w:w="109"/>
        <w:gridCol w:w="134"/>
        <w:gridCol w:w="134"/>
        <w:gridCol w:w="136"/>
        <w:gridCol w:w="109"/>
        <w:gridCol w:w="1199"/>
        <w:gridCol w:w="1199"/>
        <w:gridCol w:w="16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G. Oswald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G. Oswald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2021</w:t>
            </w:r>
          </w:p>
        </w:tc>
      </w:tr>
    </w:tbl>
    <w:p>
      <w:pPr>
        <w:pStyle w:val="TextBody"/>
        <w:spacing w:before="180" w:after="283"/>
        <w:ind w:left="0" w:right="0" w:firstLine="990"/>
        <w:rPr/>
      </w:pPr>
      <w:r>
        <w:rPr/>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Ducommun Incorporated (the “Company”) on Form 10-Q for the period ending July 3, 2021,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pStyle w:val="TextBody"/>
        <w:spacing w:lineRule="auto" w:line="288" w:before="18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spacing w:lineRule="auto" w:line="288" w:before="180" w:after="283"/>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6195" w:type="dxa"/>
        <w:jc w:val="left"/>
        <w:tblInd w:w="0" w:type="dxa"/>
        <w:tblCellMar>
          <w:top w:w="28" w:type="dxa"/>
          <w:left w:w="28" w:type="dxa"/>
          <w:bottom w:w="28" w:type="dxa"/>
          <w:right w:w="28" w:type="dxa"/>
        </w:tblCellMar>
      </w:tblPr>
      <w:tblGrid>
        <w:gridCol w:w="124"/>
        <w:gridCol w:w="109"/>
        <w:gridCol w:w="109"/>
        <w:gridCol w:w="134"/>
        <w:gridCol w:w="134"/>
        <w:gridCol w:w="136"/>
        <w:gridCol w:w="109"/>
        <w:gridCol w:w="1561"/>
        <w:gridCol w:w="1561"/>
        <w:gridCol w:w="221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09" w:type="dxa"/>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D. Wampler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D. Wampler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Controller and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12, 2021</w:t>
            </w:r>
          </w:p>
        </w:tc>
      </w:tr>
    </w:tbl>
    <w:p>
      <w:pPr>
        <w:pStyle w:val="TextBody"/>
        <w:spacing w:before="180" w:after="283"/>
        <w:ind w:left="0" w:right="0" w:firstLine="990"/>
        <w:rPr/>
      </w:pPr>
      <w:r>
        <w:rPr/>
      </w:r>
    </w:p>
    <w:p>
      <w:pPr>
        <w:pStyle w:val="TextBody"/>
        <w:spacing w:before="180" w:after="283"/>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accompanying the Form 10-Q solely pursuant to Section 906 of the Sarbanes-Oxley Act of 2002, and is not being filed as part of the Form 10-Q or as a separate disclosure document.</w:t>
      </w:r>
      <w:r>
        <w:br w:type="page"/>
      </w:r>
    </w:p>
    <w:p>
      <w:pPr>
        <w:pStyle w:val="TextBody"/>
        <w:spacing w:before="0" w:after="283"/>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0305/000119312517281838/d414212dex21.htm" TargetMode="External"/><Relationship Id="rId3" Type="http://schemas.openxmlformats.org/officeDocument/2006/relationships/hyperlink" Target="http://www.sec.gov/Archives/edgar/data/30305/000119312519264787/d817718dex21.htm" TargetMode="External"/><Relationship Id="rId4" Type="http://schemas.openxmlformats.org/officeDocument/2006/relationships/hyperlink" Target="http://www.sec.gov/Archives/edgar/data/30305/0000892569-99-000620-index.html" TargetMode="External"/><Relationship Id="rId5" Type="http://schemas.openxmlformats.org/officeDocument/2006/relationships/hyperlink" Target="http://www.sec.gov/Archives/edgar/data/30305/000119312513121993/d505045dex991.htm" TargetMode="External"/><Relationship Id="rId6" Type="http://schemas.openxmlformats.org/officeDocument/2006/relationships/hyperlink" Target="http://www.sec.gov/Archives/edgar/data/30305/000119312517005088/d321215dex992.htm" TargetMode="External"/><Relationship Id="rId7" Type="http://schemas.openxmlformats.org/officeDocument/2006/relationships/hyperlink" Target="http://www.sec.gov/Archives/edgar/data/30305/000119312518058275/0001193125-18-058275-index.htm" TargetMode="External"/><Relationship Id="rId8" Type="http://schemas.openxmlformats.org/officeDocument/2006/relationships/hyperlink" Target="http://www.sec.gov/Archives/edgar/data/30305/000119312521073228/0001193125-21-073228-index.htm" TargetMode="External"/><Relationship Id="rId9" Type="http://schemas.openxmlformats.org/officeDocument/2006/relationships/hyperlink" Target="http://www.sec.gov/Archives/edgar/data/30305/000162828020001898/dco10-k2019exhibit4_1.htm" TargetMode="External"/><Relationship Id="rId10" Type="http://schemas.openxmlformats.org/officeDocument/2006/relationships/hyperlink" Target="http://www.sec.gov/Archives/edgar/data/30305/000119312519321137/d834392dex101.htm" TargetMode="External"/><Relationship Id="rId11" Type="http://schemas.openxmlformats.org/officeDocument/2006/relationships/hyperlink" Target="http://www.sec.gov/Archives/edgar/data/30305/000119312518333904/0001193125-18-333904-index.htm" TargetMode="External"/><Relationship Id="rId12" Type="http://schemas.openxmlformats.org/officeDocument/2006/relationships/hyperlink" Target="http://www.sec.gov/Archives/edgar/data/30305/000119312518093774/d536991ddef14a.htm" TargetMode="External"/><Relationship Id="rId13" Type="http://schemas.openxmlformats.org/officeDocument/2006/relationships/hyperlink" Target="http://www.sec.gov/Archives/edgar/data/30305/000119312520080692/d859194ddef14a.htm" TargetMode="External"/><Relationship Id="rId14" Type="http://schemas.openxmlformats.org/officeDocument/2006/relationships/hyperlink" Target="http://www.sec.gov/Archives/edgar/data/30305/000119312518093774/d536991ddef14a.htm" TargetMode="External"/><Relationship Id="rId15" Type="http://schemas.openxmlformats.org/officeDocument/2006/relationships/hyperlink" Target="http://www.sec.gov/Archives/edgar/data/30305/000119312520080692/d859194ddef14a.htm" TargetMode="External"/><Relationship Id="rId16" Type="http://schemas.openxmlformats.org/officeDocument/2006/relationships/hyperlink" Target="http://www.sec.gov/Archives/edgar/data/30305/000119312504034525/dex108.htm" TargetMode="External"/><Relationship Id="rId17" Type="http://schemas.openxmlformats.org/officeDocument/2006/relationships/hyperlink" Target="http://www.sec.gov/Archives/edgar/data/30305/000162828017002221/dco10-k2016_ex105.htm" TargetMode="External"/><Relationship Id="rId18" Type="http://schemas.openxmlformats.org/officeDocument/2006/relationships/hyperlink" Target="http://www.sec.gov/Archives/edgar/data/30305/000119312518159343/d596690dex47.htm" TargetMode="External"/><Relationship Id="rId19" Type="http://schemas.openxmlformats.org/officeDocument/2006/relationships/hyperlink" Target="http://www.sec.gov/Archives/edgar/data/30305/000162828017002221/dco10-k2016_ex109.htm" TargetMode="External"/><Relationship Id="rId20" Type="http://schemas.openxmlformats.org/officeDocument/2006/relationships/hyperlink" Target="http://www.sec.gov/Archives/edgar/data/30305/000162828017002221/dco10-k2016_ex1011.htm" TargetMode="External"/><Relationship Id="rId21" Type="http://schemas.openxmlformats.org/officeDocument/2006/relationships/hyperlink" Target="http://www.sec.gov/Archives/edgar/data/30305/000162828020011005/dco-q2202010xqex1018.htm" TargetMode="External"/><Relationship Id="rId22" Type="http://schemas.openxmlformats.org/officeDocument/2006/relationships/hyperlink" Target="http://www.sec.gov/Archives/edgar/data/30305/000162828020011005/dco-q2202010xqex1019.htm" TargetMode="External"/><Relationship Id="rId23" Type="http://schemas.openxmlformats.org/officeDocument/2006/relationships/hyperlink" Target="http://www.sec.gov/Archives/edgar/data/30305/000162828020011005/dco-q2202010xqex1020.htm" TargetMode="External"/><Relationship Id="rId24" Type="http://schemas.openxmlformats.org/officeDocument/2006/relationships/hyperlink" Target="http://www.sec.gov/Archives/edgar/data/30305/000162828020011005/dco-q2202010xqex1021.htm" TargetMode="External"/><Relationship Id="rId25" Type="http://schemas.openxmlformats.org/officeDocument/2006/relationships/hyperlink" Target="http://www.sec.gov/Archives/edgar/data/30305/000162828020011005/dco-q2202010xqex1022.htm" TargetMode="External"/><Relationship Id="rId26" Type="http://schemas.openxmlformats.org/officeDocument/2006/relationships/hyperlink" Target="http://www.sec.gov/Archives/edgar/data/30305/000119312510036507/dex1015.htm" TargetMode="External"/><Relationship Id="rId27" Type="http://schemas.openxmlformats.org/officeDocument/2006/relationships/hyperlink" Target="http://www.sec.gov/Archives/edgar/data/30305/000119312519301183/0001193125-19-301183-index.htm" TargetMode="External"/><Relationship Id="rId28" Type="http://schemas.openxmlformats.org/officeDocument/2006/relationships/hyperlink" Target="http://www.sec.gov/Archives/edgar/data/30305/000119312517020975/d284517dex991.htm" TargetMode="External"/><Relationship Id="rId29" Type="http://schemas.openxmlformats.org/officeDocument/2006/relationships/hyperlink" Target="http://www.sec.gov/Archives/edgar/data/30305/000119312517020975/d284517dex992.htm" TargetMode="External"/><Relationship Id="rId30" Type="http://schemas.openxmlformats.org/officeDocument/2006/relationships/hyperlink" Target="http://www.sec.gov/Archives/edgar/data/30305/000119312517005088/d321215dex991.htm" TargetMode="External"/><Relationship Id="rId31" Type="http://schemas.openxmlformats.org/officeDocument/2006/relationships/hyperlink" Target="http://www.sec.gov/Archives/edgar/data/30305/000119312519184565/d637016dex101.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18635</Words>
  <CharactersWithSpaces>117500</CharactersWithSpaces>
  <Paragraphs>2604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