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34" w:lineRule="exact"/>
        <w:rPr>
          <w:sz w:val="24"/>
          <w:szCs w:val="24"/>
          <w:color w:val="auto"/>
        </w:rPr>
      </w:pPr>
    </w:p>
    <w:p>
      <w:pPr>
        <w:ind w:left="940" w:right="680" w:hanging="624"/>
        <w:spacing w:after="0" w:line="181" w:lineRule="auto"/>
        <w:tabs>
          <w:tab w:leader="none" w:pos="940" w:val="left"/>
        </w:tabs>
        <w:numPr>
          <w:ilvl w:val="0"/>
          <w:numId w:val="1"/>
        </w:numPr>
        <w:rPr>
          <w:rFonts w:ascii="Wingdings" w:cs="Wingdings" w:eastAsia="Wingdings" w:hAnsi="Wingdings"/>
          <w:sz w:val="39"/>
          <w:szCs w:val="39"/>
          <w:b w:val="1"/>
          <w:bCs w:val="1"/>
          <w:color w:val="auto"/>
          <w:vertAlign w:val="subscript"/>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1, 2023</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940" w:right="660" w:hanging="624"/>
        <w:spacing w:after="0" w:line="238" w:lineRule="auto"/>
        <w:tabs>
          <w:tab w:leader="none" w:pos="9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001-08174</w:t>
      </w:r>
    </w:p>
    <w:p>
      <w:pPr>
        <w:spacing w:after="0" w:line="31"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DUCOMMUN INCORPORATED</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tbl>
      <w:tblPr>
        <w:tblLayout w:type="fixed"/>
        <w:tblInd w:w="640" w:type="dxa"/>
        <w:tblCellMar>
          <w:top w:w="0" w:type="dxa"/>
          <w:left w:w="0" w:type="dxa"/>
          <w:bottom w:w="0" w:type="dxa"/>
          <w:right w:w="0" w:type="dxa"/>
        </w:tblCellMar>
      </w:tblPr>
      <w:tr>
        <w:trPr>
          <w:trHeight w:val="210"/>
        </w:trPr>
        <w:tc>
          <w:tcPr>
            <w:tcW w:w="7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tc>
        <w:tc>
          <w:tcPr>
            <w:tcW w:w="1160" w:type="dxa"/>
            <w:vAlign w:val="bottom"/>
          </w:tcPr>
          <w:p>
            <w:pPr>
              <w:spacing w:after="0"/>
              <w:rPr>
                <w:sz w:val="18"/>
                <w:szCs w:val="18"/>
                <w:color w:val="auto"/>
              </w:rPr>
            </w:pPr>
          </w:p>
        </w:tc>
      </w:tr>
      <w:tr>
        <w:trPr>
          <w:trHeight w:val="251"/>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95-0693330</w:t>
            </w:r>
          </w:p>
        </w:tc>
      </w:tr>
      <w:tr>
        <w:trPr>
          <w:trHeight w:val="149"/>
        </w:trPr>
        <w:tc>
          <w:tcPr>
            <w:tcW w:w="7360" w:type="dxa"/>
            <w:vAlign w:val="bottom"/>
          </w:tcPr>
          <w:p>
            <w:pPr>
              <w:jc w:val="center"/>
              <w:ind w:right="292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7"/>
        </w:trPr>
        <w:tc>
          <w:tcPr>
            <w:tcW w:w="7360" w:type="dxa"/>
            <w:vAlign w:val="bottom"/>
          </w:tcPr>
          <w:p>
            <w:pPr>
              <w:jc w:val="center"/>
              <w:ind w:right="2921"/>
              <w:spacing w:after="0"/>
              <w:rPr>
                <w:sz w:val="20"/>
                <w:szCs w:val="20"/>
                <w:color w:val="auto"/>
              </w:rPr>
            </w:pPr>
            <w:r>
              <w:rPr>
                <w:rFonts w:ascii="Times New Roman" w:cs="Times New Roman" w:eastAsia="Times New Roman" w:hAnsi="Times New Roman"/>
                <w:sz w:val="18"/>
                <w:szCs w:val="18"/>
                <w:b w:val="1"/>
                <w:bCs w:val="1"/>
                <w:color w:val="auto"/>
                <w:w w:val="99"/>
              </w:rPr>
              <w:t>200 Sandpointe Avenue, Suite 700, Santa Ana, California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92707-5759</w:t>
            </w:r>
          </w:p>
        </w:tc>
      </w:tr>
      <w:tr>
        <w:trPr>
          <w:trHeight w:val="190"/>
        </w:trPr>
        <w:tc>
          <w:tcPr>
            <w:tcW w:w="7360" w:type="dxa"/>
            <w:vAlign w:val="bottom"/>
          </w:tcPr>
          <w:p>
            <w:pPr>
              <w:jc w:val="center"/>
              <w:ind w:right="290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(657) 335-3665</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5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$.01 par value per share</w:t>
            </w:r>
          </w:p>
        </w:tc>
        <w:tc>
          <w:tcPr>
            <w:tcW w:w="2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DCO</w:t>
            </w:r>
          </w:p>
        </w:tc>
        <w:tc>
          <w:tcPr>
            <w:tcW w:w="3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8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w:t>
      </w:r>
    </w:p>
    <w:p>
      <w:pPr>
        <w:spacing w:after="0" w:line="68" w:lineRule="exact"/>
        <w:rPr>
          <w:sz w:val="24"/>
          <w:szCs w:val="24"/>
          <w:color w:val="auto"/>
        </w:rPr>
      </w:pPr>
    </w:p>
    <w:p>
      <w:pPr>
        <w:ind w:right="30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60"/>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Yes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2"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83"/>
        </w:trPr>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7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10"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 w:lineRule="exact"/>
        <w:rPr>
          <w:sz w:val="24"/>
          <w:szCs w:val="24"/>
          <w:color w:val="auto"/>
        </w:rPr>
      </w:pPr>
    </w:p>
    <w:p>
      <w:pPr>
        <w:ind w:right="16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21"/>
          <w:szCs w:val="21"/>
          <w:b w:val="1"/>
          <w:bCs w:val="1"/>
          <w:color w:val="auto"/>
        </w:rPr>
        <w:t>x</w:t>
      </w:r>
      <w:r>
        <w:rPr>
          <w:rFonts w:ascii="Times New Roman" w:cs="Times New Roman" w:eastAsia="Times New Roman" w:hAnsi="Times New Roman"/>
          <w:sz w:val="18"/>
          <w:szCs w:val="18"/>
          <w:color w:val="auto"/>
        </w:rPr>
        <w:t xml:space="preserve"> As of April 25, 2023, the registrant had 12,244,451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3"/>
        </w:trPr>
        <w:tc>
          <w:tcPr>
            <w:tcW w:w="97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r>
              <w:rPr>
                <w:rFonts w:ascii="Times New Roman" w:cs="Times New Roman" w:eastAsia="Times New Roman" w:hAnsi="Times New Roman"/>
                <w:sz w:val="18"/>
                <w:szCs w:val="18"/>
                <w:b w:val="1"/>
                <w:bCs w:val="1"/>
                <w:color w:val="000000"/>
              </w:rPr>
              <w:t>. FINANCIAL INFORMATION</w:t>
            </w: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700" w:type="dxa"/>
            <w:vAlign w:val="bottom"/>
            <w:gridSpan w:val="21"/>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Forward Looking Statements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April 1, 2023 and December 31, 2022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April 1, 2023 and April 2, 2022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April 1, 2023 and April 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2022</w:t>
            </w:r>
          </w:p>
        </w:tc>
        <w:tc>
          <w:tcPr>
            <w:tcW w:w="2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3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Shareholders’ Equity for the Three Months Ended April 1, 2023</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and April 2, 2022</w:t>
            </w:r>
          </w:p>
        </w:tc>
        <w:tc>
          <w:tcPr>
            <w:tcW w:w="7000" w:type="dxa"/>
            <w:vAlign w:val="bottom"/>
            <w:tcBorders>
              <w:top w:val="single" w:sz="8" w:color="0000FF"/>
            </w:tcBorders>
            <w:gridSpan w:val="10"/>
          </w:tcPr>
          <w:p>
            <w:pPr>
              <w:spacing w:after="0"/>
              <w:rPr>
                <w:sz w:val="13"/>
                <w:szCs w:val="13"/>
                <w:color w:val="auto"/>
              </w:rPr>
            </w:pPr>
          </w:p>
        </w:tc>
        <w:tc>
          <w:tcPr>
            <w:tcW w:w="280" w:type="dxa"/>
            <w:vAlign w:val="bottom"/>
            <w:gridSpan w:val="2"/>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2220" w:type="dxa"/>
            <w:vAlign w:val="bottom"/>
            <w:gridSpan w:val="3"/>
          </w:tcPr>
          <w:p>
            <w:pPr>
              <w:spacing w:after="0"/>
              <w:rPr>
                <w:sz w:val="2"/>
                <w:szCs w:val="2"/>
                <w:color w:val="auto"/>
              </w:rPr>
            </w:pPr>
          </w:p>
        </w:tc>
        <w:tc>
          <w:tcPr>
            <w:tcW w:w="36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500" w:type="dxa"/>
            <w:vAlign w:val="bottom"/>
            <w:gridSpan w:val="3"/>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April 1, 2023 and April 2, 2022</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120" w:type="dxa"/>
            <w:vAlign w:val="bottom"/>
            <w:gridSpan w:val="5"/>
          </w:tcPr>
          <w:p>
            <w:pPr>
              <w:spacing w:after="0"/>
              <w:rPr>
                <w:sz w:val="22"/>
                <w:szCs w:val="22"/>
                <w:color w:val="auto"/>
              </w:rPr>
            </w:pPr>
          </w:p>
        </w:tc>
        <w:tc>
          <w:tcPr>
            <w:tcW w:w="500" w:type="dxa"/>
            <w:vAlign w:val="bottom"/>
            <w:gridSpan w:val="3"/>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2.</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160" w:type="dxa"/>
            <w:vAlign w:val="bottom"/>
            <w:gridSpan w:val="5"/>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4"/>
          </w:tcPr>
          <w:p>
            <w:pPr>
              <w:spacing w:after="0"/>
              <w:rPr>
                <w:sz w:val="22"/>
                <w:szCs w:val="22"/>
                <w:color w:val="auto"/>
              </w:rPr>
            </w:pPr>
          </w:p>
        </w:tc>
        <w:tc>
          <w:tcPr>
            <w:tcW w:w="4260" w:type="dxa"/>
            <w:vAlign w:val="bottom"/>
            <w:gridSpan w:val="7"/>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7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w:t>
            </w:r>
            <w:r>
              <w:rPr>
                <w:rFonts w:ascii="Times New Roman" w:cs="Times New Roman" w:eastAsia="Times New Roman" w:hAnsi="Times New Roman"/>
                <w:sz w:val="18"/>
                <w:szCs w:val="18"/>
                <w:b w:val="1"/>
                <w:bCs w:val="1"/>
                <w:color w:val="000000"/>
              </w:rPr>
              <w:t>. OTHER INFORMATION</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80" w:type="dxa"/>
            <w:vAlign w:val="bottom"/>
            <w:gridSpan w:val="1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280" w:type="dxa"/>
            <w:vAlign w:val="bottom"/>
            <w:gridSpan w:val="12"/>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00" w:type="dxa"/>
            <w:vAlign w:val="bottom"/>
            <w:gridSpan w:val="14"/>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840" w:type="dxa"/>
            <w:vAlign w:val="bottom"/>
            <w:gridSpan w:val="11"/>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Item 6.</w:t>
            </w:r>
          </w:p>
        </w:tc>
        <w:tc>
          <w:tcPr>
            <w:tcW w:w="8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within the meaning of the Private Securities Litigation Reform Act of 1995. Forward-looking statements may be preceded by, followed by or include words such as “could,” “may,” “believe,” “expect,” “anticipate,” “plan,” “estimate,” “expect,” “would,” or similar expressions. These statements are based on the beliefs and assumptions of our management at the time such statements are made. Generally, forward-looking statements include information concerning our possible or assumed future actions, events or results of operations. Forward-looking statements specifically include, without limitation, the information in this Form 10-Q regarding: future sales, earnings, cash flow, uses of cash and other measures of financial performance, projections or expectations for future operations, including costs to complete contracts, goodwill impairment evaluations, unrecognized tax benefits and effective tax rate, environmental remediation costs, insurance recoveries, industry trends and expectations, including ramp up times for build rates, our plans with respect to restructuring activities, completed acquisitions, future acquisitions and dispositions and expected business opportunities that may be available to us.</w:t>
      </w:r>
    </w:p>
    <w:p>
      <w:pPr>
        <w:spacing w:after="0" w:line="13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based on reasonable assumptions, these forward-looking statements are subject to numerous factors, risks and uncertainties that could cause actual outcomes and results to be materially different from those projected. We cannot guarantee future results, performance or achievements. Moreover, neither we nor any other person assumes responsibility for the accuracy and completeness of the forward-looking statements. All written and oral forward-looking statements made in connection with this Form 10-Q that are attributable to us or persons acting on our behalf are expressly qualified in their entirety by the “Risk Factors” contained within Part I, Item 1A of our Annual Report on Form 10-K for the year ended December 31, 2022 (“Form 10-K”).</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other factors will not affect the accuracy of these forward-looking statements or that our actual results will not differ materially from the results anticipated in such forward-looking statements. While it is impossible to identify all such factors, some factors that could cause actual results to differ materially from those estimated by us include, but are not limited to, those factors or conditions described under Risk Factors contained within Part I, Item 1A of our Form 10-K and the following:</w:t>
      </w:r>
    </w:p>
    <w:p>
      <w:pPr>
        <w:spacing w:after="0" w:line="72"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otherwise comply with our covenants with respect to our outstanding indebtedness;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rFonts w:ascii="Times New Roman" w:cs="Times New Roman" w:eastAsia="Times New Roman" w:hAnsi="Times New Roman"/>
          <w:sz w:val="18"/>
          <w:szCs w:val="18"/>
          <w:color w:val="auto"/>
        </w:rPr>
      </w:pPr>
    </w:p>
    <w:p>
      <w:pPr>
        <w:ind w:left="980" w:right="32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business combinations, joint ventures, divestitures, or restructuring activities may entail certain operational and financial risks;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our end-use markets and the level of new commercial and military aircraft orders;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customer concentration;</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rates for various commercial and military aircraft programs;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U.S. Government defense spending;</w:t>
      </w:r>
    </w:p>
    <w:p>
      <w:pPr>
        <w:spacing w:after="0" w:line="117" w:lineRule="exact"/>
        <w:rPr>
          <w:rFonts w:ascii="Times New Roman" w:cs="Times New Roman" w:eastAsia="Times New Roman" w:hAnsi="Times New Roman"/>
          <w:sz w:val="18"/>
          <w:szCs w:val="18"/>
          <w:color w:val="auto"/>
        </w:rPr>
      </w:pPr>
    </w:p>
    <w:p>
      <w:pPr>
        <w:ind w:left="980" w:right="50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regulatory requirements and changes in regulatory requirements, including regulatory requirements such as Cybersecurity Maturity Model Certification (“CMMC”), applicable to government contracts and sub-contracts;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consolidation of customers and suppliers in our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delivery;</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start-up costs, manufacturing inefficiencies and possible overruns on contracts;</w:t>
      </w:r>
    </w:p>
    <w:p>
      <w:pPr>
        <w:spacing w:after="0" w:line="117" w:lineRule="exact"/>
        <w:rPr>
          <w:rFonts w:ascii="Times New Roman" w:cs="Times New Roman" w:eastAsia="Times New Roman" w:hAnsi="Times New Roman"/>
          <w:sz w:val="18"/>
          <w:szCs w:val="18"/>
          <w:color w:val="auto"/>
        </w:rPr>
      </w:pPr>
    </w:p>
    <w:p>
      <w:pPr>
        <w:ind w:left="980" w:right="140" w:hanging="648"/>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design, product development, manufacturing, supply chain and other risks and uncertainties associated with our growth strategy to become a supplier of higher-level assemblies;</w:t>
      </w:r>
    </w:p>
    <w:p>
      <w:pPr>
        <w:spacing w:after="0" w:line="53"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risks associated with international operations and sales;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geopolitical developments and conditions, including supply chain shortages and rising interest rates;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social, and governance (“ESG”) developments and related impact;</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such as COVID-19, significantly impacting the global economy and most significantly, the commercial aerospace end-use market;</w:t>
      </w:r>
    </w:p>
    <w:p>
      <w:pPr>
        <w:spacing w:after="0" w:line="128" w:lineRule="exact"/>
        <w:rPr>
          <w:rFonts w:ascii="Times New Roman" w:cs="Times New Roman" w:eastAsia="Times New Roman" w:hAnsi="Times New Roman"/>
          <w:sz w:val="17"/>
          <w:szCs w:val="17"/>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natural or otherwise, damaging or disrupting our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in the global credit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within highly competitive markets;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changes and evolving industry and regulatory standards;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goodwill and other asset impairments;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environmental liabilities;</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cyber security attacks or not being able to detect such attacks; and</w:t>
      </w:r>
    </w:p>
    <w:p>
      <w:pPr>
        <w:spacing w:after="0" w:line="11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respect to us.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the reader that undue reliance should not be placed on any forward-looking statements, which speak only as of the date of this Form 10-Q. We do not undertake any duty or responsibility to update any of these forward-looking statements to reflect events or circumstances after the date of this Form 10-Q except as required by law.</w:t>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April 1,</w:t>
            </w:r>
          </w:p>
        </w:tc>
        <w:tc>
          <w:tcPr>
            <w:tcW w:w="24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$905 and $589 at April 1, 2023 and December</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2022, respectively</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191,290</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171,211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527,336</w:t>
            </w: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$175,670 and $171,507 at April 1, 2023 and</w:t>
            </w: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106,225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203,407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90,143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w:t>
            </w:r>
          </w:p>
        </w:tc>
        <w:tc>
          <w:tcPr>
            <w:tcW w:w="0" w:type="dxa"/>
            <w:vAlign w:val="bottom"/>
          </w:tcPr>
          <w:p>
            <w:pPr>
              <w:spacing w:after="0"/>
              <w:rPr>
                <w:sz w:val="1"/>
                <w:szCs w:val="1"/>
                <w:color w:val="auto"/>
              </w:rPr>
            </w:pPr>
          </w:p>
        </w:tc>
      </w:tr>
      <w:tr>
        <w:trPr>
          <w:trHeight w:val="229"/>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495,546</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8, 10)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 $0.01 par value; 35,000,000 shares authorized; 12,231,704 and 12,106,285 shares issued</w:t>
            </w: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at April 1, 2023 and December 31, 2022, respectively</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406,052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525,960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63"/>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April 1,</w:t>
            </w:r>
          </w:p>
        </w:tc>
        <w:tc>
          <w:tcPr>
            <w:tcW w:w="24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Times New Roman" w:cs="Times New Roman" w:eastAsia="Times New Roman" w:hAnsi="Times New Roman"/>
                <w:sz w:val="14"/>
                <w:szCs w:val="14"/>
                <w:color w:val="auto"/>
              </w:rPr>
              <w:t>April 2,</w:t>
            </w:r>
          </w:p>
        </w:tc>
        <w:tc>
          <w:tcPr>
            <w:tcW w:w="0" w:type="dxa"/>
            <w:vAlign w:val="bottom"/>
          </w:tcPr>
          <w:p>
            <w:pPr>
              <w:spacing w:after="0"/>
              <w:rPr>
                <w:sz w:val="1"/>
                <w:szCs w:val="1"/>
                <w:color w:val="auto"/>
              </w:rPr>
            </w:pPr>
          </w:p>
        </w:tc>
      </w:tr>
      <w:tr>
        <w:trPr>
          <w:trHeight w:val="193"/>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163,481</w:t>
            </w:r>
          </w:p>
        </w:tc>
        <w:tc>
          <w:tcPr>
            <w:tcW w:w="0" w:type="dxa"/>
            <w:vAlign w:val="bottom"/>
          </w:tcPr>
          <w:p>
            <w:pPr>
              <w:spacing w:after="0"/>
              <w:rPr>
                <w:sz w:val="1"/>
                <w:szCs w:val="1"/>
                <w:color w:val="auto"/>
              </w:rPr>
            </w:pPr>
          </w:p>
        </w:tc>
      </w:tr>
      <w:tr>
        <w:trPr>
          <w:trHeight w:val="23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131,006</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32,475</w:t>
            </w:r>
          </w:p>
        </w:tc>
        <w:tc>
          <w:tcPr>
            <w:tcW w:w="0" w:type="dxa"/>
            <w:vAlign w:val="bottom"/>
          </w:tcPr>
          <w:p>
            <w:pPr>
              <w:spacing w:after="0"/>
              <w:rPr>
                <w:sz w:val="1"/>
                <w:szCs w:val="1"/>
                <w:color w:val="auto"/>
              </w:rPr>
            </w:pP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(4,219)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48"/>
        </w:trPr>
        <w:tc>
          <w:tcPr>
            <w:tcW w:w="8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April 1,</w:t>
            </w:r>
          </w:p>
        </w:tc>
        <w:tc>
          <w:tcPr>
            <w:tcW w:w="240" w:type="dxa"/>
            <w:vAlign w:val="bottom"/>
          </w:tcPr>
          <w:p>
            <w:pPr>
              <w:spacing w:after="0"/>
              <w:rPr>
                <w:sz w:val="14"/>
                <w:szCs w:val="14"/>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April 2,</w:t>
            </w:r>
          </w:p>
        </w:tc>
      </w:tr>
      <w:tr>
        <w:trPr>
          <w:trHeight w:val="193"/>
        </w:trPr>
        <w:tc>
          <w:tcPr>
            <w:tcW w:w="8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30"/>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4"/>
        </w:trPr>
        <w:tc>
          <w:tcPr>
            <w:tcW w:w="87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actuarial losses and prior service costs, net of tax of $13 and $36 for the three months ended April</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34"/>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 2023 and April 2, 2022, respectively</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184"/>
        </w:trPr>
        <w:tc>
          <w:tcPr>
            <w:tcW w:w="878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Change in net unrealized (losses) gains on cash flow hedges, net of tax of $662 and $1,509 for the three months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8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ended April 1, 2023 and April 2, 2022, respectively</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w:t>
            </w:r>
          </w:p>
        </w:tc>
      </w:tr>
      <w:tr>
        <w:trPr>
          <w:trHeight w:val="223"/>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3"/>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13,112</w:t>
            </w:r>
          </w:p>
        </w:tc>
      </w:tr>
      <w:tr>
        <w:trPr>
          <w:trHeight w:val="21"/>
        </w:trPr>
        <w:tc>
          <w:tcPr>
            <w:tcW w:w="8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3"/>
                <w:szCs w:val="13"/>
                <w:color w:val="auto"/>
              </w:rPr>
            </w:pPr>
          </w:p>
        </w:tc>
        <w:tc>
          <w:tcPr>
            <w:tcW w:w="980" w:type="dxa"/>
            <w:vAlign w:val="bottom"/>
            <w:vMerge w:val="restart"/>
          </w:tcPr>
          <w:p>
            <w:pPr>
              <w:jc w:val="center"/>
              <w:ind w:right="33"/>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Common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98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Outstanding</w:t>
            </w:r>
          </w:p>
        </w:tc>
        <w:tc>
          <w:tcPr>
            <w:tcW w:w="12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11,925,087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104,253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377,263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474,602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117,387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2, 2022</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12,032,945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487,706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12,106,285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525,960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 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repurchased related to the exercise of stock</w:t>
            </w: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and stock awards 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April 1,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12,231,704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411,283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528,384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87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April 1,</w:t>
            </w:r>
          </w:p>
        </w:tc>
        <w:tc>
          <w:tcPr>
            <w:tcW w:w="320" w:type="dxa"/>
            <w:vAlign w:val="bottom"/>
          </w:tcPr>
          <w:p>
            <w:pPr>
              <w:spacing w:after="0"/>
              <w:rPr>
                <w:sz w:val="14"/>
                <w:szCs w:val="14"/>
                <w:color w:val="auto"/>
              </w:rPr>
            </w:pP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color w:val="auto"/>
              </w:rPr>
              <w:t>April 2,</w:t>
            </w:r>
          </w:p>
        </w:tc>
      </w:tr>
      <w:tr>
        <w:trPr>
          <w:trHeight w:val="193"/>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color w:val="auto"/>
              </w:rPr>
              <w:t>2022</w:t>
            </w: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8,099</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Inventory write down and property and equipment impairment due to restructuring</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Recognition of insurance recoveries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Contract assets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w:t>
            </w:r>
          </w:p>
        </w:tc>
      </w:tr>
      <w:tr>
        <w:trPr>
          <w:trHeight w:val="229"/>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Production cost of contracts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r>
      <w:tr>
        <w:trPr>
          <w:trHeight w:val="230"/>
        </w:trPr>
        <w:tc>
          <w:tcPr>
            <w:tcW w:w="80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Contract liabilities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r>
      <w:tr>
        <w:trPr>
          <w:trHeight w:val="230"/>
        </w:trPr>
        <w:tc>
          <w:tcPr>
            <w:tcW w:w="80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r>
      <w:tr>
        <w:trPr>
          <w:trHeight w:val="230"/>
        </w:trPr>
        <w:tc>
          <w:tcPr>
            <w:tcW w:w="8020" w:type="dxa"/>
            <w:vAlign w:val="bottom"/>
            <w:tcBorders>
              <w:bottom w:val="single" w:sz="8" w:color="CCEEFF"/>
            </w:tcBorders>
          </w:tcPr>
          <w:p>
            <w:pPr>
              <w:ind w:left="9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(11,038)</w:t>
            </w:r>
          </w:p>
        </w:tc>
      </w:tr>
      <w:tr>
        <w:trPr>
          <w:trHeight w:val="223"/>
        </w:trPr>
        <w:tc>
          <w:tcPr>
            <w:tcW w:w="80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(18,851)</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02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(4,774)</w:t>
            </w: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Borrowings from senior secured revolving credit facility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senior secured revolving credit facility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term loans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(31,750)</w:t>
            </w:r>
          </w:p>
        </w:tc>
      </w:tr>
      <w:tr>
        <w:trPr>
          <w:trHeight w:val="230"/>
        </w:trPr>
        <w:tc>
          <w:tcPr>
            <w:tcW w:w="80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Repayments of other debt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80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paid upon issuance of common stock under stock plans</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3"/>
        </w:trPr>
        <w:tc>
          <w:tcPr>
            <w:tcW w:w="802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(33,431)</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76,316</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Ducommun Incorporated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of innovative, value-added proprietary products and manufacturing solutions for high-performance products and high-cost-of failure applications used primarily in the aerospace and defense (“A&amp;D”), industrial, medical and other industries (collectively, “Industrial”). Our operations are organized into two primary businesses: the Electronic Systems segment (“Electronic Systems”) and the Structural Systems segment (“Structural Systems”), each of which is a reportable operating segment. Electronic Systems designs, engineers and manufactures high-reliability electronic and electromechanical products used in worldwide technology-driven markets including A&amp;D and Industrial end-use markets. Electronic Systems’ product offerings primarily range from prototype development to complex assemblies. Structural Systems designs, engineers and manufactures large, complex contoured aerostructure components and assemblies and supplies composite and metal bonded structures and assemblies. Structural Systems’ products are primarily used on commercial aircraft, military fixed-wing aircraft, and military and commercial rotary-wing aircraft. Both reportable operating segments follow the same accounting principles.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Ducommun Incorporated and its subsidiaries (“Ducommun,” the “Company,” “we,” “us” or “our”), after eliminating intercompany balances and transactions. The December 31, 2022 condensed consolidated balance sheet data was derived from audited financial statements, but does not contain all disclosures required by accounting principles generally accepted in the United States of America (“GAAP”).</w:t>
      </w:r>
    </w:p>
    <w:p>
      <w:pPr>
        <w:spacing w:after="0" w:line="4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were described in Part IV, Item 15(a)(1), “Note 1. Summary of Significant Accounting Policies” in our Annual Report on Form 10-K for the year ended December 31, 2022 (“2022 Form 10-K”). The financial information included in this Quarterly Report on Form 10-Q (“Form 10-Q”) should be read in conjunction with the 2022 Form 10-K.</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recurring accruals, have been made that are necessary to fairly state our condensed consolidated financial position, statements of income, comprehensive income, changes in shareholders’ equity, and cash flows in accordance with GAAP for the periods covered by this Form 10-Q. The results of operations for the three months ended April 1, 2023 are not necessarily indicative of the results to be expected for the full year ending December 31, 2023.</w:t>
      </w:r>
    </w:p>
    <w:p>
      <w:pPr>
        <w:spacing w:after="0" w:line="5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fiscal quarters typically end on the Saturday closest to the end of March, June and September for the first three fiscal quarters of each year, and on December 31 for our fourth fiscal quarter. As a result of using fiscal quarters for the first three quarters combined with leap years, our first and fourth fiscal quarters can range between 12 1/2 weeks to 13 1/2 weeks while the second and third fiscal quarters remain at a constant 13 weeks per fiscal quarter.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year’s presentation.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amounts and disclosures included in the unaudited condensed consolidated financial statements require management to make estimates and judgments that affect the amounts of assets, liabilities (including contract liabilities), revenues and expenses, and related disclosures of contingent assets and liabilities.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w:t>
      </w:r>
    </w:p>
    <w:p>
      <w:pPr>
        <w:spacing w:after="0" w:line="10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April 25, 2023, subsequent to our quarter ended April 1, 2023, we completed the acquisition of BLR Aerospace, L.L.C. (“BLR”). The purchase price for BLR was $115.0 million, net of cash acquired, all payable in cash. We paid a gross aggregate of $117.0 million in cash upon the closing of the transaction. We utilized the 2022 Revolving Credit Facility to complete the acquisition.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697"/>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58"/>
        </w:trPr>
        <w:tc>
          <w:tcPr>
            <w:tcW w:w="8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April 1,</w:t>
            </w:r>
          </w:p>
        </w:tc>
        <w:tc>
          <w:tcPr>
            <w:tcW w:w="260" w:type="dxa"/>
            <w:vAlign w:val="bottom"/>
          </w:tcPr>
          <w:p>
            <w:pPr>
              <w:spacing w:after="0"/>
              <w:rPr>
                <w:sz w:val="13"/>
                <w:szCs w:val="13"/>
                <w:color w:val="auto"/>
              </w:rPr>
            </w:pPr>
          </w:p>
        </w:tc>
        <w:tc>
          <w:tcPr>
            <w:tcW w:w="1060" w:type="dxa"/>
            <w:vAlign w:val="bottom"/>
          </w:tcPr>
          <w:p>
            <w:pPr>
              <w:jc w:val="right"/>
              <w:ind w:right="357"/>
              <w:spacing w:after="0" w:line="159" w:lineRule="exact"/>
              <w:rPr>
                <w:sz w:val="20"/>
                <w:szCs w:val="20"/>
                <w:color w:val="auto"/>
              </w:rPr>
            </w:pPr>
            <w:r>
              <w:rPr>
                <w:rFonts w:ascii="Times New Roman" w:cs="Times New Roman" w:eastAsia="Times New Roman" w:hAnsi="Times New Roman"/>
                <w:sz w:val="14"/>
                <w:szCs w:val="14"/>
                <w:color w:val="auto"/>
              </w:rPr>
              <w:t>April 2,</w:t>
            </w:r>
          </w:p>
        </w:tc>
      </w:tr>
      <w:tr>
        <w:trPr>
          <w:trHeight w:val="196"/>
        </w:trPr>
        <w:tc>
          <w:tcPr>
            <w:tcW w:w="84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paid,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4"/>
        </w:trPr>
        <w:tc>
          <w:tcPr>
            <w:tcW w:w="8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not paid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0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income available to common shareholders by the weighted-average number of common shares outstanding in each period. Diluted earnings per share is computed by dividing income available to common shareholders by the weighted-average number of common shares outstanding, plus any potentially dilutive shares that could be issued if exercised or converted into common stock in each period.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income and weighted-average common shares outstanding used to compute earnings per share were as follows:</w:t>
      </w:r>
    </w:p>
    <w:p>
      <w:pPr>
        <w:spacing w:after="0" w:line="4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spacing w:after="0" w:line="4"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4"/>
          <w:szCs w:val="14"/>
          <w:color w:val="auto"/>
        </w:rPr>
        <w:t>except per share data)</w:t>
      </w:r>
    </w:p>
    <w:p>
      <w:pPr>
        <w:spacing w:after="0" w:line="12"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1,</w:t>
            </w:r>
          </w:p>
        </w:tc>
        <w:tc>
          <w:tcPr>
            <w:tcW w:w="260" w:type="dxa"/>
            <w:vAlign w:val="bottom"/>
          </w:tcPr>
          <w:p>
            <w:pPr>
              <w:spacing w:after="0"/>
              <w:rPr>
                <w:sz w:val="13"/>
                <w:szCs w:val="13"/>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color w:val="auto"/>
              </w:rPr>
              <w:t>April 2,</w:t>
            </w:r>
          </w:p>
        </w:tc>
        <w:tc>
          <w:tcPr>
            <w:tcW w:w="0" w:type="dxa"/>
            <w:vAlign w:val="bottom"/>
          </w:tcPr>
          <w:p>
            <w:pPr>
              <w:spacing w:after="0"/>
              <w:rPr>
                <w:sz w:val="1"/>
                <w:szCs w:val="1"/>
                <w:color w:val="auto"/>
              </w:rPr>
            </w:pPr>
          </w:p>
        </w:tc>
      </w:tr>
      <w:tr>
        <w:trPr>
          <w:trHeight w:val="193"/>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5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Potentially dilutive stock awards, as shown below, were excluded from the computation of diluted earnings per share because their inclusion would have been anti-dilutive. However, these awards may be potentially dilutive common shares in the future.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center"/>
              <w:ind w:right="568"/>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r>
      <w:tr>
        <w:trPr>
          <w:trHeight w:val="203"/>
        </w:trPr>
        <w:tc>
          <w:tcPr>
            <w:tcW w:w="8480" w:type="dxa"/>
            <w:vAlign w:val="bottom"/>
          </w:tcPr>
          <w:p>
            <w:pPr>
              <w:spacing w:after="0"/>
              <w:rPr>
                <w:sz w:val="17"/>
                <w:szCs w:val="17"/>
                <w:color w:val="auto"/>
              </w:rPr>
            </w:pPr>
          </w:p>
        </w:tc>
        <w:tc>
          <w:tcPr>
            <w:tcW w:w="2460" w:type="dxa"/>
            <w:vAlign w:val="bottom"/>
            <w:gridSpan w:val="4"/>
          </w:tcPr>
          <w:p>
            <w:pPr>
              <w:jc w:val="center"/>
              <w:ind w:left="248"/>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7"/>
                <w:szCs w:val="17"/>
                <w:color w:val="auto"/>
              </w:rPr>
            </w:pPr>
          </w:p>
        </w:tc>
      </w:tr>
      <w:tr>
        <w:trPr>
          <w:trHeight w:val="163"/>
        </w:trPr>
        <w:tc>
          <w:tcPr>
            <w:tcW w:w="8480" w:type="dxa"/>
            <w:vAlign w:val="bottom"/>
          </w:tcPr>
          <w:p>
            <w:pPr>
              <w:spacing w:after="0"/>
              <w:rPr>
                <w:sz w:val="14"/>
                <w:szCs w:val="14"/>
                <w:color w:val="auto"/>
              </w:rPr>
            </w:pPr>
          </w:p>
        </w:tc>
        <w:tc>
          <w:tcPr>
            <w:tcW w:w="94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rPr>
              <w:t>April 1,</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April 2,</w:t>
            </w:r>
          </w:p>
        </w:tc>
        <w:tc>
          <w:tcPr>
            <w:tcW w:w="300" w:type="dxa"/>
            <w:vAlign w:val="bottom"/>
          </w:tcPr>
          <w:p>
            <w:pPr>
              <w:spacing w:after="0"/>
              <w:rPr>
                <w:sz w:val="14"/>
                <w:szCs w:val="14"/>
                <w:color w:val="auto"/>
              </w:rPr>
            </w:pPr>
          </w:p>
        </w:tc>
      </w:tr>
      <w:tr>
        <w:trPr>
          <w:trHeight w:val="193"/>
        </w:trPr>
        <w:tc>
          <w:tcPr>
            <w:tcW w:w="9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2023</w:t>
            </w:r>
          </w:p>
        </w:tc>
        <w:tc>
          <w:tcPr>
            <w:tcW w:w="15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Pr>
          <w:p>
            <w:pPr>
              <w:spacing w:after="0"/>
              <w:rPr>
                <w:sz w:val="16"/>
                <w:szCs w:val="16"/>
                <w:color w:val="auto"/>
              </w:rPr>
            </w:pPr>
          </w:p>
        </w:tc>
      </w:tr>
      <w:tr>
        <w:trPr>
          <w:trHeight w:val="228"/>
        </w:trPr>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and stock units</w:t>
            </w: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w:t>
      </w:r>
    </w:p>
    <w:p>
      <w:pPr>
        <w:spacing w:after="0" w:line="10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Assets and liabilities that are measured, recorded or disclosed at fair value on a recurring basis are categorized using the fair value hierarchy. The fair value hierarchy has three levels based on the reliability of the inputs used to determine the fair value. Level 1, the highest level, refers to the values determined based on quoted prices in active markets for identical assets. Level 2 refers to fair values estimated using significant observable inputs. Level 3, the lowest level, includes fair values estimated using significant unobservable inputs.</w:t>
      </w:r>
    </w:p>
    <w:p>
      <w:pPr>
        <w:spacing w:after="0" w:line="58"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money market funds which are included as cash and cash equivalents. We also have forward interest rate swap agreements and the fair value of the forward interest rate swap agreements was determined using pricing models that use observable market inputs as of the balance sheet date, a Level 2 measurement.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financial instruments in the three months ended April 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instruments purchased with original maturities of three months or less. These assets are valued at cost, which approximates fair value, and we classify as Level 1. See Fair Value above.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Instruments</w:t>
      </w:r>
    </w:p>
    <w:p>
      <w:pPr>
        <w:spacing w:after="0" w:line="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recognize derivative instruments on our condensed consolidated balance sheets at their fair value. On the date that we enter into a derivative contract, we designate the derivative instrument as a fair value hedge, a cash flow hedge, or a derivative instrument that will not be accounted for using hedge accounting methods. In November 2021, we entered into forward interest rate swap agreements with an aggregate notional amount of $150.0 million, all with an effective date of January 1, 2024 (“Forward Interest Rate Swaps”) to manage our exposure to interest rate movements on a portion of our debt. As such, at the time we entered into the Forward Interest Rate Swaps, there was a high probability of forecasted interest payments on our debts occurring and the swaps are highly effective in offsetting those interest payments and therefore, we elected to apply cash flow hedge accounting. In July 2022, as a result of refinancing all our existing debt, which allows borrowing based on a Secured Overnight Financing Rate (“SOFR”), we were required to complete an amendment of the Forward Interest Rate Swaps from One Month London Interbank Offered Rate (“LIBOR”) to One Month Term SOFR (“Amended Forward Interest Rate Swaps”), which occurred on the same day. After the transition of the Forward Interest Rate Swaps and debt to SOFR was completed, we determined the hedging relationship was still highly effective as of the amendment date. See Note 7. As of April 1, 2023, all of our derivative instruments were designated as cash flow hedges.</w:t>
      </w:r>
    </w:p>
    <w:p>
      <w:pPr>
        <w:spacing w:after="0" w:line="7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record changes in the fair value of a derivative instrument that is highly effective and that is designated and qualifies as a cash flow hedge in other comprehensive income (loss), net of tax until our earnings are affected by the variability of cash flows of the underlying hedged item. We report changes in the fair values of derivative instruments that are not designated or do not qualify for hedge accounting in current period earnings. We classify cash flows from derivative instruments in the condensed consolidated statements of cash flows in the same category as the item being hedged or on a basis consistent with the nature of the instrument. Since the Amended Forward Interest Rate Swaps are not effective until January 1, 2024, we only record the changes in fair value of the derivative instruments that were highly effective and that were designated and qualified as cash flow hedges. As such, during the three months ended April 1, 2023 and April 2, 2022, we recorded the unrealized gain (loss) to other comprehensive income (loss) of $(2.1) million and $4.9 million, respectively, and the associated change to other current assets, other assets, and deferred income taxes.</w:t>
      </w:r>
    </w:p>
    <w:p>
      <w:pPr>
        <w:spacing w:after="0" w:line="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When we determine that a derivative instrument is not highly effective as a hedge, we discontinue hedge accounting prospectively. In all situations in which we discontinue hedge accounting and the derivative instrument remains outstanding, we will carry the derivative instrument at its fair value on our condensed consolidated balance sheets and recognize subsequent changes in its fair value in our current period earnings.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Inventories</w:t>
      </w:r>
    </w:p>
    <w:p>
      <w:pPr>
        <w:spacing w:after="0" w:line="1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being determined using a moving average cost basis for raw materials and actual cost for work-in-process and finished goods. The majority of our inventory is charged to cost of sales as raw materials are placed into production. Inventoried costs include raw materials, outside processing, direct labor and allocated overhead, adjusted for any abnormal amounts of idle performance center expense, freight, handling costs, and wasted materials (spoilage) incurred. We assess the inventory carrying value and reduce it, if necessary, to its net realizable value based on customer orders on hand, and internal demand forecasts using management’s best estimates given information currently available. The majority of our revenues are recognized over time, however, for revenue contracts where revenue is recognized using the point in time method, inventory is not reduced until it is shipped or transfer of control to the customer has occurred. Our ending inventory consists of raw materials, work-in-process, and finished goods.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Income</w:t>
      </w:r>
    </w:p>
    <w:p>
      <w:pPr>
        <w:spacing w:after="0" w:line="90" w:lineRule="exact"/>
        <w:rPr>
          <w:sz w:val="20"/>
          <w:szCs w:val="20"/>
          <w:color w:val="auto"/>
        </w:rPr>
      </w:pPr>
    </w:p>
    <w:p>
      <w:pPr>
        <w:jc w:val="both"/>
        <w:ind w:right="78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income, as reflected on the condensed consolidated balance sheets under the equity section, was comprised of cumulative pension and retirement liability adjustments, net of tax, and change in net unrealized gains and losses on cash flow hedges, net of tax.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customers typically engage us to manufacture products based on designs and specifications provided by the end-use customer. This requires the building of tooling and manufacturing first article inspection products (prototypes) before volume manufacturing. Contracts with our customers generally include a termination for convenience clause.</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have a significant number of contracts that are started and completed within the same year, as well as contracts derived from long-term agreements and programs that can span several years. We recognize revenue under ASC 606, “Revenue from Contracts with Customers” (“ASC 606”), which utilizes a five-step model.</w:t>
      </w:r>
    </w:p>
    <w:p>
      <w:pPr>
        <w:spacing w:after="0" w:line="54"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definition of a contract for us is typically defined as a customer purchase order as this is when we achieve an enforceable right to payment. The majority of our contracts are firm fixed-price contracts. The deliverables within a customer purchase order are analyzed to determine the number of performance obligations. In addition, at times, in order to achieve economies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scale and based on our customer’s forecasted demand, we may build in advance of receiving a purchase order from our customer. When that occurs, we would not recognize revenue until we have received the customer purchase order.</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A contract’s transaction price is allocated to each distinct performance obligation and recognized as revenue when, or as, control is transferred and the performance obligation is satisfied. The majority of our contracts have a single performance obligation as the promise to transfer the individual goods or services are highly interrelated or met the series guidance. For contracts with multiple performance obligations, we allocate the contract transaction price to each performance obligation using our best estimate of the standalone selling price of each distinct good or service in the contract. The primary method used to estimate the standalone selling price is the expected cost plus a margin approach, under which we forecast our expected costs of satisfying a performance obligation and then add an appropriate margin for that distinct good or service.</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manufacture most products to customer specifications and the product cannot be easily modified for another customer. As such, these products are deemed to have no alternative use once the manufacturing process begins. In the event the customer invokes a termination for convenience clause, we would be entitled to costs incurred to date plus a reasonable profit. Contract costs typically include labor, materials, overhead, and when applicable, subcontractor costs. For most of our products, we are building assets with no alternative use and have enforceable right to payment, and thus, we recognize revenue using the over time method.</w:t>
      </w:r>
    </w:p>
    <w:p>
      <w:pPr>
        <w:spacing w:after="0" w:line="6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majority of our performance obligations are satisfied over time as work progresses. Typically, revenue is recognized over time using an input measure (i.e., costs incurred to date relative to total estimated costs at completion, also known as cost-to-cost plus reasonable profit) to measure progress. Our typical revenue contract is a firm fixed price contract, and the cost of raw materials could make up a significant amount of the total costs incurred. As such, we believe using the total costs incurred input method would be the most appropriate method. While the cost of raw materials could make up a significant amount of the total costs incurred, there is a direct relationship between our inputs and the transfer of control of goods or services to the customer.</w:t>
      </w:r>
    </w:p>
    <w:p>
      <w:pPr>
        <w:spacing w:after="0" w:line="3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Contract estimates are based on various assumptions to project the outcome of future events that can span multiple months or years. These assumptions include labor productivity and availability; the complexity of the work to be performed; the cost and availability of materials; and the performance of subcontractors.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significant change in one or more of these estimates could affect the progress completed (and related profitability) on our contracts, we review and update our contract-related estimates on a regular basis. We recognize such adjustments under the cumulative catch-up method. Under this method, the impact of the adjustment is recognized in the period the adjustment is identified. Revenue and profit in future periods of contract performance is recognized using the adjusted estimate.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adjustments in contract estimates on our operating earnings can be reflected in either operating costs and expenses or revenue.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cumulative catch up adjustments on gross profit recorded were not material for both the three months ended April 1, 2023 and April 2, 2022.</w:t>
      </w:r>
    </w:p>
    <w:p>
      <w:pPr>
        <w:spacing w:after="0" w:line="10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Payments under long-term contracts may be received before or after revenue is recognized. When revenue is recognized before we bill our customer, a contract asset is created for the work performed but not yet billed. Similarly, when we receive payment before we ship our products to our customer and have met the shipping terms, a contract liability is created for the advance or progress payment. When a contract liability and a contract asset exist on the same contract, we report it on a net basis.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record provisions for the total anticipated losses on contracts, considering total estimated costs to complete the contract compared to total anticipated revenues, in the period in which such losses are identified. The provisions for estimated losses on contracts require us to make certain estimates and assumptions, including those with respect to the future revenue under a contract and the future cost to complete the contract. Our estimate of the future cost to complete a contract may include assumptions as to changes in manufacturing efficiency, operating and material costs, and our ability to resolve claims and assertions with our customers. If any of these or other assumptions and estimates do not materialize in the future, we may be required to adjust the provisions for estimated losses on contracts. The provision for estimated losses on contracts is included as part of contract liabilities on the condensed consolidated balance sheets. As of April 1, 2023 and December 31, 2022, provision for estimated losses on contracts were $5.3 million and $3.9 million, respectively.</w:t>
      </w:r>
    </w:p>
    <w:p>
      <w:pPr>
        <w:spacing w:after="0" w:line="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Production cost of contracts includes non-recurring production costs, such as design and engineering costs, and tooling and other special-purpose machinery necessary to build parts as specified in a contract. Production costs of contracts are recorded to cost of sales using the over time revenue recognition model. We review the value of the production cost of contracts on a quarterly basis to ensure when added to the estimated cost to complete, the value is not greater than the estimated realizable value of the related contracts. As of April 1, 2023 and December 31, 2022, production cost of contracts were $5.4 million and $5.7 million,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Assets and Contract Liabilities</w:t>
      </w:r>
    </w:p>
    <w:p>
      <w:pPr>
        <w:spacing w:after="0" w:line="9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Contract assets consist of our right to payment for work performed but not yet billed. Contract assets are transferred to accounts receivable when we bill our customers. We bill our customers when we ship the products and meet the shipping terms within the revenue contract. Contract liabilities consist of advance or progress payments received from our customers prior to the time transfer of control occurs plus the estimated losses on contracts. When a contract liability and a contract asset exist on the same contract, we report it on a net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contract liabilities from revenue contracts with customers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8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1,</w:t>
            </w:r>
          </w:p>
        </w:tc>
        <w:tc>
          <w:tcPr>
            <w:tcW w:w="180" w:type="dxa"/>
            <w:vAlign w:val="bottom"/>
          </w:tcPr>
          <w:p>
            <w:pPr>
              <w:spacing w:after="0"/>
              <w:rPr>
                <w:sz w:val="14"/>
                <w:szCs w:val="14"/>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191,290</w:t>
            </w:r>
          </w:p>
        </w:tc>
      </w:tr>
      <w:tr>
        <w:trPr>
          <w:trHeight w:val="234"/>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47,068</w:t>
            </w:r>
          </w:p>
        </w:tc>
      </w:tr>
    </w:tbl>
    <w:p>
      <w:pPr>
        <w:spacing w:after="0" w:line="23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our contract assets as of April 1, 2023 compared to December 31, 2022 was primarily due to a net increase of products in work in process in the current period.</w:t>
      </w:r>
    </w:p>
    <w:p>
      <w:pPr>
        <w:spacing w:after="0" w:line="2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decrease in our contract liabilities as of April 1, 2023 compared to December 31, 2022 was primarily due to a net decrease of advance or progress payments received from our customers in the current period. We recognized $8.1 million of the contract liabilities as of December 31, 2022 as revenues during the three months ended April 1, 2023.</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Performance obligations are defined as customer placed purchase orders (“POs”) with firm fixed price and firm delivery dates. Our remaining performance obligations as of April 1, 2023 totaled $874.0 million. We anticipate recognizing an estimated 70% of our remaining performance obligations as revenue during the next 12 months with the remaining performance obligations being recognized in the remainder of 2024 and beyond.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by Category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revenue categories disclosed above, the following table reflects our revenue disaggregated by major end-use market: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April 1</w:t>
            </w:r>
          </w:p>
        </w:tc>
        <w:tc>
          <w:tcPr>
            <w:tcW w:w="260" w:type="dxa"/>
            <w:vAlign w:val="bottom"/>
          </w:tcPr>
          <w:p>
            <w:pPr>
              <w:spacing w:after="0"/>
              <w:rPr>
                <w:sz w:val="14"/>
                <w:szCs w:val="14"/>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April 2,</w:t>
            </w:r>
          </w:p>
        </w:tc>
      </w:tr>
      <w:tr>
        <w:trPr>
          <w:trHeight w:val="193"/>
        </w:trPr>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65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2022</w:t>
            </w:r>
          </w:p>
        </w:tc>
      </w:tr>
      <w:tr>
        <w:trPr>
          <w:trHeight w:val="195"/>
        </w:trPr>
        <w:tc>
          <w:tcPr>
            <w:tcW w:w="20" w:type="dxa"/>
            <w:vAlign w:val="bottom"/>
            <w:shd w:val="clear" w:color="auto" w:fill="CCEEFF"/>
          </w:tcPr>
          <w:p>
            <w:pPr>
              <w:spacing w:after="0"/>
              <w:rPr>
                <w:sz w:val="16"/>
                <w:szCs w:val="16"/>
                <w:color w:val="auto"/>
              </w:rPr>
            </w:pPr>
          </w:p>
        </w:tc>
        <w:tc>
          <w:tcPr>
            <w:tcW w:w="8460" w:type="dxa"/>
            <w:vAlign w:val="bottom"/>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65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96,440</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99,334</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54,075</w:t>
            </w:r>
          </w:p>
        </w:tc>
      </w:tr>
      <w:tr>
        <w:trPr>
          <w:trHeight w:val="230"/>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Electronic Systems</w:t>
            </w:r>
          </w:p>
        </w:tc>
        <w:tc>
          <w:tcPr>
            <w:tcW w:w="700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71,820</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15,574</w:t>
            </w:r>
          </w:p>
        </w:tc>
      </w:tr>
      <w:tr>
        <w:trPr>
          <w:trHeight w:val="229"/>
        </w:trPr>
        <w:tc>
          <w:tcPr>
            <w:tcW w:w="20" w:type="dxa"/>
            <w:vAlign w:val="bottom"/>
            <w:tcBorders>
              <w:bottom w:val="single" w:sz="8" w:color="CCEEFF"/>
            </w:tcBorders>
          </w:tcPr>
          <w:p>
            <w:pPr>
              <w:spacing w:after="0"/>
              <w:rPr>
                <w:sz w:val="19"/>
                <w:szCs w:val="19"/>
                <w:color w:val="auto"/>
              </w:rPr>
            </w:pPr>
          </w:p>
        </w:tc>
        <w:tc>
          <w:tcPr>
            <w:tcW w:w="84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698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27,514</w:t>
            </w:r>
          </w:p>
        </w:tc>
      </w:tr>
      <w:tr>
        <w:trPr>
          <w:trHeight w:val="230"/>
        </w:trPr>
        <w:tc>
          <w:tcPr>
            <w:tcW w:w="20" w:type="dxa"/>
            <w:vAlign w:val="bottom"/>
            <w:shd w:val="clear" w:color="auto" w:fill="CCEEFF"/>
          </w:tcPr>
          <w:p>
            <w:pPr>
              <w:spacing w:after="0"/>
              <w:rPr>
                <w:sz w:val="19"/>
                <w:szCs w:val="19"/>
                <w:color w:val="auto"/>
              </w:rPr>
            </w:pPr>
          </w:p>
        </w:tc>
        <w:tc>
          <w:tcPr>
            <w:tcW w:w="8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38,501</w:t>
            </w:r>
          </w:p>
        </w:tc>
      </w:tr>
      <w:tr>
        <w:trPr>
          <w:trHeight w:val="223"/>
        </w:trPr>
        <w:tc>
          <w:tcPr>
            <w:tcW w:w="20" w:type="dxa"/>
            <w:vAlign w:val="bottom"/>
          </w:tcPr>
          <w:p>
            <w:pPr>
              <w:spacing w:after="0"/>
              <w:rPr>
                <w:sz w:val="19"/>
                <w:szCs w:val="19"/>
                <w:color w:val="auto"/>
              </w:rPr>
            </w:pPr>
          </w:p>
        </w:tc>
        <w:tc>
          <w:tcPr>
            <w:tcW w:w="84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66,015</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Grant</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November 2021, we were awarded an Aviation Manufacturing Jobs Protection Program grant from the U.S. Department of Transportation (“AMJPP Grant”) of $4.0 million. As part of the award, we had to meet, and did complete, certain requirements over a six month performance period from November 2021 to May 2022. As of December 31, 2022, we had received the entire $4.0 million grant balance, $2.0 million of which was received during 2021 and the remainder during 2022. We recorded no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reduction to cost of sales or selling, general and administrative expenses during the three months ended April 1, 2023, and $1.8 million and $0.2 million as a reduction of cost of sales and selling, general and administrative expenses, respectively, during the three months ended April 2, 2022. As of December 31, 2022, the requirements under the AMJPP Grant were completed and the entire $4.0 million awarded were received and thus, we also recorded the entire aggregate total of $3.6 million and $0.4 million as a reduction of cost of sales and selling, general and administrative expenses,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10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 December 2022, the FASB issued ASU 2022-06, “Reference Rate Reform (Topic 848), Deferral of the Sunset Date of Topic 848” (“ASU 2022-06”), which defers the sunset date of Topic 848 from December 31, 2022, to December 31, 2024, after which entities will no longer be permitted to apply the relief in Topic 848. Since we adopted ASU 2020-04 during 2022, ASU 2022-06 will not have a material impact on our condensed consolidated financial statements. See Note 7.</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Combinations</w:t>
      </w:r>
    </w:p>
    <w:p>
      <w:pPr>
        <w:spacing w:after="0" w:line="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20, 2023, we entered into a definitive securities purchase agreement to acquire 100.0% of the outstanding equity interests of BLR Aerospace, L.L.C. (“BLR”), a privately-held leading provider of aerodynamic systems that enhance the productivity, performance, and safety of rotary and fixed-wing aircraft on commercial and military platforms. BLR is located in Everett, Washington. The acquisition of BLR adds to our strategy to diversify and offer more customized, value-driven engineered products with aftermarket opportunities. The purchase price for the transaction is $115.0 million, net of cash acquired, subject to adjustments for working capital. BLR will be a part of our Structural Systems segment.</w:t>
      </w:r>
    </w:p>
    <w:p>
      <w:pPr>
        <w:spacing w:after="0" w:line="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Subsequent to the quarter ended April 1, 2023, we completed the acquisition of BLR on April 25, 2023. The purchase price for BLR was $115.0 million, net of cash acquired, all payable in cash. We paid a gross aggregate of $117.0 million in cash upon the closing of the transaction. We utilized the 2022 Revolving Credit Facility to complete the acquisition.</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December 2021, we acquired 100.0% of the outstanding equity interests of Magnetic Seal LLC (f/k/a Magnetic Seal Corporation, “MagSeal”), a privately-held leading provider of high-impact, military-proven magnetic seals for critical systems in aerospace and defense applications, offering sealing solutions that are engineered to perform in high-speed, high-vibration, and other challenging environments. MagSeal is located in Warren, Rhode Island. The acquisition of MagSeal continued the advancement our strategy to diversify and offer more customized, value-driven engineered products with aftermarket opportunities.</w:t>
      </w:r>
    </w:p>
    <w:p>
      <w:pPr>
        <w:spacing w:after="0" w:line="4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original purchase price for MagSeal was $69.5 million, net of cash acquired, all payable in cash. We paid a gross aggregate of $71.3 million in cash upon the closing of the transaction. Subsequent to the closing of the transaction, during the three months ended July 2, 2022, as part of finalizing the working capital adjustment, we received $0.4 million back from the seller which lowered the purchase price to $69.1 million, net of cash acquired. We allocated the final gross purchase price of $70.9 million to the assets acquired and liabilities assumed at their estimated fair values. The estimated fair value of the assets acquired included $30.1 million of intangible assets, $4.5 million of inventories, $2.1 million of accounts receivable, $1.5 million of operating lease right-of-use assets, $0.5 million of property and equipment, $0.1 million of other current assets, and $2.3 million of liabilities assumed. The excess of the purchase price over the aggregate fair values of the net assets acquired and liabilities assumed of $32.6 million was recorded as goodwill. The intangible assets acquired were comprised of $24.8 million for customer relationships, $0.6 million for backlog, and $4.7 million for trade name, and were assigned an estimated useful life of 19 years, two years, and indefinite, respectively. All the goodwill was assigned to the Structural Systems segment. The MagSeal acquisition, for tax purposes, was deemed an asset acquisition and thus, was deductible for income tax purposes.</w:t>
      </w:r>
    </w:p>
    <w:p>
      <w:pPr>
        <w:spacing w:after="0" w:line="7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MagSeal’s results of operations have been included in our condensed consolidated statements of income since the date of acquisition as part of the Structural Systems segment and were immaterial since the date of acquisition. Pro forma results of operations of the MagSeal acquisition have not been presented as the effect of the MagSeal acquisition was not material to our financial results.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Restructuring Activities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2022 Restructuring Plan</w:t>
      </w:r>
    </w:p>
    <w:p>
      <w:pPr>
        <w:spacing w:after="0" w:line="1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better position us for stronger performance. The restructuring plan will mainly reduce headcount and consolidate facilities. As a result of this restructuring plan, we analyzed the need to write-down inventory and impair long-lived assets, including operating lease right-of-use assets. During the three months ended April 1, 2023, we recorded total charges of $4.2 million. Cumulative through the three months ended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April 1, 2023, we recorded aggregate total charges of $10.9 million ($0.5 million of which was recorded as cost of sales). As of April 1, 2023, we estimate the remaining amount of charges related to this initiative will be $8.0 million to $12.0 million in total pre-tax restructuring charges through 2023. Of these charges, we estimate $6.0 million to $9.0 million to be cash payments for employee separation and other facility consolidation related expenses, and $2.0 million to $3.0 million to be non-cash charges for impairment of long-lived assets.</w:t>
      </w:r>
    </w:p>
    <w:p>
      <w:pPr>
        <w:spacing w:after="0" w:line="4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Electronics Systems segment, we recorded $1.7 million, $0.1 million, and $0.1 million during the three months ended April 1, 2023, for severance and benefits that were classified as restructuring charges, accelerated depreciation of property and equipment that was classified as restructuring charges, and other restructuring charges, respectively. Cumulative through the three months ended April 1, 2023, we recorded total charges for severance and benefits that were classified as restructuring charges, accelerated depreciation of property and equipment that was classified as restructuring charges, and other restructuring charges of $5.2 million, $0.4 million, and $0.1 million, respectively.</w:t>
      </w:r>
    </w:p>
    <w:p>
      <w:pPr>
        <w:spacing w:after="0" w:line="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Structural Systems segment, we recorded $1.7 million, $0.3 million, and $0.3 million during the three months ended April 1, 2023 for severance and benefits that were classified as restructuring charges, accelerated depreciation of property and equipment that was classified as restructuring charges, and other restructuring charges, respectively. Cumulative through the three months ended April 1, 2023, we recorded total charges for inventory write down that was classified as cost of sales, severance and benefits that were classified as restructuring charges, accelerated depreciation of property and equipment that was classified as restructuring charges, impairment of property and equipment that was classified as restructuring charges, and other restructuring charges of $0.5 million, $3.3 million, $0.8 million, $0.3 million, and $0.3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restructuring activities during the three months ended April 1, 2023 were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December 31, 2022</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Three Months Ended April 1, 2023</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April 1, 2023</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Balance</w:t>
            </w: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Charges</w:t>
            </w: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Cash Payments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33" w:lineRule="exact"/>
              <w:rPr>
                <w:sz w:val="20"/>
                <w:szCs w:val="20"/>
                <w:color w:val="auto"/>
              </w:rPr>
            </w:pPr>
            <w:r>
              <w:rPr>
                <w:rFonts w:ascii="Times New Roman" w:cs="Times New Roman" w:eastAsia="Times New Roman" w:hAnsi="Times New Roman"/>
                <w:sz w:val="14"/>
                <w:szCs w:val="14"/>
                <w:color w:val="auto"/>
              </w:rPr>
              <w:t>Non-Cash</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60"/>
              <w:spacing w:after="0" w:line="133" w:lineRule="exact"/>
              <w:rPr>
                <w:sz w:val="20"/>
                <w:szCs w:val="20"/>
                <w:color w:val="auto"/>
              </w:rPr>
            </w:pPr>
            <w:r>
              <w:rPr>
                <w:rFonts w:ascii="Times New Roman" w:cs="Times New Roman" w:eastAsia="Times New Roman" w:hAnsi="Times New Roman"/>
                <w:sz w:val="14"/>
                <w:szCs w:val="14"/>
                <w:color w:val="auto"/>
              </w:rPr>
              <w:t>Change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color w:val="auto"/>
              </w:rPr>
              <w:t>Balance</w:t>
            </w:r>
          </w:p>
        </w:tc>
        <w:tc>
          <w:tcPr>
            <w:tcW w:w="0" w:type="dxa"/>
            <w:vAlign w:val="bottom"/>
          </w:tcPr>
          <w:p>
            <w:pPr>
              <w:spacing w:after="0"/>
              <w:rPr>
                <w:sz w:val="1"/>
                <w:szCs w:val="1"/>
                <w:color w:val="auto"/>
              </w:rPr>
            </w:pPr>
          </w:p>
        </w:tc>
      </w:tr>
      <w:tr>
        <w:trPr>
          <w:trHeight w:val="193"/>
        </w:trPr>
        <w:tc>
          <w:tcPr>
            <w:tcW w:w="3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Payments</w:t>
            </w: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Estimates</w:t>
            </w: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and benefits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184"/>
        </w:trPr>
        <w:tc>
          <w:tcPr>
            <w:tcW w:w="3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Property and equipment accelerated</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due to restructuring</w:t>
            </w:r>
          </w:p>
        </w:tc>
        <w:tc>
          <w:tcPr>
            <w:tcW w:w="14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Property and equipment impairment due to</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restructuring activities accrual for severance and benefits of $4.8 million as of April 1, 2023 was included as part of accrued and other liabilities.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40" w:type="dxa"/>
            <w:vAlign w:val="bottom"/>
            <w:gridSpan w:val="4"/>
          </w:tcPr>
          <w:p>
            <w:pPr>
              <w:jc w:val="right"/>
              <w:ind w:right="117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74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7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160" w:type="dxa"/>
            <w:vAlign w:val="bottom"/>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143,495</w:t>
            </w: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23,799</w:t>
            </w: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171,211</w:t>
            </w:r>
          </w:p>
        </w:tc>
      </w:tr>
      <w:tr>
        <w:trPr>
          <w:trHeight w:val="21"/>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perform our annual goodwill impairment test as of the first day of the fourth quarter. If certain factors occur, including significant underperformance of our business relative to expected operating results, significant adverse economic and industry trends, significant decline in our market capitalization for an extended period of time relative to net book value, a decision to divest individual businesses within a reporting unit, or a decision to group individual businesses differently, we may be required to perform an interim impairment test prior to the fourth quarter.</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may use either a qualitative or quantitative approach when testing a reporting unit’s goodwill for impairment. The qualitative approach for potential impairment analysis to determine whether it is more likely than not that the fair value of a reporting unit was less than its carrying amount.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line="255" w:lineRule="auto"/>
        <w:rPr>
          <w:sz w:val="20"/>
          <w:szCs w:val="20"/>
          <w:color w:val="auto"/>
        </w:rPr>
      </w:pPr>
      <w:r>
        <w:rPr>
          <w:rFonts w:ascii="Times New Roman" w:cs="Times New Roman" w:eastAsia="Times New Roman" w:hAnsi="Times New Roman"/>
          <w:sz w:val="18"/>
          <w:szCs w:val="18"/>
          <w:color w:val="auto"/>
        </w:rPr>
        <w:t>The quantitative approach for potential impairment analysis is performed by comparing the fair value of a reporting unit to its carrying value, including goodwill. Fair value is estimated by management using a combination of the income approach (which is based on a discounted cash flow model) and market approach. Management’s cash flow projections include significant judgments and assumptions, including the amount and timing of expected cash flows, long-term growth rates, and discount rates. The cash flows used in the discounted cash flow model are based on our best estimate of future revenues, gross margins, and adjusted after-tax earnings. If any of these assumptions are incorrect, it will impact the estimated fair value of a reporting unit. The market approach also requires significant management judgment in selecting comparable business acquisitions and the transaction values observed and its related control premiums.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material adverse factors/changes have occurred since the fourth quarter of 2022 that would require us to perform another qualitative or quantitative assessment. As such, for the first quarter of 2023, it was also not more likely than not that the fair values of the reporting units were less than their carrying amounts and thus, the respective goodwill amounts were not deemed to be impaired.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our goodwill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63"/>
        </w:trPr>
        <w:tc>
          <w:tcPr>
            <w:tcW w:w="7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Electronic</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Structural</w:t>
            </w:r>
          </w:p>
        </w:tc>
        <w:tc>
          <w:tcPr>
            <w:tcW w:w="16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Consolidated</w:t>
            </w:r>
          </w:p>
        </w:tc>
      </w:tr>
      <w:tr>
        <w:trPr>
          <w:trHeight w:val="193"/>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Systems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Systems</w:t>
            </w:r>
          </w:p>
        </w:tc>
        <w:tc>
          <w:tcPr>
            <w:tcW w:w="160" w:type="dxa"/>
            <w:vAlign w:val="bottom"/>
          </w:tcPr>
          <w:p>
            <w:pPr>
              <w:spacing w:after="0"/>
              <w:rPr>
                <w:sz w:val="16"/>
                <w:szCs w:val="16"/>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Ducommun</w:t>
            </w:r>
          </w:p>
        </w:tc>
      </w:tr>
      <w:tr>
        <w:trPr>
          <w:trHeight w:val="228"/>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goodwill</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199,157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285,129</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goodwill impairment</w:t>
            </w:r>
          </w:p>
        </w:tc>
        <w:tc>
          <w:tcPr>
            <w:tcW w:w="20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(81,722)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(81,722)</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203,407</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117,435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203,407</w:t>
            </w:r>
          </w:p>
        </w:tc>
      </w:tr>
      <w:tr>
        <w:trPr>
          <w:trHeight w:val="21"/>
        </w:trPr>
        <w:tc>
          <w:tcPr>
            <w:tcW w:w="7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985" w:right="379" w:bottom="1440" w:gutter="0" w:footer="0" w:header="0"/>
        </w:sectPr>
      </w:pP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Accrued and Other Liabilities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accrued and other liabilities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income tax and sales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Long-Term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debt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debt issuance costs -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0628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long-term debt, net of debt issuance costs - term loans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Debt issuance costs - revolving credit facility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0628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7970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as part of 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188"/>
        </w:trPr>
        <w:tc>
          <w:tcPr>
            <w:tcW w:w="400" w:type="dxa"/>
            <w:vAlign w:val="bottom"/>
          </w:tcPr>
          <w:p>
            <w:pPr>
              <w:spacing w:after="0"/>
              <w:rPr>
                <w:sz w:val="16"/>
                <w:szCs w:val="16"/>
                <w:color w:val="auto"/>
              </w:rPr>
            </w:pPr>
          </w:p>
        </w:tc>
        <w:tc>
          <w:tcPr>
            <w:tcW w:w="3300" w:type="dxa"/>
            <w:vAlign w:val="bottom"/>
            <w:gridSpan w:val="4"/>
          </w:tcPr>
          <w:p>
            <w:pPr>
              <w:jc w:val="right"/>
              <w:ind w:right="1116"/>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40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April 1,</w:t>
            </w:r>
          </w:p>
        </w:tc>
        <w:tc>
          <w:tcPr>
            <w:tcW w:w="300" w:type="dxa"/>
            <w:vAlign w:val="bottom"/>
          </w:tcPr>
          <w:p>
            <w:pPr>
              <w:spacing w:after="0"/>
              <w:rPr>
                <w:sz w:val="14"/>
                <w:szCs w:val="14"/>
                <w:color w:val="auto"/>
              </w:rPr>
            </w:pPr>
          </w:p>
        </w:tc>
        <w:tc>
          <w:tcPr>
            <w:tcW w:w="1480" w:type="dxa"/>
            <w:vAlign w:val="bottom"/>
          </w:tcPr>
          <w:p>
            <w:pPr>
              <w:jc w:val="right"/>
              <w:ind w:right="396"/>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color w:val="auto"/>
              </w:rPr>
              <w:t>2022</w:t>
            </w:r>
          </w:p>
        </w:tc>
      </w:tr>
      <w:tr>
        <w:trPr>
          <w:trHeight w:val="223"/>
        </w:trPr>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28,785</w:t>
            </w:r>
          </w:p>
        </w:tc>
      </w:tr>
      <w:tr>
        <w:trPr>
          <w:trHeight w:val="230"/>
        </w:trPr>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10,478</w:t>
            </w:r>
          </w:p>
        </w:tc>
      </w:tr>
      <w:tr>
        <w:trPr>
          <w:trHeight w:val="234"/>
        </w:trPr>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w:t>
            </w:r>
          </w:p>
        </w:tc>
      </w:tr>
      <w:tr>
        <w:trPr>
          <w:trHeight w:val="223"/>
        </w:trPr>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48,820</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3580" w:type="dxa"/>
            <w:vAlign w:val="bottom"/>
            <w:gridSpan w:val="4"/>
          </w:tcPr>
          <w:p>
            <w:pPr>
              <w:jc w:val="right"/>
              <w:ind w:right="1274"/>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163"/>
        </w:trPr>
        <w:tc>
          <w:tcPr>
            <w:tcW w:w="420" w:type="dxa"/>
            <w:vAlign w:val="bottom"/>
          </w:tcPr>
          <w:p>
            <w:pPr>
              <w:spacing w:after="0"/>
              <w:rPr>
                <w:sz w:val="14"/>
                <w:szCs w:val="14"/>
                <w:color w:val="auto"/>
              </w:rPr>
            </w:pPr>
          </w:p>
        </w:tc>
        <w:tc>
          <w:tcPr>
            <w:tcW w:w="16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April 1,</w:t>
            </w:r>
          </w:p>
        </w:tc>
        <w:tc>
          <w:tcPr>
            <w:tcW w:w="340" w:type="dxa"/>
            <w:vAlign w:val="bottom"/>
          </w:tcPr>
          <w:p>
            <w:pPr>
              <w:spacing w:after="0"/>
              <w:rPr>
                <w:sz w:val="14"/>
                <w:szCs w:val="14"/>
                <w:color w:val="auto"/>
              </w:rPr>
            </w:pP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246,875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248,438</w:t>
            </w:r>
          </w:p>
        </w:tc>
      </w:tr>
      <w:tr>
        <w:trPr>
          <w:trHeight w:val="218"/>
        </w:trPr>
        <w:tc>
          <w:tcPr>
            <w:tcW w:w="42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246,875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248,438</w:t>
            </w:r>
          </w:p>
        </w:tc>
      </w:tr>
      <w:tr>
        <w:trPr>
          <w:trHeight w:val="234"/>
        </w:trPr>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(6,250)</w:t>
            </w:r>
          </w:p>
        </w:tc>
      </w:tr>
      <w:tr>
        <w:trPr>
          <w:trHeight w:val="218"/>
        </w:trPr>
        <w:tc>
          <w:tcPr>
            <w:tcW w:w="420" w:type="dxa"/>
            <w:vAlign w:val="bottom"/>
          </w:tcPr>
          <w:p>
            <w:pPr>
              <w:spacing w:after="0"/>
              <w:rPr>
                <w:sz w:val="18"/>
                <w:szCs w:val="18"/>
                <w:color w:val="auto"/>
              </w:rPr>
            </w:pPr>
          </w:p>
        </w:tc>
        <w:tc>
          <w:tcPr>
            <w:tcW w:w="15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240,625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242,188</w:t>
            </w:r>
          </w:p>
        </w:tc>
      </w:tr>
      <w:tr>
        <w:trPr>
          <w:trHeight w:val="234"/>
        </w:trPr>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(1,497)</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(1,593)</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239,128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240,595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2,265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8"/>
        </w:trPr>
        <w:tc>
          <w:tcPr>
            <w:tcW w:w="4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r>
    </w:tbl>
    <w:p>
      <w:pPr>
        <w:spacing w:after="0" w:line="449" w:lineRule="exact"/>
        <w:rPr>
          <w:sz w:val="20"/>
          <w:szCs w:val="20"/>
          <w:color w:val="auto"/>
        </w:rPr>
      </w:pPr>
    </w:p>
    <w:p>
      <w:pPr>
        <w:sectPr>
          <w:pgSz w:w="11900" w:h="16838" w:orient="portrait"/>
          <w:cols w:equalWidth="0" w:num="2">
            <w:col w:w="6480" w:space="720"/>
            <w:col w:w="4000"/>
          </w:cols>
          <w:pgMar w:left="320" w:top="985" w:right="379" w:bottom="1440" w:gutter="0" w:footer="0" w:header="0"/>
          <w:type w:val="continuous"/>
        </w:sectPr>
      </w:pPr>
    </w:p>
    <w:p>
      <w:pPr>
        <w:spacing w:after="0" w:line="261" w:lineRule="auto"/>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 (“2022 Revolving Credit Facility”). The 2022 Term Loan is a $250.0 million senior secured loan that matures on July 14, 2027. The 2022 Revolving Credit Facility is a $200.0 million senior secured revolving credit facility that matures on July 14, 2027. The 2022 Term Loan and 2022 Revolving Credit Facility, collectively are the new credit facilities (“2022 Credit Facilities”).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 Interest payments are typically paid either on a monthly or quarterly basis, depending on the interest rate selected, on the last business day each month or quarter. In addition, the 2022 Term Loan requires quarterly amortization payments of 0.625% during year one and year two, 1.250% during year three and year four, and 1.875% during year five of the original outstanding principal balance of the 2022 Term Loan amount, on the last business day each quarter. The required quarterly amortization payments began in the fourth quarter of 2022.</w:t>
      </w:r>
    </w:p>
    <w:p>
      <w:pPr>
        <w:spacing w:after="0" w:line="57"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 Interest payments are typically paid on a quarterly basis, on the last business day each quarter. The undrawn portion of the commitment of the 2022 Revolving Credit Facility is subject to a commitment fee ranging from 0.175% to</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0.275%, based upon the consolidated total net adjusted leverage ratio, typically paid on a quarterly basis, on the last business day each quarter. However, the 2022 Revolving Credit Facility does not require any principal installment payments.</w:t>
      </w:r>
    </w:p>
    <w:p>
      <w:pPr>
        <w:spacing w:after="0" w:line="6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conjunction with the closing of the 2022 Credit Facilities, we utilized the entire $250.0 million of proceeds from the 2022 Term Loan plus our existing cash on hand to pay off our entire debt balance outstanding of $254.2 million under prior credit facilities (described below).</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2019, we completed the refinancing of a portion of then our existing debt by entering into a new revolving credit facility (“2019 Revolving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Facility”) to replace the then existing revolving credit facility that was entered into in November 2018 (“2018 Revolving Credit Facility”)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entered into a new term loan (“2019 Term Loan”). The 2019 Revolving Credit Facility was a $100.0 million senior secured revolving credit facility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would have matured on December 20, 2024 and replaced the $100.0 million 2018 Revolving Credit Facility that would have matured on November 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The 2019 Term Loan was a $140.0 million senior secured term loan that would have matured on December 20, 2024. We also had a then existing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$240.0 million senior secured term loan that was entered into in November 2018 that would have matured on November 21, 2025 (“2018 Term Loan”).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amounts available under the 2019 Revolving Credit Facility, 2019 Term Loan, and 2018 Term Loan (collectively, the “Existing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aggregate, totaled $480.0 million at that time.</w:t>
      </w:r>
    </w:p>
    <w:p>
      <w:pPr>
        <w:spacing w:after="0" w:line="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2019 Term Loan bore interest, at our option, at a rate equal to either (i) the Eurodollar Rate (defined as the London Interbank Offered Rate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In addition, the 2019 Term Loan required amortization payments of</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1.25% of the original outstanding principal balance of the 2019 Term Loan amount on a quarterly basis, on the last day of the calendar quarter. For the three months ended April 1, 2023 and April 2, 2022, we made the required quarterly amortization payments on the 2022 Term Loan and 2019 Term Loan of $1.6 million and $1.8 million, respectively.</w:t>
      </w:r>
    </w:p>
    <w:p>
      <w:pPr>
        <w:spacing w:after="0" w:line="6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2019 Revolving Credit Facility bore interest, at our option, at a rate equal to either (i) the Eurodollar Rate (defined as LIBOR) plus an applicable margin ranging from 1.50% to 2.50% per year or (ii) the Base Rate (defined as the highest of [a] Federal Funds Rate plus 0.50%, [b] Bank of America’s prime rate, and [c] the Eurodollar Rate plus 1.00%) plus an applicable margin ranging from 0.50% to 1.50% per year, in each case based upon the consolidated total net adjusted leverage ratio, typically payable quarterly. The undrawn portion of the commitment of the 2019 Revolving Credit Facility was subject to a commitment fee ranging from 0.175% to 0.275%, based upon the consolidated total net adjusted leverage ratio. However, the 2019 Revolving Credit Facility did not require any principal installment payments.</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2018 Term Loan bore interest, at our option, at a rate equal to either (i) the Eurodollar Rate (defined as LIBOR plus an applicable margin ranging from 3.75% to 4.00% per year or (ii) the Base Rate (defined as the highest of [a] Federal Funds Rate plus 0.50%, [b] Bank of America’s prime rate, and [c] the Eurodollar Rate plus 1.00%) plus an applicable margin ranging from 3.75% to 4.00% per year, in each case based upon the consolidated total net adjusted leverage ratio, typically payable quarterly. In addition, the 2018 Term Loan required amortization payments of 0.25% of the outstanding principal balance of the 2018 Term Loan amount on a quarterly basis.</w:t>
      </w:r>
    </w:p>
    <w:p>
      <w:pPr>
        <w:spacing w:after="0" w:line="4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 under the then Existing Credit Facilities, if we exceeded the annual excess cash flow threshold, we were required to make an annual additional principal payment based on the consolidated adjusted leverage ratio. The annual mandatory excess cash flow payment was based on (i) 50% of the excess cash flow amount if the adjusted leverage ratio was greater than 3.25 to 1.0, (ii) 25% of the excess cash flow amount if the adjusted leverage ratio was less than or equal to 3.25 to 1.0 but greater than 2.50 to 1.0, and (iii) zero percent of the excess cash flow amount if the consolidated adjusted leverage ratio was less than or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equal to 2.50 to 1.0. We did not exceed the annual excess cash flow threshold for 2021 and thus, no annual excess cash flow payment was required to be paid during the first quarter of 2022.</w:t>
      </w:r>
    </w:p>
    <w:p>
      <w:pPr>
        <w:spacing w:after="0" w:line="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conjunction with entering into the 2019 Revolving Credit Facility and the 2019 Term Loan, we used the $140.0 million of proceeds from the 2019 Term Loan to pay off and close the 2018 Revolving Credit Facility of $58.5 million, paid down a portion of the 2018 Term Loan of $56.0 million, paid the accrued interest associated with the amounts being paid down on the 2018 Revolving Credit Facility and 2018 Term Loan, paid the fees related to this transaction, and used the remainder for general corporate purposes. The $56.0 million pay down on the 2018 Term Loan paid all the required quarterly amortization payments on the 2018 Term Loan until maturity.</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However, since we were paying down on the term loans during the three months ended April 2, 2022, we were required to pay down on the 2019 Term Loan and 2018 Term Loan on a pro-rata basis and thus, we paid down $13.0 million and $17.0 million on the 2019 Term Loan and 2018 Term Loan, respectively, for an aggregate total pay down of $30.0 million. During the three months ended April 1, 2023 and April 2, 2022, we made no other voluntary prepayments on our debt.</w:t>
      </w:r>
    </w:p>
    <w:p>
      <w:pPr>
        <w:spacing w:after="0" w:line="5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April 1, 2023, we had $199.8 million of unused borrowing capacity under the 2022 Revolving Credit Facility, after deducting $0.2 million for standby letters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2023, we were in compliance with all covenants required under the 2022 Credit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Term Loan was considered a modification of debt for some lenders and an extinguishment of debt for other lenders, and thus, a loss of</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$0.2 million was recorded related to the extinguishment. In addition, the new fees incurred of $0.8 million were capitalized and will be amortized over the life of the 2022 Term Loan. Further, the remaining debt issuance costs related to the 2019 Term Loan and 2018 Term Loan of $1.0 million as of the modification date will be amortized over the life of the 2022 Term Loan, using the effective interest method.</w:t>
      </w:r>
    </w:p>
    <w:p>
      <w:pPr>
        <w:spacing w:after="0" w:line="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2022 Revolving Credit Facility that replaced the 2019 Revolving Credit Facility was considered a modification of debt except for the portion related to the creditor that is no longer a part of the 2022 Revolving Credit Facility and in which case, it was considered an extinguishment of debt. As a result, we expensed the portion of the unamortized debt issuance costs related to the 2019 Revolving Credit Facility that was considered an extinguishment of debt of $0.1 million. In addition, the new fees incurred of $1.7 million as part of the 2022 Revolving Credit Facility were capitalized and will be amortized over the life of the 2022 Revolving Credit Facility. Further, the remaining debt issuance costs related to the 2019 Revolving Credit Facility of $0.8 million as of the modification date will also be amortized over the life of the 2022 Revolving Credit Facility.</w:t>
      </w:r>
    </w:p>
    <w:p>
      <w:pPr>
        <w:spacing w:after="0" w:line="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2022 Credit Facilities were entered into by us (“Parent Company”) and guaranteed by all of our domestic subsidiaries, other than two subsidiaries that were considered minor (“Subsidiary Guarantors”). The Subsidiary Guarantors jointly and severally guarantee the 2022 Credit Facilities. The Parent Company has no independent assets or operations and therefore, no consolidating financial information for the Parent Company and its subsidiaries is presented.</w:t>
      </w:r>
    </w:p>
    <w:p>
      <w:pPr>
        <w:spacing w:after="0" w:line="5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Subsequent to the quarter ended April 1, 2023, we completed the acquisition of BLR on April 25, 2023. The purchase price for BLR was $115.0 million, net of cash acquired, all payable in cash. We paid a gross aggregate of $117.0 million in cash upon the closing of the transaction. We utilized the 2022 Revolving Credit Facility to complete the acquisition. See Note 2 for further information.</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The Forward Interest Rate Swaps were deemed to be highly effective upon entering into the derivative contracts and thus, hedge accounting treatment was utilized. Since the Amended Forward Interest Rate Swaps (as defined below) are not effective until January 1, 2024, we only record the changes in fair value of the derivative instruments that were highly effective and that were designated and qualified as cash flow hedges. As such, during the three months ended April 1, 2023 and April 2, 2022, we recorded the unrealized gain (loss) to other comprehensive income (loss) of $(2.1) million and $4.9 million, respectively, and the associated change to other current assets, other assets, and deferred income taxes. See Note 1 for further information.</w:t>
      </w:r>
    </w:p>
    <w:p>
      <w:pPr>
        <w:spacing w:after="0" w:line="5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Since this was an amendment of just the reference rate as a result of the cessation of LIBOR, utilizing the guidance under ASU 2020-04, we determined the Amended Forward Interest Rate Swaps as of the amendment date to continue to be highly effective. The Amended Forward Interest Rate Swaps weighted average fixed rate is 1.7%, as a result of the difference between U.S. dollar-one month LIBOR and one month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Indemnifications</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made guarantees and indemnities under which we may be required to make payments to a guaranteed or indemnified party, in relation to certain transactions, including revenue transactions in the ordinary course of business. Additionally, we indemnify our directors and officers to the maximum extent permitted under the laws of the State of Delaware and have a directors and officers insurance policy that may reduce our exposure in certain circumstances and may enable us to recover a portion of future amounts that may be payable, if any. Moreover, in connection with certain performance center leases, we have indemnified our lessors for certain claims arising from the performance center or the lease.</w:t>
      </w:r>
    </w:p>
    <w:p>
      <w:pPr>
        <w:spacing w:after="0" w:line="4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duration of the guarantees and indemnities varies and, in many cases is indefinite but subject to applicable statutes of limitations. The majority of guarantees and indemnities do not provide any limitations on the maximum potential future payments we could be obligated to make. Historically, payments related to these guarantees and indemnities have been immaterial. We estimate the fair value of our indemnification obligations as insignificant based on this history and insurance coverage and have, therefore, not recorded any liability for these guarantees and indemnities in the accompanying condensed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0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provision for income taxes is determined using an estimated annual effective tax rate, which is generally less than the U.S. Federal statutory rate, primarily due to research and development (“R&amp;D”) tax credits. Our effective tax rate may be subject to fluctuations during the year as new information is obtained, which may affect the assumptions used to estimate the annual effective tax rate, including factors such as expected utilization of R&amp;D tax credits, valuation allowances against deferred tax assets, recognition or derecognition of tax benefits related to uncertain tax positions, and changes in or the interpretation of tax laws in jurisdictions where we conduct business. Also, excess tax benefits and tax detriments related to our equity compensation recognized in the condensed consolidated income statement could result in fluctuations in our effective tax rate period-over-period depending on the volatility of our stock price, number of restricted or performance stock units that vests, and stock options exercised during the period. We recognize deferred tax assets and liabilities, using enacted tax rates, for temporary differences between the financial reporting basis and the tax basis of our assets and liabilities along with net operating loss and tax credit carryovers.</w:t>
      </w:r>
    </w:p>
    <w:p>
      <w:pPr>
        <w:spacing w:after="0" w:line="5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record a valuation allowance against our deferred tax assets to reduce the net carrying value to an amount that we believe is more likely than not to be realized. When we establish or reduce our valuation allowances against our deferred tax assets, the provision for income taxes will increase or decrease, respectively, in the period when that determination is made.</w:t>
      </w:r>
    </w:p>
    <w:p>
      <w:pPr>
        <w:spacing w:after="0" w:line="54"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We recorded income tax expense of $0.8 million for the three months ended April 1, 2023 compared to $1.6 million for the three months ended April 2, 2022. The decrease in income tax expense for the first quarter of 2023 compared to the first quarter of 2022 was primarily due to lower pre-tax income in the first quarter of 2023 compared to the first quarter of 2022 and higher discrete tax benefits recognized in the first quarter of 2023 for net tax windfalls related to stock-based compensation compared to the first quarter of 2022. The decrease in income tax expense was partially offset by lower income tax benefits recognized in the first quarter of 2023 related to the U.S. Federal research and development tax credit compared to the first quarter of 2022.</w:t>
      </w:r>
    </w:p>
    <w:p>
      <w:pPr>
        <w:spacing w:after="0" w:line="4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$5.2 million and $4.9 million as of April 1, 2023 and December 31, 2022, respectively. If recognized, $2.6 million would affect the effective tax rate. We record interest and penalty charges, if any, related to uncertain tax positions as a component of tax expense and unrecognized tax benefits. The amounts accrued for interest and penalty charges as of April 1, 2023 and December 31, 2022 were not significant. As a result of statute of limitations set to expire in the fourth quarter of 2023, we expect decreases to our unrecognized tax benefits of approximately $0.7 million in the next twelve months.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2020, a representative action under California’s Private Attorneys General Act was filed against us in the Superior Court for the State of California, County of San Bernardino. We received service of process of this complaint in January 2021. The complaint alleges violations of California’s wage and hour laws relating to our current and former employees and seeks attorney’s fees and penalties. We vigorously refuted and defended these claims, and reached a tentative settlement of $0.8 million during the fourth quarter 2021, which was subject to court approval. Thus, we recorded accrued liabilities of $0.8 million as of December 31, 2021. During the second quarter of 2022, additional factual information was identified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resulting in an increase in the amount of the tentative settlement to $0.9 million. Therefore, we recorded an additional accrued liabilities of $0.1 million for a total accrued liabilities amount of $0.9 million as of the end of the second quarter of 2022 which remained unchanged as of December 31, 2022 as we were awaiting final court approval of this settlement. We received final court approval and paid the $0.9 million on January 17, 2023.</w:t>
      </w:r>
    </w:p>
    <w:p>
      <w:pPr>
        <w:spacing w:after="0" w:line="4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Structural Systems has been directed by California environmental agencies to investigate and take corrective action for groundwater contamination at our facilities located in El Mirage and Monrovia, California. Based on currently available information, we have established an accrual for its estimated liability for such investigation and corrective action of $1.5 million at both April 1, 2023 and December 31, 2022, which is reflected in other long-term liabilities on our condensed consolidated balance sheets.</w:t>
      </w:r>
    </w:p>
    <w:p>
      <w:pPr>
        <w:spacing w:after="0" w:line="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Structural Systems also faces liability as a potentially responsible party for hazardous waste disposed at landfills located in Casmalia and West Covina, California. Structural Systems and other companies and government entities have entered into consent decrees with respect to these landfills with the United States Environmental Protection Agency and/or California environmental agencies under which certain investigation, remediation and maintenance activities are being performed. Based on currently available information, we preliminarily estimate that the range of our future liabilities in connection with the landfill located in West Covina, California is between $0.4 million and $3.1 million. We have established an accrual for the estimated liability in connection with the West Covina landfill of $0.4 million as of both April 1, 2023 and December 31, 2022, which is reflected in other long-term liabilities on our condensed consolidated balance sheets. Our ultimate liability in connection with these matters will depend upon a number of factors, including changes in existing laws and regulations, the design and cost of construction, operation and maintenance activities, and the allocation of liability among potentially responsible parties.</w:t>
      </w:r>
    </w:p>
    <w:p>
      <w:pPr>
        <w:spacing w:after="0" w:line="67"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which is part of our Structural Systems segment. There were no injuries, however, property and equipment, inventories, and tooling in this leased facility were damaged. Our Guaymas performance center the was severely damaged was comprised of two buildings with an aggregate total of 62,000 square feet. The loss of production from the Guaymas performance center was being absorbed by our other existing performance centers, however, we have reestablished and are in the process of ramping up our manufacturing capabilities in a different leased facility with 117,000 square feet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w:t>
      </w:r>
    </w:p>
    <w:p>
      <w:pPr>
        <w:spacing w:after="0" w:line="5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insurance covers damage, up to a capped amount, to the facility, equipment, unfinished inventory, and other assets at replacement cost, finished goods inventory at selling price, as well as business interruption, third party property damage, and recovery related expenses caused by the fire, less our per claim deductible. The anticipated insurance recoveries related to losses and incremental costs incurred are recognized when receipt is probable. The anticipated insurance recoveries in excess of net book value of the damaged operating assets and business interruption will not be recorded until all contingencies related to our claim have been resolved. During the year ended December 31, 2020, $0.8 million of revenue and $0.5 million of related cost of sales were reversed for revenue previously recognized using the over time method as the revenue recognition process for these items were deemed to be interrupted as a result of these inventory items being damaged. Also during the year ended December 31, 2020, we wrote off property and equipment and tooling with an aggregate total net book value of $7.1 million and inventory on hand of $3.4 million that were damaged by the fire. The related anticipated insurance recoveries were also presented within the same financial statement line item in the condensed consolidated statements of income resulting in no net impact, with the anticipated insurance recoveries receivable included as part of other current assets on the condensed consolidated balance sheets. During the three months ended April 1, 2023 and April 2, 2022, we received insurance recoveries of zero and $3.0 million, respectively, for business interruption and since the contingencies related to this amount were deemed to be resolved, we recorded this amount as other income. In addition, as of April 1, 2023, we have received $13.5 million of general insurance recoveries, all during 2020. During the three months ended April 1, 2023, $3.9 million of the general insurance recoveries were gain contingencies related to loss on operating assets that were deemed to be resolved and thus, we recorded this amount as other income. The timing of and the remaining amounts of insurance recoveries, including for business interruption, are not known at this time.</w:t>
      </w:r>
    </w:p>
    <w:p>
      <w:pPr>
        <w:spacing w:after="0" w:line="7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Ducommun and its subsidiaries are defendants in certain other litigation, claims and inquiries, including matters relating to environmental laws. In addition, Ducommun makes various commitments and incurs contingent liabilities in the ordinary course of business. While it is not feasible to predict the outcome of these matters, Ducommun does not presently expect that any sum it may be required to pay in connection with these matters would have a material adverse effect on its condensed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Business Segment Information</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supply products and services primarily to the aerospace and defense industries. Our subsidiaries are organized into two strategic businesses, Electronic Systems and Structural Systems, each of which is a reportable operating segment.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by reportable operating segment was as follows:</w:t>
      </w:r>
    </w:p>
    <w:p>
      <w:pPr>
        <w:spacing w:after="0" w:line="35"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color w:val="auto"/>
        </w:rPr>
        <w:t>(Dollars in thousands)</w:t>
      </w:r>
    </w:p>
    <w:p>
      <w:pPr>
        <w:ind w:left="9260"/>
        <w:spacing w:after="0"/>
        <w:rPr>
          <w:sz w:val="20"/>
          <w:szCs w:val="20"/>
          <w:color w:val="auto"/>
        </w:rPr>
      </w:pPr>
      <w:r>
        <w:rPr>
          <w:rFonts w:ascii="Times New Roman" w:cs="Times New Roman" w:eastAsia="Times New Roman" w:hAnsi="Times New Roman"/>
          <w:sz w:val="14"/>
          <w:szCs w:val="14"/>
          <w:color w:val="auto"/>
        </w:rPr>
        <w:t>Three Months Ended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April 1,</w:t>
            </w:r>
          </w:p>
        </w:tc>
        <w:tc>
          <w:tcPr>
            <w:tcW w:w="260" w:type="dxa"/>
            <w:vAlign w:val="bottom"/>
          </w:tcPr>
          <w:p>
            <w:pPr>
              <w:spacing w:after="0"/>
              <w:rPr>
                <w:sz w:val="13"/>
                <w:szCs w:val="13"/>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4"/>
                <w:szCs w:val="14"/>
                <w:color w:val="auto"/>
              </w:rPr>
              <w:t>April 2,</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181,191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163,481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Operating Income</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9,411</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General and Administrative Expenses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Administration</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780" w:firstLine="251"/>
        <w:spacing w:after="0" w:line="365" w:lineRule="auto"/>
        <w:tabs>
          <w:tab w:leader="none" w:pos="5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 Segment assets include assets directly identifiable to or allocated to each segment. Our segment assets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6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color w:val="auto"/>
              </w:rPr>
              <w:t>(Dollars in thousands)</w:t>
            </w:r>
          </w:p>
        </w:tc>
        <w:tc>
          <w:tcPr>
            <w:tcW w:w="0" w:type="dxa"/>
            <w:vAlign w:val="bottom"/>
          </w:tcPr>
          <w:p>
            <w:pPr>
              <w:spacing w:after="0"/>
              <w:rPr>
                <w:sz w:val="1"/>
                <w:szCs w:val="1"/>
                <w:color w:val="auto"/>
              </w:rPr>
            </w:pPr>
          </w:p>
        </w:tc>
      </w:tr>
      <w:tr>
        <w:trPr>
          <w:trHeight w:val="163"/>
        </w:trPr>
        <w:tc>
          <w:tcPr>
            <w:tcW w:w="7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April 1,</w:t>
            </w:r>
          </w:p>
        </w:tc>
        <w:tc>
          <w:tcPr>
            <w:tcW w:w="300" w:type="dxa"/>
            <w:vAlign w:val="bottom"/>
          </w:tcPr>
          <w:p>
            <w:pPr>
              <w:spacing w:after="0"/>
              <w:rPr>
                <w:sz w:val="14"/>
                <w:szCs w:val="14"/>
                <w:color w:val="auto"/>
              </w:rPr>
            </w:pPr>
          </w:p>
        </w:tc>
        <w:tc>
          <w:tcPr>
            <w:tcW w:w="152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74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543,298</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410,565</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Corporate Administration </w:t>
            </w:r>
            <w:r>
              <w:rPr>
                <w:rFonts w:ascii="Times New Roman" w:cs="Times New Roman" w:eastAsia="Times New Roman" w:hAnsi="Times New Roman"/>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67,643</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1,021,506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Goodwill and Intangibles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Electronic Systems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182,501</w:t>
            </w: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Structural Systems</w:t>
            </w: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148,107</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Goodwill and Intangibles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330,608</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80" w:right="140" w:hanging="329"/>
        <w:spacing w:after="0" w:line="282"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assets not specifically identified to or allocated to either the Electronic Systems or Structural Systems operating segments, including cash and cash equivalents.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Ducommun Incorporated (“Ducommun,” “the Company,” “we,” “us” or “our”) is a leading global provider of engineering and manufacturing services for high-performance products and high-cost-of failure applications used primarily in the aerospace and defense (“A&amp;D”), industrial, medical and other industries (collectively, “Industrial”). We differentiate ourselves as a full-service solution-based provider, offering a wide range of value-added products and services in our primary businesses of electronics, structures and integrated solutions. We operate through two primary business segments: Electronic Systems and Structural Systems, each of which is a reportable segment.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Impact on Our Business</w:t>
      </w:r>
    </w:p>
    <w:p>
      <w:pPr>
        <w:spacing w:after="0" w:line="1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COVID-19 pandemic had a significant impact on our overall business during the prior year three months ended April 2, 2022. As a result of the COVID-19 pandemic, precautionary measures were instituted by governments and businesses to mitigate its spread, including the imposition of travel restrictions, quarantines, shelter in place directives, and shutting down of non-essential businesses.</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COVID-19 pandemic and the resulting inflation, rising interest rates, supply chain issues, and other events including the war in Ukraine have contributed and continues to contribute to a general slowdown in the global economy and most significantly, the commercial aerospace end-use market. While both major large aircraft manufacturers, The Boeing Company (“Boeing”) and Airbus SE, have announced increases in build rates for 2023, the ramp up is slower than expected and below pre-pandemic levels. In its 2022 Annual Report on Form 10-K, Boeing indicated that domestic travel continues to recover from the lingering effects of the COVID-19 pandemic and will recover before international travel. However, the pace of the commercial market recovery remains impacted by government restrictions related to COVID-19, especially China. While the full extent and impact of the COVID-19 pandemic cannot be reasonably estimated with certainty at this time, COVID-19 has had a significant impact on our business, the businesses of our customers and suppliers, as well as our results of operations and financial condition, and may have a material adverse impact on our business, results of operations and financial condition for 2023 and beyond.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2023 recap:</w:t>
      </w:r>
    </w:p>
    <w:p>
      <w:pPr>
        <w:spacing w:after="0" w:line="121"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of $181.2 million</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$5.2 million, or $0.42 per diluted share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$23.1 million, or 12.7% of net revenues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Adjusted earnings before interest, taxes, depreciation, amortization, stock-based compensation expense, restructuring charges, Guaymas fire related expenses, insurance recoveries related to loss on operating assets, insurance recoveries related to business interruption, and inventory purchase accounting adjustments (“Adjusted EBITDA”) were $23.1 million and $20.1 million for the three months ended April 1, 2023 and April 2, 2022, respectively.</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viewed with our financial results prepared in accordance with accounting principles generally accepted in the United States of America (“GAAP”) and accompanying reconciliations, we believe Adjusted EBITDA provides additional useful information that clarifies and enhances the understanding of the factors and trends affecting our past performance and future prospects. We define this measure, explain how it is calculated and provide a reconciliation of this measure to the most comparable GAAP measure in the table below. Adjusted EBITDA and the related financial ratios, as presented in this Quarterly Report on Form 10-Q (“Form 10-Q”), are supplemental measures of our performance that are not required by, or presented in accordance with, GAAP. They are not a measurement of our financial performance under GAAP and should not be considered as alternatives to net income or any other performance measures derived in accordance with GAAP, or as an alternative to net cash provided by operating activities as measures of our liquidity. The presentation of these measures should not be interpreted to mean that our future results will be unaffected by unusual or nonrecurring items.</w:t>
      </w:r>
    </w:p>
    <w:p>
      <w:pPr>
        <w:spacing w:after="0" w:line="7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use Adjusted EBITDA as a non-GAAP operating performance measure internally as a complementary financial measure to evaluate the performance and trends of our businesses. We present Adjusted EBITDA and the related financial ratios, as applicable, because we believe that measures such as these provide useful information with respect to our ability to meet our operating commitments.</w:t>
      </w:r>
    </w:p>
    <w:p>
      <w:pPr>
        <w:spacing w:after="0" w:line="4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under GAAP. Some of these limitations include: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our cash expenditures, future requirements for capital expenditures or contractual commitments;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changes in, or cash requirements for, our working capital needs;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does not reflect the significant interest expense or the cash requirements necessary to service interest or principal payments on our debt;</w:t>
      </w:r>
    </w:p>
    <w:p>
      <w:pPr>
        <w:spacing w:after="0" w:line="128"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adjusted for all non-cash income or expense items that are reflected in our statements of cash flows;</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does not reflect the impact on earnings of charges resulting from matters unrelated to our ongoing operations; and</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from us, limiting its usefulness as a comparative measure.</w:t>
      </w:r>
    </w:p>
    <w:p>
      <w:pPr>
        <w:spacing w:after="0" w:line="10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these limitations, Adjusted EBITDA and the related financial ratios should not be considered as measures of discretionary cash available to us to invest in the growth of our business or as a measure of cash that will be available to us to meet our obligations. You should compensate for these limitations by relying primarily on our GAAP results and using Adjusted EBITDA only as supplemental information. See our condensed consolidated financial statements contained in this Form 10-Q.</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with the limitations above, we believe that Adjusted EBITDA is useful to an investor in evaluating our results of operations as this measure:</w:t>
      </w:r>
    </w:p>
    <w:p>
      <w:pPr>
        <w:spacing w:after="0" w:line="117" w:lineRule="exact"/>
        <w:rPr>
          <w:sz w:val="20"/>
          <w:szCs w:val="20"/>
          <w:color w:val="auto"/>
        </w:rPr>
      </w:pPr>
    </w:p>
    <w:p>
      <w:pPr>
        <w:ind w:left="1300" w:right="20" w:hanging="644"/>
        <w:spacing w:after="0" w:line="26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widely used by investors to measure a company’s operating performance without regard to items excluded from the calculation of such terms, which can vary substantially from company to company depending upon accounting methods and book value of assets, capital structure and the method by which assets were acquired, among other factors;</w:t>
      </w:r>
    </w:p>
    <w:p>
      <w:pPr>
        <w:spacing w:after="0" w:line="6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Helps investors to evaluate and compare the results of our operations from period to period by removing the effect of our capital structure from our operating performance; and</w:t>
      </w:r>
    </w:p>
    <w:p>
      <w:pPr>
        <w:spacing w:after="0" w:line="53"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used by our management team for various other purposes in presentations to our Board of Directors as a basis for strategic planning and forecasting.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items have been added back to or subtracted from our net income when calculating Adjusted EBITDA:</w:t>
      </w:r>
    </w:p>
    <w:p>
      <w:pPr>
        <w:spacing w:after="0" w:line="117"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may be useful to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may be useful to investors because it represents the taxes which may be payable for the period and the change in deferred taxes during the period, and may reduce cash flow available for use in our business;</w:t>
      </w:r>
    </w:p>
    <w:p>
      <w:pPr>
        <w:spacing w:after="0" w:line="53" w:lineRule="exact"/>
        <w:rPr>
          <w:rFonts w:ascii="Times New Roman" w:cs="Times New Roman" w:eastAsia="Times New Roman" w:hAnsi="Times New Roman"/>
          <w:sz w:val="18"/>
          <w:szCs w:val="18"/>
          <w:color w:val="auto"/>
        </w:rPr>
      </w:pPr>
    </w:p>
    <w:p>
      <w:pPr>
        <w:ind w:left="1300" w:right="42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may be useful to investors because it generally represents the wear and tear on our property and equipment used in our operations;</w:t>
      </w:r>
    </w:p>
    <w:p>
      <w:pPr>
        <w:spacing w:after="0" w:line="53" w:lineRule="exact"/>
        <w:rPr>
          <w:rFonts w:ascii="Times New Roman" w:cs="Times New Roman" w:eastAsia="Times New Roman" w:hAnsi="Times New Roman"/>
          <w:sz w:val="18"/>
          <w:szCs w:val="18"/>
          <w:color w:val="auto"/>
        </w:rPr>
      </w:pPr>
    </w:p>
    <w:p>
      <w:pPr>
        <w:ind w:left="1300" w:right="48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may be useful to investors because it represents the estimated attrition of our acquired customer base and the diminishing value of product rights;</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may be useful to our investors for determining current cash flow;</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Guaymas fire related expenses may be useful to our investors in evaluating our core operating performance;</w:t>
      </w:r>
    </w:p>
    <w:p>
      <w:pPr>
        <w:spacing w:after="0" w:line="11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loss on operating assets (property and equipment, inventories, and other assets) may be useful to our investors in evaluating our core operating performance;</w:t>
      </w:r>
    </w:p>
    <w:p>
      <w:pPr>
        <w:spacing w:after="0" w:line="5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recoveries related to business interruption may be useful to our investors in evaluating our core operating performance; and</w:t>
      </w:r>
    </w:p>
    <w:p>
      <w:pPr>
        <w:spacing w:after="0" w:line="117" w:lineRule="exact"/>
        <w:rPr>
          <w:rFonts w:ascii="Times New Roman" w:cs="Times New Roman" w:eastAsia="Times New Roman" w:hAnsi="Times New Roman"/>
          <w:sz w:val="18"/>
          <w:szCs w:val="18"/>
          <w:color w:val="auto"/>
        </w:rPr>
      </w:pPr>
    </w:p>
    <w:p>
      <w:pPr>
        <w:ind w:left="1300" w:right="360" w:hanging="644"/>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inventory step-ups may be useful to our investors as they do not necessarily reflect the current or on-going cash charges related to our core operating performance.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and the presentation of Adjusted EBITDA as a percentage of net revenues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6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color w:val="auto"/>
              </w:rPr>
              <w:t>(Dollars in thousands)</w:t>
            </w:r>
          </w:p>
        </w:tc>
      </w:tr>
      <w:tr>
        <w:trPr>
          <w:trHeight w:val="203"/>
        </w:trPr>
        <w:tc>
          <w:tcPr>
            <w:tcW w:w="8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58"/>
        </w:trPr>
        <w:tc>
          <w:tcPr>
            <w:tcW w:w="8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line="159" w:lineRule="exact"/>
              <w:rPr>
                <w:sz w:val="20"/>
                <w:szCs w:val="20"/>
                <w:color w:val="auto"/>
              </w:rPr>
            </w:pPr>
            <w:r>
              <w:rPr>
                <w:rFonts w:ascii="Times New Roman" w:cs="Times New Roman" w:eastAsia="Times New Roman" w:hAnsi="Times New Roman"/>
                <w:sz w:val="14"/>
                <w:szCs w:val="14"/>
                <w:color w:val="auto"/>
              </w:rPr>
              <w:t>April 1,</w:t>
            </w:r>
          </w:p>
        </w:tc>
        <w:tc>
          <w:tcPr>
            <w:tcW w:w="260" w:type="dxa"/>
            <w:vAlign w:val="bottom"/>
          </w:tcPr>
          <w:p>
            <w:pPr>
              <w:spacing w:after="0"/>
              <w:rPr>
                <w:sz w:val="13"/>
                <w:szCs w:val="13"/>
                <w:color w:val="auto"/>
              </w:rPr>
            </w:pPr>
          </w:p>
        </w:tc>
        <w:tc>
          <w:tcPr>
            <w:tcW w:w="1040" w:type="dxa"/>
            <w:vAlign w:val="bottom"/>
          </w:tcPr>
          <w:p>
            <w:pPr>
              <w:jc w:val="right"/>
              <w:ind w:right="352"/>
              <w:spacing w:after="0" w:line="159" w:lineRule="exact"/>
              <w:rPr>
                <w:sz w:val="20"/>
                <w:szCs w:val="20"/>
                <w:color w:val="auto"/>
              </w:rPr>
            </w:pPr>
            <w:r>
              <w:rPr>
                <w:rFonts w:ascii="Times New Roman" w:cs="Times New Roman" w:eastAsia="Times New Roman" w:hAnsi="Times New Roman"/>
                <w:sz w:val="14"/>
                <w:szCs w:val="14"/>
                <w:color w:val="auto"/>
              </w:rPr>
              <w:t>April 2,</w:t>
            </w:r>
          </w:p>
        </w:tc>
      </w:tr>
      <w:tr>
        <w:trPr>
          <w:trHeight w:val="196"/>
        </w:trPr>
        <w:tc>
          <w:tcPr>
            <w:tcW w:w="85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2022</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8,099</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4,219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2,402</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1,622</w:t>
            </w: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3,740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3,587</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4,181</w:t>
            </w:r>
          </w:p>
        </w:tc>
      </w:tr>
      <w:tr>
        <w:trPr>
          <w:trHeight w:val="230"/>
        </w:trPr>
        <w:tc>
          <w:tcPr>
            <w:tcW w:w="8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1,590</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Guaymas fire related expenses</w:t>
            </w:r>
          </w:p>
        </w:tc>
        <w:tc>
          <w:tcPr>
            <w:tcW w:w="260" w:type="dxa"/>
            <w:vAlign w:val="bottom"/>
          </w:tcPr>
          <w:p>
            <w:pPr>
              <w:spacing w:after="0"/>
              <w:rPr>
                <w:sz w:val="19"/>
                <w:szCs w:val="19"/>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loss on operating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(3,886)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recoveries related to business interruption</w:t>
            </w:r>
          </w:p>
        </w:tc>
        <w:tc>
          <w:tcPr>
            <w:tcW w:w="2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purchase accounting adjustments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23,080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20,075</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of net revenues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bl>
    <w:p>
      <w:pPr>
        <w:spacing w:after="0" w:line="171" w:lineRule="exact"/>
        <w:rPr>
          <w:sz w:val="20"/>
          <w:szCs w:val="20"/>
          <w:color w:val="auto"/>
        </w:rPr>
      </w:pPr>
    </w:p>
    <w:p>
      <w:pPr>
        <w:ind w:right="12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April 1, 2023 and April 2, 2022 included $0.4 million and zero, respectively, of stock-based compensation expense for awards with both performance and market conditions that will be settled in cash.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of 2023 Compared to First Quarter of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net revenues, selected financial data, the effective tax rate and diluted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00" w:type="dxa"/>
            <w:vAlign w:val="bottom"/>
            <w:gridSpan w:val="7"/>
          </w:tcPr>
          <w:p>
            <w:pPr>
              <w:jc w:val="center"/>
              <w:ind w:left="653"/>
              <w:spacing w:after="0"/>
              <w:rPr>
                <w:sz w:val="20"/>
                <w:szCs w:val="20"/>
                <w:color w:val="auto"/>
              </w:rPr>
            </w:pPr>
            <w:r>
              <w:rPr>
                <w:rFonts w:ascii="Times New Roman" w:cs="Times New Roman" w:eastAsia="Times New Roman" w:hAnsi="Times New Roman"/>
                <w:sz w:val="14"/>
                <w:szCs w:val="14"/>
                <w:color w:val="auto"/>
              </w:rPr>
              <w:t>(Dollars in thousands, except per share data)</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color w:val="auto"/>
              </w:rPr>
              <w:t>April 1,</w:t>
            </w:r>
          </w:p>
        </w:tc>
        <w:tc>
          <w:tcPr>
            <w:tcW w:w="1100" w:type="dxa"/>
            <w:vAlign w:val="bottom"/>
            <w:gridSpan w:val="2"/>
          </w:tcPr>
          <w:p>
            <w:pPr>
              <w:jc w:val="center"/>
              <w:ind w:left="53"/>
              <w:spacing w:after="0" w:line="13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April 2,</w:t>
            </w:r>
          </w:p>
        </w:tc>
        <w:tc>
          <w:tcPr>
            <w:tcW w:w="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Net</w:t>
            </w:r>
          </w:p>
        </w:tc>
        <w:tc>
          <w:tcPr>
            <w:tcW w:w="0" w:type="dxa"/>
            <w:vAlign w:val="bottom"/>
          </w:tcPr>
          <w:p>
            <w:pPr>
              <w:spacing w:after="0"/>
              <w:rPr>
                <w:sz w:val="1"/>
                <w:szCs w:val="1"/>
                <w:color w:val="auto"/>
              </w:rPr>
            </w:pPr>
          </w:p>
        </w:tc>
      </w:tr>
      <w:tr>
        <w:trPr>
          <w:trHeight w:val="193"/>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Pr>
          <w:p>
            <w:pPr>
              <w:spacing w:after="0"/>
              <w:rPr>
                <w:sz w:val="16"/>
                <w:szCs w:val="16"/>
                <w:color w:val="auto"/>
              </w:rPr>
            </w:pPr>
          </w:p>
        </w:tc>
        <w:tc>
          <w:tcPr>
            <w:tcW w:w="960" w:type="dxa"/>
            <w:vAlign w:val="bottom"/>
          </w:tcPr>
          <w:p>
            <w:pPr>
              <w:jc w:val="right"/>
              <w:ind w:right="372"/>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Revenues</w:t>
            </w:r>
          </w:p>
        </w:tc>
        <w:tc>
          <w:tcPr>
            <w:tcW w:w="0" w:type="dxa"/>
            <w:vAlign w:val="bottom"/>
          </w:tcPr>
          <w:p>
            <w:pPr>
              <w:spacing w:after="0"/>
              <w:rPr>
                <w:sz w:val="1"/>
                <w:szCs w:val="1"/>
                <w:color w:val="auto"/>
              </w:rPr>
            </w:pPr>
          </w:p>
        </w:tc>
      </w:tr>
      <w:tr>
        <w:trPr>
          <w:trHeight w:val="228"/>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181,191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163,481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144,424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131,006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36,767</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32,475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26,225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23,352</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4,170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6,372</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9,123</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(4,219)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Pr>
          <w:p>
            <w:pPr>
              <w:spacing w:after="0"/>
              <w:rPr>
                <w:sz w:val="19"/>
                <w:szCs w:val="19"/>
                <w:color w:val="auto"/>
              </w:rPr>
            </w:pP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6,039</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9,721</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8,099</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End-Use Market and Operating Segment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end-use market and operating segment during the fiscal three months ended April 1, 2023 and April 2, 2022, respectively,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6"/>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6"/>
          </w:tcPr>
          <w:p>
            <w:pPr>
              <w:ind w:left="240"/>
              <w:spacing w:after="0"/>
              <w:rPr>
                <w:sz w:val="20"/>
                <w:szCs w:val="20"/>
                <w:color w:val="auto"/>
              </w:rPr>
            </w:pPr>
            <w:r>
              <w:rPr>
                <w:rFonts w:ascii="Times New Roman" w:cs="Times New Roman" w:eastAsia="Times New Roman" w:hAnsi="Times New Roman"/>
                <w:sz w:val="11"/>
                <w:szCs w:val="11"/>
                <w:color w:val="auto"/>
              </w:rPr>
              <w:t>(Dollars in thousands)</w:t>
            </w:r>
          </w:p>
        </w:tc>
        <w:tc>
          <w:tcPr>
            <w:tcW w:w="1840" w:type="dxa"/>
            <w:vAlign w:val="bottom"/>
            <w:gridSpan w:val="3"/>
          </w:tcPr>
          <w:p>
            <w:pPr>
              <w:jc w:val="right"/>
              <w:ind w:right="531"/>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Change</w:t>
            </w:r>
          </w:p>
        </w:tc>
        <w:tc>
          <w:tcPr>
            <w:tcW w:w="1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April 1,</w:t>
            </w:r>
          </w:p>
        </w:tc>
        <w:tc>
          <w:tcPr>
            <w:tcW w:w="100" w:type="dxa"/>
            <w:vAlign w:val="bottom"/>
          </w:tcPr>
          <w:p>
            <w:pPr>
              <w:spacing w:after="0"/>
              <w:rPr>
                <w:sz w:val="11"/>
                <w:szCs w:val="11"/>
                <w:color w:val="auto"/>
              </w:rPr>
            </w:pP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April 2,</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April 1,</w:t>
            </w: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1"/>
                <w:szCs w:val="11"/>
                <w:color w:val="auto"/>
              </w:rPr>
              <w:t>April 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232"/>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52"/>
              <w:spacing w:after="0"/>
              <w:rPr>
                <w:sz w:val="20"/>
                <w:szCs w:val="20"/>
                <w:color w:val="auto"/>
              </w:rPr>
            </w:pPr>
            <w:r>
              <w:rPr>
                <w:rFonts w:ascii="Times New Roman" w:cs="Times New Roman" w:eastAsia="Times New Roman" w:hAnsi="Times New Roman"/>
                <w:sz w:val="11"/>
                <w:szCs w:val="11"/>
                <w:color w:val="auto"/>
              </w:rPr>
              <w:t>2022</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12"/>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42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 Ducommun</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5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48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96,440</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99,334</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17,710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163,481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42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Electronic Systems</w:t>
            </w: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5260" w:type="dxa"/>
            <w:vAlign w:val="bottom"/>
            <w:tcBorders>
              <w:top w:val="single" w:sz="8" w:color="CCEEFF"/>
            </w:tcBorders>
            <w:gridSpan w:val="3"/>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73,327</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71,820</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10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73.7 %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Industrial</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11.1 %</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642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97,466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Structural Systems</w:t>
            </w:r>
          </w:p>
        </w:tc>
        <w:tc>
          <w:tcPr>
            <w:tcW w:w="524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Military and space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23,113</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aerospace</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38,501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69.4 %</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420" w:type="dxa"/>
            <w:vAlign w:val="bottom"/>
            <w:gridSpan w:val="4"/>
          </w:tcPr>
          <w:p>
            <w:pPr>
              <w:ind w:left="66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75,565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66,015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revenues for the three months ended April 1, 2023 were $181.2 million, compared to $163.5 million for the three months ended April 2, 2022. The year-over-year increase was primarily due to the following:</w:t>
      </w:r>
    </w:p>
    <w:p>
      <w:pPr>
        <w:spacing w:after="0" w:line="40" w:lineRule="exact"/>
        <w:rPr>
          <w:sz w:val="20"/>
          <w:szCs w:val="20"/>
          <w:color w:val="auto"/>
        </w:rPr>
      </w:pPr>
    </w:p>
    <w:p>
      <w:pPr>
        <w:ind w:left="660" w:right="28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million higher revenues in our commercial aerospace end-use markets due to higher build rates on other commercial aerospace platforms and large aircraft platforms; partially offset by</w:t>
      </w:r>
    </w:p>
    <w:p>
      <w:pPr>
        <w:spacing w:after="0" w:line="40"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lower revenues in our military and space end-use markets due to lower build rates on military fixed-wing aircraft platforms and military rotary-wing aircraft platforms, partially offset by higher build rates on other military and space platforms.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Major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net revenues are from our top ten customers as follows:</w:t>
      </w:r>
    </w:p>
    <w:p>
      <w:pPr>
        <w:spacing w:after="0" w:line="140" w:lineRule="exact"/>
        <w:rPr>
          <w:sz w:val="20"/>
          <w:szCs w:val="20"/>
          <w:color w:val="auto"/>
        </w:rPr>
      </w:pPr>
    </w:p>
    <w:tbl>
      <w:tblPr>
        <w:tblLayout w:type="fixed"/>
        <w:tblInd w:w="2840" w:type="dxa"/>
        <w:tblCellMar>
          <w:top w:w="0" w:type="dxa"/>
          <w:left w:w="0" w:type="dxa"/>
          <w:bottom w:w="0" w:type="dxa"/>
          <w:right w:w="0" w:type="dxa"/>
        </w:tblCellMar>
      </w:tblPr>
      <w:tr>
        <w:trPr>
          <w:trHeight w:val="188"/>
        </w:trPr>
        <w:tc>
          <w:tcPr>
            <w:tcW w:w="3080" w:type="dxa"/>
            <w:vAlign w:val="bottom"/>
          </w:tcPr>
          <w:p>
            <w:pPr>
              <w:spacing w:after="0"/>
              <w:rPr>
                <w:sz w:val="16"/>
                <w:szCs w:val="16"/>
                <w:color w:val="auto"/>
              </w:rPr>
            </w:pPr>
          </w:p>
        </w:tc>
        <w:tc>
          <w:tcPr>
            <w:tcW w:w="2480" w:type="dxa"/>
            <w:vAlign w:val="bottom"/>
            <w:gridSpan w:val="3"/>
          </w:tcPr>
          <w:p>
            <w:pPr>
              <w:jc w:val="right"/>
              <w:ind w:right="534"/>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23"/>
        </w:trPr>
        <w:tc>
          <w:tcPr>
            <w:tcW w:w="30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28"/>
        </w:trPr>
        <w:tc>
          <w:tcPr>
            <w:tcW w:w="3080" w:type="dxa"/>
            <w:vAlign w:val="bottom"/>
          </w:tcPr>
          <w:p>
            <w:pPr>
              <w:spacing w:after="0"/>
              <w:rPr>
                <w:sz w:val="11"/>
                <w:szCs w:val="11"/>
                <w:color w:val="auto"/>
              </w:rPr>
            </w:pPr>
          </w:p>
        </w:tc>
        <w:tc>
          <w:tcPr>
            <w:tcW w:w="1300" w:type="dxa"/>
            <w:vAlign w:val="bottom"/>
            <w:gridSpan w:val="2"/>
          </w:tcPr>
          <w:p>
            <w:pPr>
              <w:ind w:left="380"/>
              <w:spacing w:after="0" w:line="129" w:lineRule="exact"/>
              <w:rPr>
                <w:sz w:val="20"/>
                <w:szCs w:val="20"/>
                <w:color w:val="auto"/>
              </w:rPr>
            </w:pPr>
            <w:r>
              <w:rPr>
                <w:rFonts w:ascii="Times New Roman" w:cs="Times New Roman" w:eastAsia="Times New Roman" w:hAnsi="Times New Roman"/>
                <w:sz w:val="14"/>
                <w:szCs w:val="14"/>
                <w:color w:val="auto"/>
              </w:rPr>
              <w:t>April 1,</w:t>
            </w:r>
          </w:p>
        </w:tc>
        <w:tc>
          <w:tcPr>
            <w:tcW w:w="118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4"/>
                <w:szCs w:val="14"/>
                <w:color w:val="auto"/>
              </w:rPr>
              <w:t>April 2,</w:t>
            </w:r>
          </w:p>
        </w:tc>
      </w:tr>
      <w:tr>
        <w:trPr>
          <w:trHeight w:val="196"/>
        </w:trPr>
        <w:tc>
          <w:tcPr>
            <w:tcW w:w="308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2022</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 Company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Dynamics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 Grumman Corporation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 Technologies Corporation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 AeroSystems Holdings, Inc.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 Inc.</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3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top ten customers </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59.5 %</w:t>
            </w:r>
          </w:p>
        </w:tc>
      </w:tr>
    </w:tbl>
    <w:p>
      <w:pPr>
        <w:spacing w:after="0" w:line="225" w:lineRule="exact"/>
        <w:rPr>
          <w:sz w:val="20"/>
          <w:szCs w:val="20"/>
          <w:color w:val="auto"/>
        </w:rPr>
      </w:pPr>
    </w:p>
    <w:p>
      <w:pPr>
        <w:ind w:left="340" w:right="180" w:hanging="332"/>
        <w:spacing w:after="0" w:line="266"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Boeing Company (“Boeing”), General Dynamics Corporation (“GD”), Northrop Grumman Corporation (“Northrop”), Raytheon Technologies Corporation (“Raytheon”), Spirit AeroSystems Holdings, Inc. (“Spirit”), and Viasat, Inc. (“Viasat”) for the three months ended April 1, 2023 and April 2,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Boeing, GD, Northrop, Raytheon, Spirit, and Viasat represented the following percentages of total accounts receivable: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April 1,</w:t>
            </w:r>
          </w:p>
        </w:tc>
        <w:tc>
          <w:tcPr>
            <w:tcW w:w="1220" w:type="dxa"/>
            <w:vAlign w:val="bottom"/>
          </w:tcPr>
          <w:p>
            <w:pPr>
              <w:jc w:val="right"/>
              <w:ind w:right="135"/>
              <w:spacing w:after="0"/>
              <w:rPr>
                <w:sz w:val="20"/>
                <w:szCs w:val="20"/>
                <w:color w:val="auto"/>
              </w:rPr>
            </w:pPr>
            <w:r>
              <w:rPr>
                <w:rFonts w:ascii="Times New Roman" w:cs="Times New Roman" w:eastAsia="Times New Roman" w:hAnsi="Times New Roman"/>
                <w:sz w:val="14"/>
                <w:szCs w:val="14"/>
                <w:color w:val="auto"/>
              </w:rPr>
              <w:t>December 31,</w:t>
            </w:r>
          </w:p>
        </w:tc>
      </w:tr>
      <w:tr>
        <w:trPr>
          <w:trHeight w:val="193"/>
        </w:trPr>
        <w:tc>
          <w:tcPr>
            <w:tcW w:w="86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r>
      <w:tr>
        <w:trPr>
          <w:trHeight w:val="228"/>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Boeing</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Northrop</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Raytheon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Spirit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Viasat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bl>
    <w:p>
      <w:pPr>
        <w:spacing w:after="0" w:line="1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net revenues and accounts receivable from Boeing, GD, Northrop, Raytheon, Spirit, and Viasat are diversified over a number of commercial, military and space programs and were generated by both operating segments.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Gross profit consists of net revenues less cost of sales. Cost of sales includes the cost of production of finished products and other expenses related to inventory management, manufacturing quality, and order fulfillment. Gross profit as a percentage of net revenues increased year-over-year with the three months ended April 1, 2023 of 20.3%, compared to the three months ended April 2, 2022 of 19.9% primarily due to favorable manufacturing volume, partially offset by unfavorable other manufacturing costs and unfavorable product mix.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Expenses</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SG&amp;A expenses increased $2.9 million year-over-year in the three months ended April 1, 2023 compared to the three months ended April 2, 2022 primarily due to higher professional services fees of $1.9 million, mainly due to the BLR acquisition, and higher other general and administrative expenses of $0.6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Restructuring charges increased $4.2 million year-over-year in the three months ended April 1, 2023, compared to the three months ended April 2, 2022, primarily due to the restructuring plan that was approved and commenced in April 2022 that is expected to better position us for stronger performance. See Note 3 for further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increased $1.8 million year-over-year in the three months ended April 1, 2023 compared to the three months ended April 2, 2022 primarily due to higher interest rates, partially offset by a lower outstanding debt balance.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0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We recorded income tax expense of $0.8 million for the three months ended April 1, 2023, compared to $1.6 million for the three months ended April 2, 2022. The decrease in income tax expense for the first quarter of 2023 compared to the first quarter of 2022 was primarily due to lower pre-tax income in the first quarter of 2023 compared to the first quarter of 2022 and higher discrete tax benefits recognized for the first quarter of 2023 for net tax windfalls related to stock-based compensation compared to the first quarter of 2022. The decrease in income tax expense was partially offset by lower income tax benefits recognized in the first quarter of 2023 related to the U.S. Federal research and development tax credit compared to the first quarter of 2022.</w:t>
      </w:r>
    </w:p>
    <w:p>
      <w:pPr>
        <w:spacing w:after="0" w:line="4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total amount of unrecognized tax benefits was $5.2 million and $4.9 million as of April 1, 2023 and December 31, 2022, respectively. If recognized, $2.6 million would affect the effective tax rate. We record interest and penalty charges, if any, related to uncertain tax positions as a component of tax expense and unrecognized tax benefits. The amounts accrued for interest and penalty charges as of April 1, 2023 and December 31, 2022 were not significant. As a result of statute of limitations set to expire in the fourth quarter of 2023, we expect decreases to our unrecognized tax benefits of approximately $0.7 million in the next twelve months.</w:t>
      </w:r>
    </w:p>
    <w:p>
      <w:pPr>
        <w:spacing w:after="0" w:line="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U.S. Federal and state income tax returns. We are subject to examination by the Internal Revenue Service (“IRS”) for tax years after 2018 and by state taxing authorities for tax years after 2017. While we are no longer subject to examination prior to those periods, carryforwards generated prior to those periods may still be adjusted upon examination by the IRS or state taxing authorities if they either have been or will be used in a subsequent period. We believe we have adequately accrued for tax deficiencies or reductions in tax benefits, if any, that could result from the examination and all open audit years.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and earnings per share for the three months ended April 1, 2023 were $5.2 million, or $0.42 per diluted share, compared to $8.1 million, or $0.66 per diluted share, for the three months ended April 2, 2022. The decrease in net income for the three months ended April 1, 2023 compared to the three months ended April 2, 2022 was primarily due to higher restructuring charges of $4.2 million and higher SG&amp;A expenses of $2.9 million, partially offset by higher gross profit of $4.3 million.</w:t>
      </w:r>
    </w:p>
    <w:p>
      <w:pPr>
        <w:spacing w:after="0" w:line="200" w:lineRule="exact"/>
        <w:rPr>
          <w:sz w:val="20"/>
          <w:szCs w:val="20"/>
          <w:color w:val="auto"/>
        </w:rPr>
      </w:pPr>
    </w:p>
    <w:p>
      <w:pPr>
        <w:spacing w:after="0" w:line="3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Performance</w:t>
      </w:r>
    </w:p>
    <w:p>
      <w:pPr>
        <w:spacing w:after="0" w:line="108"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We report our financial performance based upon the two reportable operating segments: Electronic Systems and Structural Systems. The results of operations differ between our reportable operating segments due to differences in competitors, customers, extent of proprietary deliverables and performance. The following table summarizes our business segment performance for the three months ended April 1, 2023 and April 2,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Three Months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6"/>
          </w:tcPr>
          <w:p>
            <w:pPr>
              <w:spacing w:after="0" w:line="20" w:lineRule="exact"/>
              <w:rPr>
                <w:sz w:val="1"/>
                <w:szCs w:val="1"/>
                <w:color w:val="auto"/>
              </w:rPr>
            </w:pPr>
          </w:p>
        </w:tc>
        <w:tc>
          <w:tcPr>
            <w:tcW w:w="178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6520" w:type="dxa"/>
            <w:vAlign w:val="bottom"/>
          </w:tcPr>
          <w:p>
            <w:pPr>
              <w:spacing w:after="0"/>
              <w:rPr>
                <w:sz w:val="11"/>
                <w:szCs w:val="11"/>
                <w:color w:val="auto"/>
              </w:rPr>
            </w:pPr>
          </w:p>
        </w:tc>
        <w:tc>
          <w:tcPr>
            <w:tcW w:w="720" w:type="dxa"/>
            <w:vAlign w:val="bottom"/>
          </w:tcPr>
          <w:p>
            <w:pPr>
              <w:jc w:val="right"/>
              <w:ind w:right="261"/>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40" w:type="dxa"/>
            <w:vAlign w:val="bottom"/>
            <w:gridSpan w:val="6"/>
          </w:tcPr>
          <w:p>
            <w:pPr>
              <w:ind w:left="260"/>
              <w:spacing w:after="0"/>
              <w:rPr>
                <w:sz w:val="20"/>
                <w:szCs w:val="20"/>
                <w:color w:val="auto"/>
              </w:rPr>
            </w:pPr>
            <w:r>
              <w:rPr>
                <w:rFonts w:ascii="Times New Roman" w:cs="Times New Roman" w:eastAsia="Times New Roman" w:hAnsi="Times New Roman"/>
                <w:sz w:val="11"/>
                <w:szCs w:val="11"/>
                <w:color w:val="auto"/>
              </w:rPr>
              <w:t>(Dollars in thousands)</w:t>
            </w:r>
          </w:p>
        </w:tc>
        <w:tc>
          <w:tcPr>
            <w:tcW w:w="1780" w:type="dxa"/>
            <w:vAlign w:val="bottom"/>
            <w:gridSpan w:val="3"/>
          </w:tcPr>
          <w:p>
            <w:pPr>
              <w:jc w:val="right"/>
              <w:ind w:right="499"/>
              <w:spacing w:after="0"/>
              <w:rPr>
                <w:sz w:val="20"/>
                <w:szCs w:val="20"/>
                <w:color w:val="auto"/>
              </w:rPr>
            </w:pPr>
            <w:r>
              <w:rPr>
                <w:rFonts w:ascii="Times New Roman" w:cs="Times New Roman" w:eastAsia="Times New Roman" w:hAnsi="Times New Roman"/>
                <w:sz w:val="11"/>
                <w:szCs w:val="11"/>
                <w:color w:val="auto"/>
              </w:rPr>
              <w:t>% of Net Revenues</w:t>
            </w:r>
          </w:p>
        </w:tc>
        <w:tc>
          <w:tcPr>
            <w:tcW w:w="0" w:type="dxa"/>
            <w:vAlign w:val="bottom"/>
          </w:tcPr>
          <w:p>
            <w:pPr>
              <w:spacing w:after="0"/>
              <w:rPr>
                <w:sz w:val="1"/>
                <w:szCs w:val="1"/>
                <w:color w:val="auto"/>
              </w:rPr>
            </w:pPr>
          </w:p>
        </w:tc>
      </w:tr>
      <w:tr>
        <w:trPr>
          <w:trHeight w:val="130"/>
        </w:trPr>
        <w:tc>
          <w:tcPr>
            <w:tcW w:w="6520" w:type="dxa"/>
            <w:vAlign w:val="bottom"/>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Change</w:t>
            </w:r>
          </w:p>
        </w:tc>
        <w:tc>
          <w:tcPr>
            <w:tcW w:w="16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April 1,</w:t>
            </w:r>
          </w:p>
        </w:tc>
        <w:tc>
          <w:tcPr>
            <w:tcW w:w="80" w:type="dxa"/>
            <w:vAlign w:val="bottom"/>
          </w:tcPr>
          <w:p>
            <w:pPr>
              <w:spacing w:after="0"/>
              <w:rPr>
                <w:sz w:val="11"/>
                <w:szCs w:val="11"/>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April 2,</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April 1,</w:t>
            </w: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11"/>
                <w:szCs w:val="11"/>
                <w:color w:val="auto"/>
              </w:rPr>
              <w:t>April 2,</w:t>
            </w:r>
          </w:p>
        </w:tc>
        <w:tc>
          <w:tcPr>
            <w:tcW w:w="0" w:type="dxa"/>
            <w:vAlign w:val="bottom"/>
          </w:tcPr>
          <w:p>
            <w:pPr>
              <w:spacing w:after="0"/>
              <w:rPr>
                <w:sz w:val="1"/>
                <w:szCs w:val="1"/>
                <w:color w:val="auto"/>
              </w:rPr>
            </w:pPr>
          </w:p>
        </w:tc>
      </w:tr>
      <w:tr>
        <w:trPr>
          <w:trHeight w:val="140"/>
        </w:trPr>
        <w:tc>
          <w:tcPr>
            <w:tcW w:w="6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258"/>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2"/>
                <w:szCs w:val="12"/>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1"/>
                <w:szCs w:val="11"/>
                <w:color w:val="auto"/>
              </w:rPr>
              <w:t>2022</w:t>
            </w:r>
          </w:p>
        </w:tc>
        <w:tc>
          <w:tcPr>
            <w:tcW w:w="0" w:type="dxa"/>
            <w:vAlign w:val="bottom"/>
          </w:tcPr>
          <w:p>
            <w:pPr>
              <w:spacing w:after="0"/>
              <w:rPr>
                <w:sz w:val="1"/>
                <w:szCs w:val="1"/>
                <w:color w:val="auto"/>
              </w:rPr>
            </w:pPr>
          </w:p>
        </w:tc>
      </w:tr>
      <w:tr>
        <w:trPr>
          <w:trHeight w:val="22"/>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Net Revenues</w:t>
            </w: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105,626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97,466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59.6 %</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14.5 %</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75,565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66,015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41.7 %</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40.4 %</w:t>
            </w:r>
          </w:p>
        </w:tc>
        <w:tc>
          <w:tcPr>
            <w:tcW w:w="0" w:type="dxa"/>
            <w:vAlign w:val="bottom"/>
          </w:tcPr>
          <w:p>
            <w:pPr>
              <w:spacing w:after="0"/>
              <w:rPr>
                <w:sz w:val="1"/>
                <w:szCs w:val="1"/>
                <w:color w:val="auto"/>
              </w:rPr>
            </w:pPr>
          </w:p>
        </w:tc>
      </w:tr>
      <w:tr>
        <w:trPr>
          <w:trHeight w:val="169"/>
        </w:trPr>
        <w:tc>
          <w:tcPr>
            <w:tcW w:w="65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Net Revenues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10.8 %</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181,191</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163,481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Segment Operating Income</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10,011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0" w:type="dxa"/>
            <w:vAlign w:val="bottom"/>
          </w:tcPr>
          <w:p>
            <w:pPr>
              <w:spacing w:after="0"/>
              <w:rPr>
                <w:sz w:val="1"/>
                <w:szCs w:val="1"/>
                <w:color w:val="auto"/>
              </w:rPr>
            </w:pPr>
          </w:p>
        </w:tc>
      </w:tr>
      <w:tr>
        <w:trPr>
          <w:trHeight w:val="169"/>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3"/>
                <w:szCs w:val="13"/>
                <w:color w:val="auto"/>
              </w:rPr>
              <w:t xml:space="preserve">Corporate General and Administrative Expenses </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9"/>
        </w:trPr>
        <w:tc>
          <w:tcPr>
            <w:tcW w:w="65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Operating Income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6,372</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Adjusted EBITDA</w:t>
            </w: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Restructuring Charges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15,383</w:t>
            </w: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14.6 %</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13.3 %</w:t>
            </w: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Operating Income</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Restructuring Charges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Guaymas fire related expenses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Inventory Purchase Accounting Adjustments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12,941</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17.1 %</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16.2 %</w:t>
            </w:r>
          </w:p>
        </w:tc>
        <w:tc>
          <w:tcPr>
            <w:tcW w:w="0" w:type="dxa"/>
            <w:vAlign w:val="bottom"/>
          </w:tcPr>
          <w:p>
            <w:pPr>
              <w:spacing w:after="0"/>
              <w:rPr>
                <w:sz w:val="1"/>
                <w:szCs w:val="1"/>
                <w:color w:val="auto"/>
              </w:rPr>
            </w:pPr>
          </w:p>
        </w:tc>
      </w:tr>
      <w:tr>
        <w:trPr>
          <w:trHeight w:val="175"/>
        </w:trPr>
        <w:tc>
          <w:tcPr>
            <w:tcW w:w="6520" w:type="dxa"/>
            <w:vAlign w:val="bottom"/>
          </w:tcPr>
          <w:p>
            <w:pPr>
              <w:ind w:left="360"/>
              <w:spacing w:after="0" w:line="175" w:lineRule="exact"/>
              <w:rPr>
                <w:sz w:val="20"/>
                <w:szCs w:val="20"/>
                <w:color w:val="auto"/>
              </w:rPr>
            </w:pPr>
            <w:r>
              <w:rPr>
                <w:rFonts w:ascii="Times New Roman" w:cs="Times New Roman" w:eastAsia="Times New Roman" w:hAnsi="Times New Roman"/>
                <w:sz w:val="13"/>
                <w:szCs w:val="13"/>
                <w:color w:val="auto"/>
              </w:rPr>
              <w:t xml:space="preserve">Corporate General and Administrative Expenses </w:t>
            </w:r>
            <w:r>
              <w:rPr>
                <w:rFonts w:ascii="Times New Roman" w:cs="Times New Roman" w:eastAsia="Times New Roman" w:hAnsi="Times New Roman"/>
                <w:sz w:val="16"/>
                <w:szCs w:val="16"/>
                <w:color w:val="auto"/>
                <w:vertAlign w:val="superscript"/>
              </w:rPr>
              <w:t>(1)</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Operating Loss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6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680"/>
              <w:spacing w:after="0" w:line="181" w:lineRule="exact"/>
              <w:rPr>
                <w:sz w:val="20"/>
                <w:szCs w:val="20"/>
                <w:color w:val="auto"/>
              </w:rPr>
            </w:pPr>
            <w:r>
              <w:rPr>
                <w:rFonts w:ascii="Times New Roman" w:cs="Times New Roman" w:eastAsia="Times New Roman" w:hAnsi="Times New Roman"/>
                <w:sz w:val="13"/>
                <w:szCs w:val="13"/>
                <w:color w:val="auto"/>
              </w:rPr>
              <w:t xml:space="preserve">Stock-Based Compensation Expense </w:t>
            </w:r>
            <w:r>
              <w:rPr>
                <w:rFonts w:ascii="Times New Roman" w:cs="Times New Roman" w:eastAsia="Times New Roman" w:hAnsi="Times New Roman"/>
                <w:sz w:val="16"/>
                <w:szCs w:val="16"/>
                <w:color w:val="auto"/>
                <w:vertAlign w:val="superscript"/>
              </w:rPr>
              <w:t>(2)</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3,081</w:t>
            </w: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5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(5,244)</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shd w:val="clear" w:color="auto" w:fill="CCEEFF"/>
          </w:tcPr>
          <w:p>
            <w:pPr>
              <w:ind w:left="880"/>
              <w:spacing w:after="0" w:line="148" w:lineRule="exact"/>
              <w:rPr>
                <w:sz w:val="20"/>
                <w:szCs w:val="20"/>
                <w:color w:val="auto"/>
              </w:rPr>
            </w:pPr>
            <w:r>
              <w:rPr>
                <w:rFonts w:ascii="Times New Roman" w:cs="Times New Roman" w:eastAsia="Times New Roman" w:hAnsi="Times New Roman"/>
                <w:sz w:val="13"/>
                <w:szCs w:val="13"/>
                <w:color w:val="auto"/>
              </w:rPr>
              <w:t>Adjusted EBITDA</w:t>
            </w: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17"/>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23,080</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20,075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12.7 %</w:t>
            </w:r>
          </w:p>
        </w:tc>
        <w:tc>
          <w:tcPr>
            <w:tcW w:w="1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12.3 %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5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Electronic Systems</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5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Structural Systems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Corporate Administration</w:t>
            </w: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520" w:type="dxa"/>
            <w:vAlign w:val="bottom"/>
          </w:tcPr>
          <w:p>
            <w:pPr>
              <w:ind w:left="680"/>
              <w:spacing w:after="0" w:line="144" w:lineRule="exact"/>
              <w:rPr>
                <w:sz w:val="20"/>
                <w:szCs w:val="20"/>
                <w:color w:val="auto"/>
              </w:rPr>
            </w:pPr>
            <w:r>
              <w:rPr>
                <w:rFonts w:ascii="Times New Roman" w:cs="Times New Roman" w:eastAsia="Times New Roman" w:hAnsi="Times New Roman"/>
                <w:sz w:val="13"/>
                <w:szCs w:val="13"/>
                <w:color w:val="auto"/>
              </w:rPr>
              <w:t>Total Capital Expenditures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4,981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60" w:hanging="309"/>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not allocated to either the Electronic Systems or Structural Systems operating segments.</w:t>
      </w:r>
    </w:p>
    <w:p>
      <w:pPr>
        <w:spacing w:after="0" w:line="63" w:lineRule="exact"/>
        <w:rPr>
          <w:rFonts w:ascii="Times New Roman" w:cs="Times New Roman" w:eastAsia="Times New Roman" w:hAnsi="Times New Roman"/>
          <w:sz w:val="18"/>
          <w:szCs w:val="18"/>
          <w:color w:val="auto"/>
        </w:rPr>
      </w:pPr>
    </w:p>
    <w:p>
      <w:pPr>
        <w:ind w:left="580" w:right="360" w:hanging="329"/>
        <w:spacing w:after="0" w:line="282" w:lineRule="auto"/>
        <w:tabs>
          <w:tab w:leader="none" w:pos="5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April 1, 2023 and April 2, 2022 included $0.4 million and zero, respectively, of stock-based compensation expense for awards with both performance and market conditions that will be settled in cash.</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Electronic Systems</w:t>
      </w:r>
    </w:p>
    <w:p>
      <w:pPr>
        <w:spacing w:after="0" w:line="10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Electronic Systems net revenues in the three months ended April 1, 2023 compared to the three months ended April 2, 2022 increased $8.2 million primarily due to the following:</w:t>
      </w:r>
    </w:p>
    <w:p>
      <w:pPr>
        <w:spacing w:after="0" w:line="2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million higher revenues in our commercial aerospace end-use markets due to higher build rates on other commercial aerospace platforms; and</w:t>
      </w:r>
    </w:p>
    <w:p>
      <w:pPr>
        <w:spacing w:after="0" w:line="115"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higher revenues in our military and space end-use markets due to higher build rates on other military and space platforms, partially offset by lower build rates on military fixed-wing aircraft platforms.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Electronic Systems segment operating income in the three months ended April 1, 2023 compared to the three months ended April 2, 2022 increased $0.6 million primarily due to favorable manufacturing volume, partially offset by higher restructuring charges and unfavorable product mix.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Structural Systems</w:t>
      </w:r>
    </w:p>
    <w:p>
      <w:pPr>
        <w:spacing w:after="0" w:line="10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Structural Systems net revenues in the three months ended April 1, 2023 compared to the three months ended April 2, 2022 increased $9.6 million primarily due to the following:</w:t>
      </w:r>
    </w:p>
    <w:p>
      <w:pPr>
        <w:spacing w:after="0" w:line="40" w:lineRule="exact"/>
        <w:rPr>
          <w:sz w:val="20"/>
          <w:szCs w:val="20"/>
          <w:color w:val="auto"/>
        </w:rPr>
      </w:pPr>
    </w:p>
    <w:p>
      <w:pPr>
        <w:ind w:left="660" w:righ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million higher revenues in our commercial aerospace end-use markets due to higher build rates on large aircraft platforms and other commercial aerospace platforms; partially offset by</w:t>
      </w:r>
    </w:p>
    <w:p>
      <w:pPr>
        <w:spacing w:after="0" w:line="26"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lower revenues in our military and space end-use markets due to lower build rates on various missile platforms and military rotary-wing aircraft platforms.</w:t>
      </w:r>
    </w:p>
    <w:p>
      <w:pPr>
        <w:spacing w:after="0" w:line="4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Structural Systems segment operating income in the three months ended April 1, 2023 compared to the three months ended April 2, 2022 decreased $0.1 million primarily due to unfavorable other manufacturing costs, higher restructuring charges, and unfavorable product mix, partially offset by favorable manufacturing volume.</w:t>
      </w:r>
    </w:p>
    <w:p>
      <w:pPr>
        <w:spacing w:after="0" w:line="5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Subsequent to the quarter ended April 1, 2023, we completed the acquisition of BLR Aerospace, L.L.C. (“BLR”) on April 25, 2023. The purchase price for BLR was $115.0 million, net of cash 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June 2020, a fire severely damaged our performance center in Guaymas, Mexico. We have insurance coverage and up to a capped amount, expect these items will be covered, less our deductible. The full financial impact cannot be estimated at this time as we are currently working with our insurance carriers to determine the cause of the fire. The loss of production from the Guaymas performance center was being absorbed by our other existing performance centers, however, we have reestablished and are in the process of ramping up our manufacturing capabilities in a different leased facility in Guaymas. A neighboring, non-related manufacturing facility, also suffered fire damage during the same time as the fire that severely damaged our Guaymas performance center. The cause of the fire is still undetermined and as such, there is no amount of loss that is probable and reasonably estimable at this time. If we are ultimately deemed to be responsible or partly responsible, it is possible we could incur a loss in excess of our insurance coverage limits, which could be material to our cash flow, liquidity, or financial results. See Note 8 and Note 10 to our condensed consolidated financial statements included in Part I, Item 1 of this Form 10-Q.</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General and Administrative (“CG&amp;A”) Expenses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CG&amp;A expenses increased $3.2 million for the three months ended April 1, 2023 compared to the three months ended April 2, 2022 primarily due to higher compensation and benefits costs of $1.7 million and higher professional services fees of $1.5 million, mainly due to the BLR acquisition.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define backlog as customer placed purchase orders (“POs”) and long-term agreements (“LTAs”) with firm fixed price and expected delivery dates of 24 months or less. The majority of the LTAs do not meet the definition of a contract under ASC 606 and thus, the backlog amount disclosed below is greater than the remaining performance obligations amount disclosed in Note 1 to our condensed consolidated financial statements included in Part I, Item 1 of this Form 10-Q. Backlog is subject to delivery delays or program cancellations, which are beyond our control. Backlog is affected by timing differences in the placement of customer orders and tends to be concentrated in several programs to a greater extent than our net revenues. Backlog in industrial markets tends to be of a shorter duration and is generally fulfilled within a three month period. As a result of these factors, trends in our overall level of backlog may not be indicative of trends in our future net revenues.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decrease in backlog was primarily in the military and space end-use markets, partially offset by an increase in the commercial aerospace end-use markets. $647.0 million of total backlog is expected to be delivered over the next 12 months. The following table summarizes our backlog as of April 1, 2023 and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April 1,</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center"/>
              <w:ind w:right="213"/>
              <w:spacing w:after="0"/>
              <w:rPr>
                <w:sz w:val="20"/>
                <w:szCs w:val="20"/>
                <w:color w:val="auto"/>
              </w:rPr>
            </w:pPr>
            <w:r>
              <w:rPr>
                <w:rFonts w:ascii="Times New Roman" w:cs="Times New Roman" w:eastAsia="Times New Roman" w:hAnsi="Times New Roman"/>
                <w:sz w:val="14"/>
                <w:szCs w:val="14"/>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94"/>
        </w:trPr>
        <w:tc>
          <w:tcPr>
            <w:tcW w:w="20" w:type="dxa"/>
            <w:vAlign w:val="bottom"/>
            <w:tcBorders>
              <w:top w:val="single" w:sz="8" w:color="CCEEFF"/>
            </w:tcBorders>
            <w:shd w:val="clear" w:color="auto" w:fill="CCEEFF"/>
          </w:tcPr>
          <w:p>
            <w:pPr>
              <w:spacing w:after="0"/>
              <w:rPr>
                <w:sz w:val="16"/>
                <w:szCs w:val="16"/>
                <w:color w:val="auto"/>
              </w:rPr>
            </w:pPr>
          </w:p>
        </w:tc>
        <w:tc>
          <w:tcPr>
            <w:tcW w:w="6680" w:type="dxa"/>
            <w:vAlign w:val="bottom"/>
            <w:tcBorders>
              <w:top w:val="single" w:sz="8" w:color="CCEEFF"/>
            </w:tcBorders>
            <w:gridSpan w:val="4"/>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Consolidated Ducommun</w:t>
            </w:r>
          </w:p>
        </w:tc>
        <w:tc>
          <w:tcPr>
            <w:tcW w:w="3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9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47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444,318</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457,354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4"/>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960,820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8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Electronic Systems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680" w:type="dxa"/>
            <w:vAlign w:val="bottom"/>
            <w:gridSpan w:val="4"/>
            <w:vMerge w:val="continue"/>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540,546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Structural Systems</w:t>
            </w:r>
          </w:p>
        </w:tc>
        <w:tc>
          <w:tcPr>
            <w:tcW w:w="52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Military and space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aerospace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the weighted-average interest rate, cash and cash equivalents and available credit facilities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(Dollars in millions)</w:t>
            </w:r>
          </w:p>
        </w:tc>
        <w:tc>
          <w:tcPr>
            <w:tcW w:w="1360" w:type="dxa"/>
            <w:vAlign w:val="bottom"/>
          </w:tcPr>
          <w:p>
            <w:pPr>
              <w:spacing w:after="0"/>
              <w:rPr>
                <w:sz w:val="16"/>
                <w:szCs w:val="16"/>
                <w:color w:val="auto"/>
              </w:rPr>
            </w:pPr>
          </w:p>
        </w:tc>
      </w:tr>
      <w:tr>
        <w:trPr>
          <w:trHeight w:val="203"/>
        </w:trPr>
        <w:tc>
          <w:tcPr>
            <w:tcW w:w="7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1,</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455"/>
              <w:spacing w:after="0"/>
              <w:rPr>
                <w:sz w:val="20"/>
                <w:szCs w:val="20"/>
                <w:color w:val="auto"/>
              </w:rPr>
            </w:pPr>
            <w:r>
              <w:rPr>
                <w:rFonts w:ascii="Times New Roman" w:cs="Times New Roman" w:eastAsia="Times New Roman" w:hAnsi="Times New Roman"/>
                <w:sz w:val="14"/>
                <w:szCs w:val="14"/>
                <w:color w:val="auto"/>
              </w:rPr>
              <w:t>December 31,</w:t>
            </w:r>
          </w:p>
        </w:tc>
      </w:tr>
      <w:tr>
        <w:trPr>
          <w:trHeight w:val="202"/>
        </w:trPr>
        <w:tc>
          <w:tcPr>
            <w:tcW w:w="7320" w:type="dxa"/>
            <w:vAlign w:val="bottom"/>
          </w:tcPr>
          <w:p>
            <w:pPr>
              <w:spacing w:after="0"/>
              <w:rPr>
                <w:sz w:val="17"/>
                <w:szCs w:val="17"/>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4"/>
                <w:szCs w:val="14"/>
                <w:color w:val="auto"/>
              </w:rPr>
              <w:t>2023</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715"/>
              <w:spacing w:after="0"/>
              <w:rPr>
                <w:sz w:val="20"/>
                <w:szCs w:val="20"/>
                <w:color w:val="auto"/>
              </w:rPr>
            </w:pPr>
            <w:r>
              <w:rPr>
                <w:rFonts w:ascii="Times New Roman" w:cs="Times New Roman" w:eastAsia="Times New Roman" w:hAnsi="Times New Roman"/>
                <w:sz w:val="14"/>
                <w:szCs w:val="14"/>
                <w:color w:val="auto"/>
              </w:rPr>
              <w:t>2022</w:t>
            </w:r>
          </w:p>
        </w:tc>
      </w:tr>
      <w:tr>
        <w:trPr>
          <w:trHeight w:val="23"/>
        </w:trPr>
        <w:tc>
          <w:tcPr>
            <w:tcW w:w="73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including long-term portion</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248.4</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 on debt</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Loans interest rate</w:t>
            </w: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46.2</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Unused Revolving Credit Facility</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199.8</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completed a refinancing of all our existing debt by entering into a new term loan (“2022 Term Loan”) and a new revolving credit facility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Revolving Credit Facility”). The 2022 Term Loan is a $250.0 million senior secured loan that matures on July 14, 2027. The 2022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is a $200.0 million senior secured revolving credit facility that matures on July 14, 2027. The 2022 Term Loan and 2022 Revolving Credit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collectively are the new credit facilities (“2022 Credit Facilities”). In conjunction with the closing of the 2022 Credit Facilities, we utilized the entire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 million of proceeds from the 2022 Term Loan plus our existing cash on hand to pay off our entire debt balance outstanding of $254.2 million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credit facilities. At the same leverage ratio, the interest rate spread in the 2022 Credit Facilities is lower than the interest rate spread under our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facilities. Interest payments are typically paid either on a monthly or quarterly basis, depending on the interest rate selected, on the last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month or quarter. In addition, the 2022 Term Loan requires quarterly amortization payments of 0.625% during year one and year two, 1.250% during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three and year four, and 1.875% during year five of the original outstanding principal balance of the 2022 Term Loan amount, on the last business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quarter. Further, the undrawn portion of the commitment of the 2022 Revolving Credit Facility is subject to a commitment fee ranging from 0.175%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0.275%, based upon the consolidated total net adjusted leverage ratio, typically paid on a quarterly basis, on the last business day each quarter. However,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Revolving Credit Facility does not require any principal installment payments. As of April 1, 2023, we were in compliance with all covenants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under the 2022 Credit Facilities. See Note 7 to our condensed consolidated financial statements included in Part I, Item 1 of this Form 10-Q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information.</w:t>
      </w:r>
    </w:p>
    <w:p>
      <w:pPr>
        <w:spacing w:after="0" w:line="8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1, 2023 and April 2, 2022, we made voluntary prepayments on our existing debt in aggregate total of zero and $30.0 million, respectively. We also made the mandatory quarterly amortization payments under our existing debt during the three months ended April 1, 2023 and April 2, 2022 of $1.6 million and $1.8 million, respectively.</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April 2022, management approved and commenced a restructuring plan that will position us for stronger performance. The restructuring plan will mainly reduce headcount and consolidate facilities. As a result of this restructuring plan, we analyzed the need to write-down inventory and impair long-lived assets, including operating lease right-of-use assets. As of April 1, 2023, we estimate the remaining amount of charges related to this initiative to be $8.0 million to $12.0 million in total pre-tax restructuring charges through 2023. Of these charges, we estimate $6.0 million to $9.0 million to be cash payments for employee separation and other facility consolidation related expenses, and $2.0 million to $3.0 million to be non-cash charges for impairment of long-lived assets. On an annualized basis, we anticipate these restructuring actions will result in total cost savings of $11.0 million to $13.0 million. See Note 3 to our condensed consolidated financial statements included in Part I, Item 1 of this Form 10-Q for further information.</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November 2021, we entered into derivative contracts, U.S. dollar-one month LIBOR forward interest rate swaps designated as cash flow hedges, all with an effective date of January 1, 2024, for an aggregate total notional amount of $150.0 million, weighted average fixed rate of 1.8%, and all terminating on January 1, 2031 (“Forward Interest Rate Swaps”). The Forward Interest Rate Swaps mature on a monthly basis, with fixed amount payer payment dates on the first day of each calendar month, commencing on February 1, 2024 through January 1, 2031. See Note 1 and Note 7 to our condensed consolidated financial statements included in Part I, Item 1 of this Form 10-Q for further information.</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July 2022, as a result of completing a refinancing of our existing debt, we were required to complete an amendment of the Forward Interest Rate Swaps (“Amended Forward Interest Rate Swaps”). The Forward Interest Rate Swaps were based on U.S. dollar-one month LIBOR and were amended to be based on one month Term SOFR as borrowings using LIBOR are no longer available under the 2022 Credit Facilities. The Amended Forward Interest Rate Swaps weighted average fixed rate is 1.7%, as a result of the difference between U.S. dollar-one month LIBOR and one month Term SOFR. See Note 1 and Note 7 to our condensed consolidated financial statements included in Part I, Item 1 of this Form 10-Q for further information.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the quarter ended April 1, 2023, we completed the acquisition of BLR on April 25, 2023. The purchase price for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BLR was $115.0 million, net of cash acquired, all payable in cash. We paid a gross aggregate of $117.0 million in cash upon the closing of the transaction. We utilized the 2022 Revolving Credit Facility to complete the acquisition. See Note 2 to our condensed consolidated financial statements included in Part I, Item 1 of this Form 10-Q for further information.</w:t>
      </w:r>
    </w:p>
    <w:p>
      <w:pPr>
        <w:spacing w:after="0" w:line="4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We expect to spend a total of $17.0 million to $19.0 million for capital expenditures in 2023 financed by cash generated from operations, principally to support new contract awards in Electronic Systems and Structural Systems. As part of our strategic plan to become a supplier of higher-level assemblies and win new contract awards, additional up-front investment in tooling will be required for newer programs which have higher engineering content and higher levels of complexity in assemblies.</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believe the ongoing aerospace and defense subcontractor consolidation makes acquisitions an increasingly important component of our future growth. We will continue to make prudent acquisitions and capital expenditures for manufacturing equipment and facilities to support long-term contracts for commercial and military aircraft and defense programs.</w:t>
      </w:r>
    </w:p>
    <w:p>
      <w:pPr>
        <w:spacing w:after="0" w:line="5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monitor our asset base, including the market dynamics of the properties we own, and we may sell such properties and/or enter into sale-leaseback transactions. Such transactions would provide cash for various capital deployment options.</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continue to depend on operating cash flow and the availability of our 2022 Credit Facilities to provide short-term liquidity. Cash generated from operations and bank borrowing capacity is expected to provide sufficient liquidity to meet our obligations during the next twelve months from the date of issuance of these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Summary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April 1, 2023 was $18.9 million, essentially flat compared to $18.9 million for the three months ended April 2, 2022. The net cash used in operating activities during the first three months of 2023 was mainly due to higher inventories, lower accrued and other liabilities, and lower net income, partially offset by lower accounts receivable.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$5.4 million for the three months ended April 1, 2023, compared to $4.8 million in the three months ended April 2, 2022. The higher net cash used in investing activities during the first three months of 2023 compared to the prior year period was mainly due to higher purchases of property and equipment.</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$4.8 million for the three months ended April 1, 2023, compared to $33.4 million for the three months ended April 2, 2022. The lower net cash used in financing activities during the first three months of 2023 was mainly due to the $30.0 million pay down on term loans in the prior year three months ended April 2,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off-balance sheet arrangements consist of operating and finance leases not recorded as a result of the practical expedients utilized, right of offset of industrial revenue bonds and associated failed sales-leasebacks on property and equipment, and indemnities, none of which we believe may have a material current or future effect on our financial condition, liquidity, capital resources,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accounting principles generally accepted in the United States requires estimation and judgment that affect the reported amounts of net revenues, expenses, assets and liabilities. For a description of our critical accounting policies, please refer to “Critical Accounting Policies” in Part II, Item 7, “Management’s Discussion and Analysis of Financial Condition and Results of Operations” of our 2022 Annual Report on Form 10-K. There have been no material changes in any of our critical accounting policies during the three months ended April 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“Part I, Item 1. Ducommun Incorporated and Subsidiaries—Notes to Condensed Consolidated Financial Statements—Note 1. Summary of Significant Accounting Policies—Recent Accounting Pronouncements”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main market risk exposure relates to changes in U.S. interest rates on our outstanding long-term debt. At April 1, 2023, we had total borrowings of $246.9 million under our 2022 Credit Facilities.</w:t>
      </w:r>
    </w:p>
    <w:p>
      <w:pPr>
        <w:spacing w:after="0" w:line="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2022 Term Loan bears interest, at our option, at a rate equal to either (i) Term Secured Overnight Financing Rate (“Term SOFR”) plus an applicable margin ranging from 1.375% to 2.375% per year or (ii) Base Rate (defined as the highest of [a] Federal Funds Rate plus 0.50%, [b] Bank of America’s prime rate, and [c] Term SOFR plus 1.00%, and if the Base Rate is less than zero percent, it will be deemed zero percent) plus an applicable margin ranging from 0.375% to 1.375% per year, in each case based upon the consolidated total net adjusted leverage ratio.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2022 Revolving Credit Facility bears interest, at our option, at a rate equal to either (i) Term SOFR plus an applicable margin ranging from 1.375% to 2.375% per year or (ii) Base Rate (defined as the highest of [a] Federal Funds Rate plus 0.50%, [b] Bank of America’s prime rate, and [c] Term SOFR plus</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1.00%, and if the Base Rate is less than zero percent, it will be deemed zero percent) plus an applicable margin ranging from 0.375% to 1.375% per year, in each case based upon the consolidated total net adjusted leverage ratio.</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hypothetical 10% increase or decrease in the interest rate would have an immaterial impact on our financial condition and results of operations.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Disclosure Controls and Procedures</w:t>
      </w:r>
    </w:p>
    <w:p>
      <w:pPr>
        <w:spacing w:after="0" w:line="9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(“CEO”) and chief financial officer (“CFO”) have conducted an evaluation of the Company’s disclosure controls and procedures (as defined in Rules 13a-15(e) and 15d-15(e) of the Securities Exchange Act of 1934), and concluded that such disclosure controls and procedures were effective as of the end of the period covered by this report.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0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April 1, 2023 that have materially affected, or are reasonably likely to materially affect, our internal control over financial reporting.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to our condensed consolidated financial statements included in Part I, Item 1 of this Form 10-Q for a description of our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See Part I, Item 1A of our Annual Report on Form 10-K (“Form 10-K”) for the year ended December 31, 2022 for a discussion of our risk factors. There have been no material changes during the three months ended April 1, 2023 to the risk factors disclosed in our Form 10-K for the year ended December 31, 2022.</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9"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2.1 Agreement and Plan of Merger, dated as of September 11, 2017, among Ducommun LaBarge Technologies, Inc., LS Holdings Company LLC, and DLS</w:t>
        </w:r>
      </w:hyperlink>
      <w:r>
        <w:rPr>
          <w:rFonts w:ascii="Times New Roman" w:cs="Times New Roman" w:eastAsia="Times New Roman" w:hAnsi="Times New Roman"/>
          <w:sz w:val="18"/>
          <w:szCs w:val="18"/>
          <w:u w:val="single" w:color="auto"/>
          <w:color w:val="0000FF"/>
        </w:rPr>
        <w:t xml:space="preserve"> </w:t>
      </w:r>
      <w:hyperlink r:id="rId51">
        <w:r>
          <w:rPr>
            <w:rFonts w:ascii="Times New Roman" w:cs="Times New Roman" w:eastAsia="Times New Roman" w:hAnsi="Times New Roman"/>
            <w:sz w:val="18"/>
            <w:szCs w:val="18"/>
            <w:u w:val="single" w:color="auto"/>
            <w:color w:val="0000FF"/>
          </w:rPr>
          <w:t>Company LLC. Incorporated by reference to Exhibit 2.1 to Form 8-K filed on September 11, 2017.</w:t>
        </w:r>
      </w:hyperlink>
    </w:p>
    <w:p>
      <w:pPr>
        <w:spacing w:after="0" w:line="54" w:lineRule="exact"/>
        <w:rPr>
          <w:sz w:val="20"/>
          <w:szCs w:val="20"/>
          <w:color w:val="auto"/>
        </w:rPr>
      </w:pPr>
    </w:p>
    <w:p>
      <w:pPr>
        <w:ind w:left="340" w:right="20" w:hanging="323"/>
        <w:spacing w:after="0" w:line="282"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2.2 Agreement and Plan of Merger, dated as of October 8, 2019, among Ducommun LaBarge Technologies, Inc., DLT Acquisition, Inc., Nobles Parent Inc.,</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and the Stockholder Representative. Incorporated by reference to Exhibit 2.1 to Form 8-K filed on October 9, 2019.</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2.3 Equity Purchase Agreement dated December 15, 2021, by and between Ducommun LaBarge Technologies, Inc., Mag Parent, Inc. and Thomas B.</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Colby and Lyman J. Colby. Incorporated by reference to Exhibit 2.1 to Form 8-K filed on December 16, 2021.</w:t>
        </w:r>
      </w:hyperlink>
    </w:p>
    <w:p>
      <w:pPr>
        <w:spacing w:after="0" w:line="99" w:lineRule="exact"/>
        <w:rPr>
          <w:sz w:val="20"/>
          <w:szCs w:val="20"/>
          <w:color w:val="auto"/>
        </w:rPr>
      </w:pPr>
    </w:p>
    <w:p>
      <w:pPr>
        <w:ind w:left="340" w:right="80" w:hanging="323"/>
        <w:spacing w:after="0" w:line="266"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2.4 Securities Purchase Agreement dated March 20, 2023, by and among BLR Aerospace, L.L.C., the Undersigned Equityholders of the Company,</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Crescent Capital Aerospace, L.L.C., as the Seller Representative, Ducommun LaBarge Technologies, Inc., and Ducommun Incorporated. Incorporated</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by reference to Exhibit 2.1 to Form 8-K filed on March 21, 2023.</w:t>
        </w:r>
      </w:hyperlink>
    </w:p>
    <w:p>
      <w:pPr>
        <w:spacing w:after="0" w:line="6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2.5 Agreement of Purchase and Sale and Agreement to Enter into Lease dated as of December 16, 2021, by and among Ducommun Aerostructures, Inc.</w:t>
        </w:r>
      </w:hyperlink>
    </w:p>
    <w:p>
      <w:pPr>
        <w:spacing w:after="0" w:line="27" w:lineRule="exact"/>
        <w:rPr>
          <w:rFonts w:ascii="Times New Roman" w:cs="Times New Roman" w:eastAsia="Times New Roman" w:hAnsi="Times New Roman"/>
          <w:sz w:val="18"/>
          <w:szCs w:val="18"/>
          <w:u w:val="single" w:color="auto"/>
          <w:color w:val="0000FF"/>
        </w:rPr>
      </w:pPr>
    </w:p>
    <w:p>
      <w:pPr>
        <w:ind w:left="340"/>
        <w:spacing w:after="0"/>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and Centerpoint 268 Gardena LLC. Incorporated by reference to Exhibit 2.1 to Form 8-K filed on December 20, 2021.</w:t>
        </w:r>
      </w:hyperlink>
    </w:p>
    <w:p>
      <w:pPr>
        <w:spacing w:after="0" w:line="99" w:lineRule="exact"/>
        <w:rPr>
          <w:rFonts w:ascii="Times New Roman" w:cs="Times New Roman" w:eastAsia="Times New Roman" w:hAnsi="Times New Roman"/>
          <w:sz w:val="18"/>
          <w:szCs w:val="18"/>
          <w:u w:val="single" w:color="auto"/>
          <w:color w:val="0000FF"/>
        </w:rPr>
      </w:pPr>
    </w:p>
    <w:p>
      <w:pPr>
        <w:ind w:left="340" w:hanging="323"/>
        <w:spacing w:after="0" w:line="266"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2.6 Securities Purchase Agreement dated March 20, 2023, by and between Ducommun LaBarge Technologies, Inc., Ducommun Incorporated, solely for the</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purposes of Section 7.07, BLR, L.L.C., Crescent Capital Aerospace, L.L.C. and Michael Carpenter. Incorporated by reference to Exhibit 2.1 to Form</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8-K filed on March 21, 2023.</w:t>
        </w:r>
      </w:hyperlink>
    </w:p>
    <w:p>
      <w:pPr>
        <w:spacing w:after="0" w:line="68" w:lineRule="exact"/>
        <w:rPr>
          <w:rFonts w:ascii="Times New Roman" w:cs="Times New Roman" w:eastAsia="Times New Roman" w:hAnsi="Times New Roman"/>
          <w:sz w:val="18"/>
          <w:szCs w:val="18"/>
          <w:u w:val="single" w:color="auto"/>
          <w:color w:val="0000FF"/>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Restated Certificate of Incorporation filed with the Delaware Secretary of State on May 29, 1990. Incorporated by reference to Exhibit 3.1 to Form</w:t>
      </w:r>
    </w:p>
    <w:p>
      <w:pPr>
        <w:spacing w:after="0" w:line="27" w:lineRule="exact"/>
        <w:rPr>
          <w:rFonts w:ascii="Times New Roman" w:cs="Times New Roman" w:eastAsia="Times New Roman" w:hAnsi="Times New Roman"/>
          <w:sz w:val="18"/>
          <w:szCs w:val="18"/>
          <w:u w:val="single" w:color="auto"/>
          <w:color w:val="0000FF"/>
        </w:rPr>
      </w:pPr>
    </w:p>
    <w:p>
      <w:pPr>
        <w:ind w:left="340"/>
        <w:spacing w:after="0"/>
        <w:rPr>
          <w:sz w:val="20"/>
          <w:szCs w:val="20"/>
          <w:color w:val="auto"/>
        </w:rPr>
      </w:pPr>
      <w:r>
        <w:rPr>
          <w:rFonts w:ascii="Times New Roman" w:cs="Times New Roman" w:eastAsia="Times New Roman" w:hAnsi="Times New Roman"/>
          <w:sz w:val="18"/>
          <w:szCs w:val="18"/>
          <w:color w:val="auto"/>
        </w:rPr>
        <w:t>10-K for the year ended December 31, 1990.</w:t>
      </w:r>
    </w:p>
    <w:p>
      <w:pPr>
        <w:spacing w:after="0" w:line="99" w:lineRule="exact"/>
        <w:rPr>
          <w:rFonts w:ascii="Times New Roman" w:cs="Times New Roman" w:eastAsia="Times New Roman" w:hAnsi="Times New Roman"/>
          <w:sz w:val="18"/>
          <w:szCs w:val="18"/>
          <w:u w:val="single" w:color="auto"/>
          <w:color w:val="0000FF"/>
        </w:rPr>
      </w:pPr>
    </w:p>
    <w:p>
      <w:pPr>
        <w:ind w:left="340" w:right="380" w:hanging="323"/>
        <w:spacing w:after="0" w:line="282" w:lineRule="auto"/>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3.2 Certificate of Amendment of Certificate of Incorporation filed with the Delaware Secretary of State on May 27, 1998. Incorporated by reference to</w:t>
        </w:r>
      </w:hyperlink>
      <w:r>
        <w:rPr>
          <w:rFonts w:ascii="Times New Roman" w:cs="Times New Roman" w:eastAsia="Times New Roman" w:hAnsi="Times New Roman"/>
          <w:sz w:val="18"/>
          <w:szCs w:val="18"/>
          <w:u w:val="single" w:color="auto"/>
          <w:color w:val="0000FF"/>
        </w:rPr>
        <w:t xml:space="preserve"> </w:t>
      </w:r>
      <w:hyperlink r:id="rId56">
        <w:r>
          <w:rPr>
            <w:rFonts w:ascii="Times New Roman" w:cs="Times New Roman" w:eastAsia="Times New Roman" w:hAnsi="Times New Roman"/>
            <w:sz w:val="18"/>
            <w:szCs w:val="18"/>
            <w:u w:val="single" w:color="auto"/>
            <w:color w:val="0000FF"/>
          </w:rPr>
          <w:t>Exhibit 3.2 to Form 10-K for the year ended December 31, 1998.</w:t>
        </w:r>
      </w:hyperlink>
    </w:p>
    <w:p>
      <w:pPr>
        <w:spacing w:after="0" w:line="54" w:lineRule="exact"/>
        <w:rPr>
          <w:sz w:val="20"/>
          <w:szCs w:val="20"/>
          <w:color w:val="auto"/>
        </w:rPr>
      </w:pPr>
    </w:p>
    <w:p>
      <w:pPr>
        <w:ind w:left="340" w:right="200" w:hanging="323"/>
        <w:spacing w:after="0" w:line="282"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3.3 Amended and Restated Bylaws of Ducommun Incorporated, dated as of November 4, 2022. Incorporated by reference to Exhibit 3.3 to to Form 10-K</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for the year ended December 31, 2022.</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4.1 Description of Ducommun Incorporated Securities Registered under Section 12 of the Exchange Act. Incorporated by reference to Exhibit 4.1 to Form</w:t>
        </w:r>
      </w:hyperlink>
    </w:p>
    <w:p>
      <w:pPr>
        <w:spacing w:after="0" w:line="27" w:lineRule="exact"/>
        <w:rPr>
          <w:sz w:val="20"/>
          <w:szCs w:val="20"/>
          <w:color w:val="auto"/>
        </w:rPr>
      </w:pPr>
    </w:p>
    <w:p>
      <w:pPr>
        <w:ind w:left="340"/>
        <w:spacing w:after="0"/>
        <w:rPr>
          <w:rFonts w:ascii="Times New Roman" w:cs="Times New Roman" w:eastAsia="Times New Roman" w:hAnsi="Times New Roman"/>
          <w:sz w:val="18"/>
          <w:szCs w:val="18"/>
          <w:u w:val="single" w:color="auto"/>
          <w:color w:val="0000FF"/>
        </w:rPr>
      </w:pPr>
      <w:hyperlink r:id="rId58">
        <w:r>
          <w:rPr>
            <w:rFonts w:ascii="Times New Roman" w:cs="Times New Roman" w:eastAsia="Times New Roman" w:hAnsi="Times New Roman"/>
            <w:sz w:val="18"/>
            <w:szCs w:val="18"/>
            <w:u w:val="single" w:color="auto"/>
            <w:color w:val="0000FF"/>
          </w:rPr>
          <w:t>10-K for the year ended December 31, 2019.</w:t>
        </w:r>
      </w:hyperlink>
    </w:p>
    <w:p>
      <w:pPr>
        <w:spacing w:after="0" w:line="85" w:lineRule="exact"/>
        <w:rPr>
          <w:sz w:val="20"/>
          <w:szCs w:val="20"/>
          <w:color w:val="auto"/>
        </w:rPr>
      </w:pPr>
    </w:p>
    <w:p>
      <w:pPr>
        <w:ind w:left="420" w:right="200" w:hanging="404"/>
        <w:spacing w:after="0" w:line="266" w:lineRule="auto"/>
        <w:rPr>
          <w:rFonts w:ascii="Times New Roman" w:cs="Times New Roman" w:eastAsia="Times New Roman" w:hAnsi="Times New Roman"/>
          <w:sz w:val="18"/>
          <w:szCs w:val="18"/>
          <w:u w:val="single" w:color="auto"/>
          <w:color w:val="0000FF"/>
        </w:rPr>
      </w:pPr>
      <w:hyperlink r:id="rId59">
        <w:r>
          <w:rPr>
            <w:rFonts w:ascii="Times New Roman" w:cs="Times New Roman" w:eastAsia="Times New Roman" w:hAnsi="Times New Roman"/>
            <w:sz w:val="18"/>
            <w:szCs w:val="18"/>
            <w:u w:val="single" w:color="auto"/>
            <w:color w:val="0000FF"/>
          </w:rPr>
          <w:t>10.1 Credit Agreement, dated as of July 14, 2022, by and among Ducommun Incorporated, as Borrower, the subsidiaries of the Borrower party thereto as</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Guarantors, Bank of America, N.A., as Administrative Agent, Swingline Lender and an L/C Issuer, and the lender party thereto. Incorporated by</w:t>
        </w:r>
      </w:hyperlink>
      <w:r>
        <w:rPr>
          <w:rFonts w:ascii="Times New Roman" w:cs="Times New Roman" w:eastAsia="Times New Roman" w:hAnsi="Times New Roman"/>
          <w:sz w:val="18"/>
          <w:szCs w:val="18"/>
          <w:u w:val="single" w:color="auto"/>
          <w:color w:val="0000FF"/>
        </w:rPr>
        <w:t xml:space="preserve"> </w:t>
      </w:r>
      <w:hyperlink r:id="rId59">
        <w:r>
          <w:rPr>
            <w:rFonts w:ascii="Times New Roman" w:cs="Times New Roman" w:eastAsia="Times New Roman" w:hAnsi="Times New Roman"/>
            <w:sz w:val="18"/>
            <w:szCs w:val="18"/>
            <w:u w:val="single" w:color="auto"/>
            <w:color w:val="0000FF"/>
          </w:rPr>
          <w:t>reference to Exhibit 10.1 to Form 8-K filed on July 18, 2022.</w:t>
        </w:r>
      </w:hyperlink>
    </w:p>
    <w:p>
      <w:pPr>
        <w:spacing w:after="0" w:line="41" w:lineRule="exact"/>
        <w:rPr>
          <w:rFonts w:ascii="Times New Roman" w:cs="Times New Roman" w:eastAsia="Times New Roman" w:hAnsi="Times New Roman"/>
          <w:sz w:val="18"/>
          <w:szCs w:val="18"/>
          <w:u w:val="single" w:color="auto"/>
          <w:color w:val="0000FF"/>
        </w:rPr>
      </w:pPr>
    </w:p>
    <w:p>
      <w:pPr>
        <w:ind w:left="500" w:right="600" w:hanging="485"/>
        <w:spacing w:after="0" w:line="282" w:lineRule="auto"/>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*10.2 2013 Stock Incentive Plan (Amended and Restated May 2, 2018). Incorporated by reference to Appendix A of Definitive Proxy Statement on</w:t>
        </w:r>
      </w:hyperlink>
      <w:r>
        <w:rPr>
          <w:rFonts w:ascii="Times New Roman" w:cs="Times New Roman" w:eastAsia="Times New Roman" w:hAnsi="Times New Roman"/>
          <w:sz w:val="18"/>
          <w:szCs w:val="18"/>
          <w:u w:val="single" w:color="auto"/>
          <w:color w:val="0000FF"/>
        </w:rPr>
        <w:t xml:space="preserve"> </w:t>
      </w:r>
      <w:hyperlink r:id="rId60">
        <w:r>
          <w:rPr>
            <w:rFonts w:ascii="Times New Roman" w:cs="Times New Roman" w:eastAsia="Times New Roman" w:hAnsi="Times New Roman"/>
            <w:sz w:val="18"/>
            <w:szCs w:val="18"/>
            <w:u w:val="single" w:color="auto"/>
            <w:color w:val="0000FF"/>
          </w:rPr>
          <w:t>Schedule 14a, filed on March 23, 2018.</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1">
        <w:r>
          <w:rPr>
            <w:rFonts w:ascii="Times New Roman" w:cs="Times New Roman" w:eastAsia="Times New Roman" w:hAnsi="Times New Roman"/>
            <w:sz w:val="18"/>
            <w:szCs w:val="18"/>
            <w:u w:val="single" w:color="auto"/>
            <w:color w:val="0000FF"/>
          </w:rPr>
          <w:t>*10.3 Amended and Restated 2020 Stock Incentive Plan. Incorporated by reference to Exhibit 10.1 to Form 8-K filed on April 20, 2022.</w:t>
        </w:r>
      </w:hyperlink>
    </w:p>
    <w:p>
      <w:pPr>
        <w:spacing w:after="0" w:line="10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*10.4 2018 Employee Stock Purchase Plan. Incorporated by reference to Appendix B of Definitive Proxy Statement on Schedule 14a, filed on March 23,</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0">
        <w:r>
          <w:rPr>
            <w:rFonts w:ascii="Times New Roman" w:cs="Times New Roman" w:eastAsia="Times New Roman" w:hAnsi="Times New Roman"/>
            <w:sz w:val="18"/>
            <w:szCs w:val="18"/>
            <w:u w:val="single" w:color="auto"/>
            <w:color w:val="0000FF"/>
          </w:rPr>
          <w:t>2018.</w:t>
        </w:r>
      </w:hyperlink>
    </w:p>
    <w:p>
      <w:pPr>
        <w:spacing w:after="0" w:line="7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*10.5 2020 Employee Stock Incentive Plan. Incorporated by reference to Appendix A of Definitive Proxy Statement on Schedule 14a, filed on March 20,</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2">
        <w:r>
          <w:rPr>
            <w:rFonts w:ascii="Times New Roman" w:cs="Times New Roman" w:eastAsia="Times New Roman" w:hAnsi="Times New Roman"/>
            <w:sz w:val="18"/>
            <w:szCs w:val="18"/>
            <w:u w:val="single" w:color="auto"/>
            <w:color w:val="0000FF"/>
          </w:rPr>
          <w:t>2020.</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*10.6 Form of Stock Option Agreement for 2016 and earlier. Incorporated by reference to Exhibit 10.8 to Form 10-K for the year ended December 31,</w:t>
        </w:r>
      </w:hyperlink>
    </w:p>
    <w:p>
      <w:pPr>
        <w:spacing w:after="0" w:line="27" w:lineRule="exact"/>
        <w:rPr>
          <w:sz w:val="20"/>
          <w:szCs w:val="20"/>
          <w:color w:val="auto"/>
        </w:rPr>
      </w:pPr>
    </w:p>
    <w:p>
      <w:pPr>
        <w:ind w:left="500"/>
        <w:spacing w:after="0"/>
        <w:rPr>
          <w:rFonts w:ascii="Times New Roman" w:cs="Times New Roman" w:eastAsia="Times New Roman" w:hAnsi="Times New Roman"/>
          <w:sz w:val="18"/>
          <w:szCs w:val="18"/>
          <w:u w:val="single" w:color="auto"/>
          <w:color w:val="0000FF"/>
        </w:rPr>
      </w:pPr>
      <w:hyperlink r:id="rId63">
        <w:r>
          <w:rPr>
            <w:rFonts w:ascii="Times New Roman" w:cs="Times New Roman" w:eastAsia="Times New Roman" w:hAnsi="Times New Roman"/>
            <w:sz w:val="18"/>
            <w:szCs w:val="18"/>
            <w:u w:val="single" w:color="auto"/>
            <w:color w:val="0000FF"/>
          </w:rPr>
          <w:t>2003.</w:t>
        </w:r>
      </w:hyperlink>
    </w:p>
    <w:p>
      <w:pPr>
        <w:spacing w:after="0" w:line="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4">
        <w:r>
          <w:rPr>
            <w:rFonts w:ascii="Times New Roman" w:cs="Times New Roman" w:eastAsia="Times New Roman" w:hAnsi="Times New Roman"/>
            <w:sz w:val="18"/>
            <w:szCs w:val="18"/>
            <w:u w:val="single" w:color="auto"/>
            <w:color w:val="0000FF"/>
          </w:rPr>
          <w:t>*10.7 Form of Stock Option Agreement for 2017. Incorporated by reference to Exhibit 10.5 to Form 10-K for the year ended December 31, 2016.</w:t>
        </w:r>
      </w:hyperlink>
    </w:p>
    <w:p>
      <w:pPr>
        <w:spacing w:after="0" w:line="9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65">
        <w:r>
          <w:rPr>
            <w:rFonts w:ascii="Times New Roman" w:cs="Times New Roman" w:eastAsia="Times New Roman" w:hAnsi="Times New Roman"/>
            <w:sz w:val="18"/>
            <w:szCs w:val="18"/>
            <w:u w:val="single" w:color="auto"/>
            <w:color w:val="0000FF"/>
          </w:rPr>
          <w:t>*10.8 Form of Stock Option Agreement for 2018 and after. Incorporated by reference to Exhibit 4.7 to Form S-8, filed on May 10, 2018.</w:t>
        </w:r>
      </w:hyperlink>
    </w:p>
    <w:p>
      <w:pPr>
        <w:spacing w:after="0" w:line="104" w:lineRule="exact"/>
        <w:rPr>
          <w:sz w:val="20"/>
          <w:szCs w:val="20"/>
          <w:color w:val="auto"/>
        </w:rPr>
      </w:pPr>
    </w:p>
    <w:p>
      <w:pPr>
        <w:ind w:left="500" w:right="640" w:hanging="485"/>
        <w:spacing w:after="0" w:line="282" w:lineRule="auto"/>
        <w:rPr>
          <w:rFonts w:ascii="Times New Roman" w:cs="Times New Roman" w:eastAsia="Times New Roman" w:hAnsi="Times New Roman"/>
          <w:sz w:val="18"/>
          <w:szCs w:val="18"/>
          <w:u w:val="single" w:color="auto"/>
          <w:color w:val="0000FF"/>
        </w:rPr>
      </w:pPr>
      <w:hyperlink r:id="rId66">
        <w:r>
          <w:rPr>
            <w:rFonts w:ascii="Times New Roman" w:cs="Times New Roman" w:eastAsia="Times New Roman" w:hAnsi="Times New Roman"/>
            <w:sz w:val="18"/>
            <w:szCs w:val="18"/>
            <w:u w:val="single" w:color="auto"/>
            <w:color w:val="0000FF"/>
          </w:rPr>
          <w:t>*10.9 Form of Restricted Stock Unit Agreement for 2017 through 2019. Incorporated by reference to Exhibit 10.9 to Form 10-K for the year ended</w:t>
        </w:r>
      </w:hyperlink>
      <w:r>
        <w:rPr>
          <w:rFonts w:ascii="Times New Roman" w:cs="Times New Roman" w:eastAsia="Times New Roman" w:hAnsi="Times New Roman"/>
          <w:sz w:val="18"/>
          <w:szCs w:val="18"/>
          <w:u w:val="single" w:color="auto"/>
          <w:color w:val="0000FF"/>
        </w:rPr>
        <w:t xml:space="preserve"> </w:t>
      </w:r>
      <w:hyperlink r:id="rId66">
        <w:r>
          <w:rPr>
            <w:rFonts w:ascii="Times New Roman" w:cs="Times New Roman" w:eastAsia="Times New Roman" w:hAnsi="Times New Roman"/>
            <w:sz w:val="18"/>
            <w:szCs w:val="18"/>
            <w:u w:val="single" w:color="auto"/>
            <w:color w:val="0000FF"/>
          </w:rPr>
          <w:t>December 31, 2016.</w:t>
        </w:r>
      </w:hyperlink>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79" w:lineRule="exact"/>
        <w:rPr>
          <w:sz w:val="20"/>
          <w:szCs w:val="20"/>
          <w:color w:val="auto"/>
        </w:rPr>
      </w:pPr>
    </w:p>
    <w:p>
      <w:pPr>
        <w:ind w:left="580" w:right="140" w:hanging="566"/>
        <w:spacing w:after="0" w:line="282" w:lineRule="auto"/>
        <w:rPr>
          <w:rFonts w:ascii="Times New Roman" w:cs="Times New Roman" w:eastAsia="Times New Roman" w:hAnsi="Times New Roman"/>
          <w:sz w:val="18"/>
          <w:szCs w:val="18"/>
          <w:u w:val="single" w:color="auto"/>
          <w:color w:val="0000FF"/>
        </w:rPr>
      </w:pPr>
      <w:hyperlink r:id="rId69">
        <w:r>
          <w:rPr>
            <w:rFonts w:ascii="Times New Roman" w:cs="Times New Roman" w:eastAsia="Times New Roman" w:hAnsi="Times New Roman"/>
            <w:sz w:val="18"/>
            <w:szCs w:val="18"/>
            <w:u w:val="single" w:color="auto"/>
            <w:color w:val="0000FF"/>
          </w:rPr>
          <w:t>*10.10 Performance Restricted Stock Unit Agreement dated January 23, 2017 between Ducommun Incorporated and Stephen G. Oswald. Incorporated by</w:t>
        </w:r>
      </w:hyperlink>
      <w:r>
        <w:rPr>
          <w:rFonts w:ascii="Times New Roman" w:cs="Times New Roman" w:eastAsia="Times New Roman" w:hAnsi="Times New Roman"/>
          <w:sz w:val="18"/>
          <w:szCs w:val="18"/>
          <w:u w:val="single" w:color="auto"/>
          <w:color w:val="0000FF"/>
        </w:rPr>
        <w:t xml:space="preserve"> </w:t>
      </w:r>
      <w:hyperlink r:id="rId69">
        <w:r>
          <w:rPr>
            <w:rFonts w:ascii="Times New Roman" w:cs="Times New Roman" w:eastAsia="Times New Roman" w:hAnsi="Times New Roman"/>
            <w:sz w:val="18"/>
            <w:szCs w:val="18"/>
            <w:u w:val="single" w:color="auto"/>
            <w:color w:val="0000FF"/>
          </w:rPr>
          <w:t>reference to Exhibit 10.11 to Form 10-K for the year ended December 31, 2016.</w:t>
        </w:r>
      </w:hyperlink>
    </w:p>
    <w:p>
      <w:pPr>
        <w:spacing w:after="0" w:line="2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*10.11 Form of Performance Stock Unit Agreement for 2020 and after. Incorporated by reference to Exhibit 10.18 to Form 10-Q for the period ended June</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27, 2020.</w:t>
        </w:r>
      </w:hyperlink>
    </w:p>
    <w:p>
      <w:pPr>
        <w:spacing w:after="0" w:line="85" w:lineRule="exact"/>
        <w:rPr>
          <w:sz w:val="20"/>
          <w:szCs w:val="20"/>
          <w:color w:val="auto"/>
        </w:rPr>
      </w:pPr>
    </w:p>
    <w:p>
      <w:pPr>
        <w:ind w:left="580" w:right="20" w:hanging="566"/>
        <w:spacing w:after="0" w:line="282"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*10.12 Form of Restricted Stock Unit Agreement for Non-Qualified Deferred Compensation Plan Participants for 2020 and after. Incorporated by reference</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to Exhibit 10.19 to Form 10-Q for the period ended June 27, 2020.</w:t>
        </w:r>
      </w:hyperlink>
    </w:p>
    <w:p>
      <w:pPr>
        <w:spacing w:after="0" w:line="4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72">
        <w:r>
          <w:rPr>
            <w:rFonts w:ascii="Times New Roman" w:cs="Times New Roman" w:eastAsia="Times New Roman" w:hAnsi="Times New Roman"/>
            <w:sz w:val="17"/>
            <w:szCs w:val="17"/>
            <w:u w:val="single" w:color="auto"/>
            <w:color w:val="0000FF"/>
          </w:rPr>
          <w:t>*10.13 Form of Restricted Stock Unit Agreement for 2020 and after. Incorporated by reference to Exhibit 10.20 to Form 10-Q for the period ended June 27,</w:t>
        </w:r>
      </w:hyperlink>
    </w:p>
    <w:p>
      <w:pPr>
        <w:spacing w:after="0" w:line="39"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2">
        <w:r>
          <w:rPr>
            <w:rFonts w:ascii="Times New Roman" w:cs="Times New Roman" w:eastAsia="Times New Roman" w:hAnsi="Times New Roman"/>
            <w:sz w:val="18"/>
            <w:szCs w:val="18"/>
            <w:u w:val="single" w:color="auto"/>
            <w:color w:val="0000FF"/>
          </w:rPr>
          <w:t>2020.</w:t>
        </w:r>
      </w:hyperlink>
    </w:p>
    <w:p>
      <w:pPr>
        <w:spacing w:after="0" w:line="99"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*10.14 Form of Stock Option Agreement for 2020 and after. Incorporated by reference to Exhibit 10.21 to Form 10-Q for the period ended June 27, 2020.</w:t>
        </w:r>
      </w:hyperlink>
    </w:p>
    <w:p>
      <w:pPr>
        <w:spacing w:after="0" w:line="90" w:lineRule="exact"/>
        <w:rPr>
          <w:sz w:val="20"/>
          <w:szCs w:val="20"/>
          <w:color w:val="auto"/>
        </w:rPr>
      </w:pPr>
    </w:p>
    <w:p>
      <w:pPr>
        <w:ind w:left="580" w:right="360" w:hanging="566"/>
        <w:spacing w:after="0" w:line="282" w:lineRule="auto"/>
        <w:rPr>
          <w:rFonts w:ascii="Times New Roman" w:cs="Times New Roman" w:eastAsia="Times New Roman" w:hAnsi="Times New Roman"/>
          <w:sz w:val="18"/>
          <w:szCs w:val="18"/>
          <w:u w:val="single" w:color="auto"/>
          <w:color w:val="0000FF"/>
        </w:rPr>
      </w:pPr>
      <w:hyperlink r:id="rId74">
        <w:r>
          <w:rPr>
            <w:rFonts w:ascii="Times New Roman" w:cs="Times New Roman" w:eastAsia="Times New Roman" w:hAnsi="Times New Roman"/>
            <w:sz w:val="18"/>
            <w:szCs w:val="18"/>
            <w:u w:val="single" w:color="auto"/>
            <w:color w:val="0000FF"/>
          </w:rPr>
          <w:t>*10.15 Form of Performance Restricted Stock Unit Agreement for 2020. Incorporated by reference to Exhibit 10.22 to Form 10-Q for the period ended</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June 27, 2020.</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*10.16 Form of Performance Stock Unit Cash-Based Long-Term Incentive Award Agreement for 2022 and after. Incorporated by reference to Exhibit</w:t>
        </w:r>
      </w:hyperlink>
    </w:p>
    <w:p>
      <w:pPr>
        <w:spacing w:after="0" w:line="27" w:lineRule="exact"/>
        <w:rPr>
          <w:sz w:val="20"/>
          <w:szCs w:val="20"/>
          <w:color w:val="auto"/>
        </w:rPr>
      </w:pPr>
    </w:p>
    <w:p>
      <w:pPr>
        <w:ind w:left="580"/>
        <w:spacing w:after="0"/>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10.20 to Form 10-Q for the period ended July 2, 2022.</w:t>
        </w:r>
      </w:hyperlink>
    </w:p>
    <w:p>
      <w:pPr>
        <w:spacing w:after="0" w:line="85" w:lineRule="exact"/>
        <w:rPr>
          <w:sz w:val="20"/>
          <w:szCs w:val="20"/>
          <w:color w:val="auto"/>
        </w:rPr>
      </w:pPr>
    </w:p>
    <w:p>
      <w:pPr>
        <w:ind w:left="580" w:right="240" w:hanging="566"/>
        <w:spacing w:after="0" w:line="282" w:lineRule="auto"/>
        <w:rPr>
          <w:rFonts w:ascii="Times New Roman" w:cs="Times New Roman" w:eastAsia="Times New Roman" w:hAnsi="Times New Roman"/>
          <w:sz w:val="18"/>
          <w:szCs w:val="18"/>
          <w:u w:val="single" w:color="auto"/>
          <w:color w:val="0000FF"/>
        </w:rPr>
      </w:pPr>
      <w:hyperlink r:id="rId76">
        <w:r>
          <w:rPr>
            <w:rFonts w:ascii="Times New Roman" w:cs="Times New Roman" w:eastAsia="Times New Roman" w:hAnsi="Times New Roman"/>
            <w:sz w:val="18"/>
            <w:szCs w:val="18"/>
            <w:u w:val="single" w:color="auto"/>
            <w:color w:val="0000FF"/>
          </w:rPr>
          <w:t>*10.17 Form of Performance Restricted Stock Unit Cash-Based Long-Term Incentive Award Agreement for 2022 and after. Incorporated by reference to</w:t>
        </w:r>
      </w:hyperlink>
      <w:r>
        <w:rPr>
          <w:rFonts w:ascii="Times New Roman" w:cs="Times New Roman" w:eastAsia="Times New Roman" w:hAnsi="Times New Roman"/>
          <w:sz w:val="18"/>
          <w:szCs w:val="18"/>
          <w:u w:val="single" w:color="auto"/>
          <w:color w:val="0000FF"/>
        </w:rPr>
        <w:t xml:space="preserve"> </w:t>
      </w:r>
      <w:hyperlink r:id="rId76">
        <w:r>
          <w:rPr>
            <w:rFonts w:ascii="Times New Roman" w:cs="Times New Roman" w:eastAsia="Times New Roman" w:hAnsi="Times New Roman"/>
            <w:sz w:val="18"/>
            <w:szCs w:val="18"/>
            <w:u w:val="single" w:color="auto"/>
            <w:color w:val="0000FF"/>
          </w:rPr>
          <w:t>Exhibit 10.21 to Form 10-Q for the period ended July 2, 2022.</w:t>
        </w:r>
      </w:hyperlink>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*10.18 Form of Performance Stock Unit Award Agreement for 2023 and after.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*10.19 Form of Performance Stock Unit Cash-Based Long-Term Incentive Award Agreement for 2023 and after.</w:t>
      </w:r>
    </w:p>
    <w:p>
      <w:pPr>
        <w:spacing w:after="0" w:line="117" w:lineRule="exact"/>
        <w:rPr>
          <w:sz w:val="20"/>
          <w:szCs w:val="20"/>
          <w:color w:val="auto"/>
        </w:rPr>
      </w:pPr>
    </w:p>
    <w:p>
      <w:pPr>
        <w:ind w:left="580" w:right="220" w:hanging="566"/>
        <w:spacing w:after="0" w:line="282"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*10.20 Directors’ Deferred Compensation and Retirement Plan, as amended and restated February 2, 2010. Incorporated by reference to Exhibit 10.15 to</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Form 10-K for the year ended December 31, 2009.</w:t>
        </w:r>
      </w:hyperlink>
    </w:p>
    <w:p>
      <w:pPr>
        <w:spacing w:after="0" w:line="4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*10.21 Non Qualified Deferred Compensation. Incorporated by reference to Exhibit 4.6 to Form S-8 dated November 26, 2019.</w:t>
        </w:r>
      </w:hyperlink>
    </w:p>
    <w:p>
      <w:pPr>
        <w:spacing w:after="0" w:line="90" w:lineRule="exact"/>
        <w:rPr>
          <w:sz w:val="20"/>
          <w:szCs w:val="20"/>
          <w:color w:val="auto"/>
        </w:rPr>
      </w:pPr>
    </w:p>
    <w:p>
      <w:pPr>
        <w:ind w:left="580" w:right="100" w:hanging="566"/>
        <w:spacing w:after="0" w:line="282" w:lineRule="auto"/>
        <w:rPr>
          <w:rFonts w:ascii="Times New Roman" w:cs="Times New Roman" w:eastAsia="Times New Roman" w:hAnsi="Times New Roman"/>
          <w:sz w:val="18"/>
          <w:szCs w:val="18"/>
          <w:u w:val="single" w:color="auto"/>
          <w:color w:val="0000FF"/>
        </w:rPr>
      </w:pPr>
      <w:hyperlink r:id="rId79">
        <w:r>
          <w:rPr>
            <w:rFonts w:ascii="Times New Roman" w:cs="Times New Roman" w:eastAsia="Times New Roman" w:hAnsi="Times New Roman"/>
            <w:sz w:val="18"/>
            <w:szCs w:val="18"/>
            <w:u w:val="single" w:color="auto"/>
            <w:color w:val="0000FF"/>
          </w:rPr>
          <w:t>*10.22 Key Executive Severance Agreement between Ducommun Incorporated and Stephen G. Oswald dated January 23, 2017. Incorporated by reference</w:t>
        </w:r>
      </w:hyperlink>
      <w:r>
        <w:rPr>
          <w:rFonts w:ascii="Times New Roman" w:cs="Times New Roman" w:eastAsia="Times New Roman" w:hAnsi="Times New Roman"/>
          <w:sz w:val="18"/>
          <w:szCs w:val="18"/>
          <w:u w:val="single" w:color="auto"/>
          <w:color w:val="0000FF"/>
        </w:rPr>
        <w:t xml:space="preserve"> </w:t>
      </w:r>
      <w:hyperlink r:id="rId79">
        <w:r>
          <w:rPr>
            <w:rFonts w:ascii="Times New Roman" w:cs="Times New Roman" w:eastAsia="Times New Roman" w:hAnsi="Times New Roman"/>
            <w:sz w:val="18"/>
            <w:szCs w:val="18"/>
            <w:u w:val="single" w:color="auto"/>
            <w:color w:val="0000FF"/>
          </w:rPr>
          <w:t>to Exhibit 99.1 to Form 8-K dated January 27, 2017.</w:t>
        </w:r>
      </w:hyperlink>
    </w:p>
    <w:p>
      <w:pPr>
        <w:spacing w:after="0" w:line="40" w:lineRule="exact"/>
        <w:rPr>
          <w:sz w:val="20"/>
          <w:szCs w:val="20"/>
          <w:color w:val="auto"/>
        </w:rPr>
      </w:pPr>
    </w:p>
    <w:p>
      <w:pPr>
        <w:ind w:left="580" w:right="20" w:hanging="566"/>
        <w:spacing w:after="0" w:line="266" w:lineRule="auto"/>
        <w:rPr>
          <w:rFonts w:ascii="Times New Roman" w:cs="Times New Roman" w:eastAsia="Times New Roman" w:hAnsi="Times New Roman"/>
          <w:sz w:val="18"/>
          <w:szCs w:val="18"/>
          <w:u w:val="single" w:color="auto"/>
          <w:color w:val="0000FF"/>
        </w:rPr>
      </w:pPr>
      <w:hyperlink r:id="rId80">
        <w:r>
          <w:rPr>
            <w:rFonts w:ascii="Times New Roman" w:cs="Times New Roman" w:eastAsia="Times New Roman" w:hAnsi="Times New Roman"/>
            <w:sz w:val="18"/>
            <w:szCs w:val="18"/>
            <w:u w:val="single" w:color="auto"/>
            <w:color w:val="0000FF"/>
          </w:rPr>
          <w:t>*10.23 Form of Key Executive Severance Agreement between Ducommun Incorporated and each of the individuals listed below. Incorporated by reference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to Exhibit 99.2 to Form 8-K dated January 27, 2017. All of the Key Executive Severance Agreements are identical except for the name of the</w:t>
        </w:r>
      </w:hyperlink>
      <w:r>
        <w:rPr>
          <w:rFonts w:ascii="Times New Roman" w:cs="Times New Roman" w:eastAsia="Times New Roman" w:hAnsi="Times New Roman"/>
          <w:sz w:val="18"/>
          <w:szCs w:val="18"/>
          <w:u w:val="single" w:color="auto"/>
          <w:color w:val="0000FF"/>
        </w:rPr>
        <w:t xml:space="preserve"> </w:t>
      </w:r>
      <w:hyperlink r:id="rId80">
        <w:r>
          <w:rPr>
            <w:rFonts w:ascii="Times New Roman" w:cs="Times New Roman" w:eastAsia="Times New Roman" w:hAnsi="Times New Roman"/>
            <w:sz w:val="18"/>
            <w:szCs w:val="18"/>
            <w:u w:val="single" w:color="auto"/>
            <w:color w:val="0000FF"/>
          </w:rPr>
          <w:t>person, the address for notice, and the date of the Agreement:</w:t>
        </w:r>
      </w:hyperlink>
    </w:p>
    <w:p>
      <w:pPr>
        <w:spacing w:after="0" w:line="82" w:lineRule="exact"/>
        <w:rPr>
          <w:rFonts w:ascii="Times New Roman" w:cs="Times New Roman" w:eastAsia="Times New Roman" w:hAnsi="Times New Roman"/>
          <w:sz w:val="18"/>
          <w:szCs w:val="18"/>
          <w:u w:val="single" w:color="auto"/>
          <w:color w:val="0000FF"/>
        </w:rPr>
      </w:pPr>
    </w:p>
    <w:tbl>
      <w:tblPr>
        <w:tblLayout w:type="fixed"/>
        <w:tblInd w:w="1840" w:type="dxa"/>
        <w:tblCellMar>
          <w:top w:w="0" w:type="dxa"/>
          <w:left w:w="0" w:type="dxa"/>
          <w:bottom w:w="0" w:type="dxa"/>
          <w:right w:w="0" w:type="dxa"/>
        </w:tblCellMar>
      </w:tblPr>
      <w:tr>
        <w:trPr>
          <w:trHeight w:val="207"/>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28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Suman B. Mookerji</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 2018</w:t>
            </w:r>
          </w:p>
        </w:tc>
      </w:tr>
      <w:tr>
        <w:trPr>
          <w:trHeight w:val="229"/>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D. Wampler</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23, 2017</w:t>
            </w:r>
          </w:p>
        </w:tc>
      </w:tr>
    </w:tbl>
    <w:p>
      <w:pPr>
        <w:spacing w:after="0" w:line="252" w:lineRule="exact"/>
        <w:rPr>
          <w:rFonts w:ascii="Times New Roman" w:cs="Times New Roman" w:eastAsia="Times New Roman" w:hAnsi="Times New Roman"/>
          <w:sz w:val="18"/>
          <w:szCs w:val="18"/>
          <w:u w:val="single" w:color="auto"/>
          <w:color w:val="0000FF"/>
        </w:rPr>
      </w:pPr>
    </w:p>
    <w:p>
      <w:pPr>
        <w:ind w:left="580" w:right="440" w:hanging="566"/>
        <w:spacing w:after="0" w:line="282" w:lineRule="auto"/>
        <w:rPr>
          <w:rFonts w:ascii="Times New Roman" w:cs="Times New Roman" w:eastAsia="Times New Roman" w:hAnsi="Times New Roman"/>
          <w:sz w:val="18"/>
          <w:szCs w:val="18"/>
          <w:u w:val="single" w:color="auto"/>
          <w:color w:val="0000FF"/>
        </w:rPr>
      </w:pPr>
      <w:hyperlink r:id="rId81">
        <w:r>
          <w:rPr>
            <w:rFonts w:ascii="Times New Roman" w:cs="Times New Roman" w:eastAsia="Times New Roman" w:hAnsi="Times New Roman"/>
            <w:sz w:val="18"/>
            <w:szCs w:val="18"/>
            <w:u w:val="single" w:color="auto"/>
            <w:color w:val="0000FF"/>
          </w:rPr>
          <w:t>*10.24 Employment Letter Agreement dated January 3, 2017 between Ducommun Incorporated and Stephen G. Oswald. Incorporated by reference to</w:t>
        </w:r>
      </w:hyperlink>
      <w:r>
        <w:rPr>
          <w:rFonts w:ascii="Times New Roman" w:cs="Times New Roman" w:eastAsia="Times New Roman" w:hAnsi="Times New Roman"/>
          <w:sz w:val="18"/>
          <w:szCs w:val="18"/>
          <w:u w:val="single" w:color="auto"/>
          <w:color w:val="0000FF"/>
        </w:rPr>
        <w:t xml:space="preserve"> </w:t>
      </w:r>
      <w:hyperlink r:id="rId81">
        <w:r>
          <w:rPr>
            <w:rFonts w:ascii="Times New Roman" w:cs="Times New Roman" w:eastAsia="Times New Roman" w:hAnsi="Times New Roman"/>
            <w:sz w:val="18"/>
            <w:szCs w:val="18"/>
            <w:u w:val="single" w:color="auto"/>
            <w:color w:val="0000FF"/>
          </w:rPr>
          <w:t>Exhibit 99.1 to Form 8-K dated January 9, 2017.</w:t>
        </w:r>
      </w:hyperlink>
    </w:p>
    <w:p>
      <w:pPr>
        <w:spacing w:after="0" w:line="27" w:lineRule="exact"/>
        <w:rPr>
          <w:sz w:val="20"/>
          <w:szCs w:val="20"/>
          <w:color w:val="auto"/>
        </w:rPr>
      </w:pPr>
    </w:p>
    <w:p>
      <w:pPr>
        <w:ind w:left="580" w:right="160" w:hanging="566"/>
        <w:spacing w:after="0" w:line="282" w:lineRule="auto"/>
        <w:rPr>
          <w:rFonts w:ascii="Times New Roman" w:cs="Times New Roman" w:eastAsia="Times New Roman" w:hAnsi="Times New Roman"/>
          <w:sz w:val="18"/>
          <w:szCs w:val="18"/>
          <w:u w:val="single" w:color="auto"/>
          <w:color w:val="0000FF"/>
        </w:rPr>
      </w:pPr>
      <w:hyperlink r:id="rId82">
        <w:r>
          <w:rPr>
            <w:rFonts w:ascii="Times New Roman" w:cs="Times New Roman" w:eastAsia="Times New Roman" w:hAnsi="Times New Roman"/>
            <w:sz w:val="18"/>
            <w:szCs w:val="18"/>
            <w:u w:val="single" w:color="auto"/>
            <w:color w:val="0000FF"/>
          </w:rPr>
          <w:t>*10.25 Retirement and Release Agreement dated November 29, 2021 between Ducommun Incorporated and Rosalie F. Rogers. Incorporated by reference</w:t>
        </w:r>
      </w:hyperlink>
      <w:r>
        <w:rPr>
          <w:rFonts w:ascii="Times New Roman" w:cs="Times New Roman" w:eastAsia="Times New Roman" w:hAnsi="Times New Roman"/>
          <w:sz w:val="18"/>
          <w:szCs w:val="18"/>
          <w:u w:val="single" w:color="auto"/>
          <w:color w:val="0000FF"/>
        </w:rPr>
        <w:t xml:space="preserve"> </w:t>
      </w:r>
      <w:hyperlink r:id="rId82">
        <w:r>
          <w:rPr>
            <w:rFonts w:ascii="Times New Roman" w:cs="Times New Roman" w:eastAsia="Times New Roman" w:hAnsi="Times New Roman"/>
            <w:sz w:val="18"/>
            <w:szCs w:val="18"/>
            <w:u w:val="single" w:color="auto"/>
            <w:color w:val="0000FF"/>
          </w:rPr>
          <w:t>to Exhibit 10.24 to Form 10-K for the year ended December 31, 2021.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825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65" w:lineRule="exact"/>
        <w:rPr>
          <w:sz w:val="20"/>
          <w:szCs w:val="20"/>
          <w:color w:val="auto"/>
        </w:rPr>
      </w:pPr>
    </w:p>
    <w:p>
      <w:pPr>
        <w:ind w:left="580" w:hanging="566"/>
        <w:spacing w:after="0" w:line="266" w:lineRule="auto"/>
        <w:tabs>
          <w:tab w:leader="none" w:pos="560" w:val="left"/>
        </w:tabs>
        <w:rPr>
          <w:sz w:val="20"/>
          <w:szCs w:val="20"/>
          <w:color w:val="auto"/>
        </w:rPr>
      </w:pPr>
      <w:r>
        <w:rPr>
          <w:rFonts w:ascii="Times New Roman" w:cs="Times New Roman" w:eastAsia="Times New Roman" w:hAnsi="Times New Roman"/>
          <w:sz w:val="18"/>
          <w:szCs w:val="18"/>
          <w:color w:val="auto"/>
        </w:rPr>
        <w:t>10.26</w:t>
        <w:tab/>
        <w:t>Form of Indemnity Agreement entered with all directors and officers of Ducommun. Incorporated by reference to Exhibit 10.8 to Form 10-K for the year ended December 31, 1990. All of the Indemnity Agreements are identical except for the name of the director or officer and the date of the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Director/Officer</w:t>
            </w:r>
          </w:p>
        </w:tc>
        <w:tc>
          <w:tcPr>
            <w:tcW w:w="1860" w:type="dxa"/>
            <w:vAlign w:val="bottom"/>
            <w:gridSpan w:val="3"/>
          </w:tcPr>
          <w:p>
            <w:pPr>
              <w:spacing w:after="0"/>
              <w:rPr>
                <w:sz w:val="17"/>
                <w:szCs w:val="17"/>
                <w:color w:val="auto"/>
              </w:rPr>
            </w:pPr>
          </w:p>
        </w:tc>
        <w:tc>
          <w:tcPr>
            <w:tcW w:w="130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Agreement</w:t>
            </w:r>
          </w:p>
        </w:tc>
      </w:tr>
      <w:tr>
        <w:trPr>
          <w:trHeight w:val="20"/>
        </w:trPr>
        <w:tc>
          <w:tcPr>
            <w:tcW w:w="18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1800" w:type="dxa"/>
            <w:vAlign w:val="bottom"/>
          </w:tcPr>
          <w:p>
            <w:pPr>
              <w:spacing w:after="0"/>
              <w:rPr>
                <w:sz w:val="21"/>
                <w:szCs w:val="21"/>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A. Baldridge</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March 19, 2013</w:t>
            </w:r>
          </w:p>
        </w:tc>
      </w:tr>
      <w:tr>
        <w:trPr>
          <w:trHeight w:val="230"/>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Shirley G. Drazba</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October 18, 2018</w:t>
            </w:r>
          </w:p>
        </w:tc>
      </w:tr>
      <w:tr>
        <w:trPr>
          <w:trHeight w:val="229"/>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C. Ducommun</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December 31, 1985</w:t>
            </w:r>
          </w:p>
        </w:tc>
      </w:tr>
      <w:tr>
        <w:trPr>
          <w:trHeight w:val="230"/>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Dean M. Flatt</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November 5, 2009</w:t>
            </w:r>
          </w:p>
        </w:tc>
      </w:tr>
      <w:tr>
        <w:trPr>
          <w:trHeight w:val="229"/>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Laureen S. Gonzalez</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w w:val="98"/>
              </w:rPr>
              <w:t>September 20, 2022</w:t>
            </w:r>
          </w:p>
        </w:tc>
      </w:tr>
      <w:tr>
        <w:trPr>
          <w:trHeight w:val="229"/>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Jay L. Haberland</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February 2, 2009</w:t>
            </w:r>
          </w:p>
        </w:tc>
      </w:tr>
      <w:tr>
        <w:trPr>
          <w:trHeight w:val="230"/>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Sheila G. Kramer</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June 1, 2021</w:t>
            </w:r>
          </w:p>
        </w:tc>
      </w:tr>
      <w:tr>
        <w:trPr>
          <w:trHeight w:val="229"/>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Suman B. Mookerji</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April 27, 2023</w:t>
            </w:r>
          </w:p>
        </w:tc>
      </w:tr>
      <w:tr>
        <w:trPr>
          <w:trHeight w:val="229"/>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Stephen G. Oswald</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January 23, 2017</w:t>
            </w:r>
          </w:p>
        </w:tc>
      </w:tr>
      <w:tr>
        <w:trPr>
          <w:trHeight w:val="230"/>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Jerry L. Redondo</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October 1, 2015</w:t>
            </w:r>
          </w:p>
        </w:tc>
      </w:tr>
      <w:tr>
        <w:trPr>
          <w:trHeight w:val="229"/>
        </w:trPr>
        <w:tc>
          <w:tcPr>
            <w:tcW w:w="1800" w:type="dxa"/>
            <w:vAlign w:val="bottom"/>
          </w:tcPr>
          <w:p>
            <w:pPr>
              <w:spacing w:after="0"/>
              <w:rPr>
                <w:sz w:val="19"/>
                <w:szCs w:val="19"/>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Samara A. Strycker</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December 30, 2021</w:t>
            </w:r>
          </w:p>
        </w:tc>
      </w:tr>
      <w:tr>
        <w:trPr>
          <w:trHeight w:val="234"/>
        </w:trPr>
        <w:tc>
          <w:tcPr>
            <w:tcW w:w="1800" w:type="dxa"/>
            <w:vAlign w:val="bottom"/>
          </w:tcPr>
          <w:p>
            <w:pPr>
              <w:spacing w:after="0"/>
              <w:rPr>
                <w:sz w:val="20"/>
                <w:szCs w:val="20"/>
                <w:color w:val="auto"/>
              </w:rPr>
            </w:pPr>
          </w:p>
        </w:tc>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Rajiv A. Tata</w:t>
            </w:r>
          </w:p>
        </w:tc>
        <w:tc>
          <w:tcPr>
            <w:tcW w:w="2740" w:type="dxa"/>
            <w:vAlign w:val="bottom"/>
            <w:gridSpan w:val="3"/>
          </w:tcPr>
          <w:p>
            <w:pPr>
              <w:ind w:left="1300"/>
              <w:spacing w:after="0"/>
              <w:rPr>
                <w:sz w:val="20"/>
                <w:szCs w:val="20"/>
                <w:color w:val="auto"/>
              </w:rPr>
            </w:pPr>
            <w:r>
              <w:rPr>
                <w:rFonts w:ascii="Times New Roman" w:cs="Times New Roman" w:eastAsia="Times New Roman" w:hAnsi="Times New Roman"/>
                <w:sz w:val="18"/>
                <w:szCs w:val="18"/>
                <w:color w:val="auto"/>
              </w:rPr>
              <w:t>January 24, 2020</w:t>
            </w:r>
          </w:p>
        </w:tc>
      </w:tr>
      <w:tr>
        <w:trPr>
          <w:trHeight w:val="364"/>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Certification of Principal Executive Officer.</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3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31.</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Certification of Principal Financial Officer.</w:t>
            </w:r>
          </w:p>
        </w:tc>
        <w:tc>
          <w:tcPr>
            <w:tcW w:w="40" w:type="dxa"/>
            <w:vAlign w:val="bottom"/>
            <w:tcBorders>
              <w:top w:val="single" w:sz="8" w:color="0000FF"/>
            </w:tcBorders>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32 Certification Pursuant to 18 U.S.C. Section 1350, as Adopted Pursuant to Section 906 of the Sarbanes-Oxley Act of 2002.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0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within the Inline XBRL</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32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9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Indicates an executive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ind w:right="48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G. Oswald</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G. Oswald</w:t>
            </w:r>
          </w:p>
        </w:tc>
      </w:tr>
      <w:tr>
        <w:trPr>
          <w:trHeight w:val="229"/>
        </w:trPr>
        <w:tc>
          <w:tcPr>
            <w:tcW w:w="34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8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26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Suman B. Mookerji</w:t>
            </w:r>
          </w:p>
        </w:tc>
      </w:tr>
      <w:tr>
        <w:trPr>
          <w:trHeight w:val="218"/>
        </w:trPr>
        <w:tc>
          <w:tcPr>
            <w:tcW w:w="34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Suman B. Mookerji</w:t>
            </w:r>
          </w:p>
        </w:tc>
      </w:tr>
      <w:tr>
        <w:trPr>
          <w:trHeight w:val="180"/>
        </w:trPr>
        <w:tc>
          <w:tcPr>
            <w:tcW w:w="3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Chief Financial Officer, Controller and</w:t>
            </w:r>
          </w:p>
        </w:tc>
      </w:tr>
      <w:tr>
        <w:trPr>
          <w:trHeight w:val="234"/>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Treasurer</w:t>
            </w:r>
          </w:p>
        </w:tc>
      </w:tr>
      <w:tr>
        <w:trPr>
          <w:trHeight w:val="238"/>
        </w:trPr>
        <w:tc>
          <w:tcPr>
            <w:tcW w:w="34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00"/>
          </w:cols>
          <w:pgMar w:left="320" w:top="117"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PERFORMANCE STOCK UNIT AGREEMENT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performance stock unit agreement is made as of ________, 2022 (the “Effective Date”), between Ducommun Incorporated,</w:t>
      </w:r>
    </w:p>
    <w:p>
      <w:pPr>
        <w:spacing w:after="0"/>
        <w:rPr>
          <w:sz w:val="20"/>
          <w:szCs w:val="20"/>
          <w:color w:val="auto"/>
        </w:rPr>
      </w:pPr>
      <w:r>
        <w:rPr>
          <w:rFonts w:ascii="Times New Roman" w:cs="Times New Roman" w:eastAsia="Times New Roman" w:hAnsi="Times New Roman"/>
          <w:sz w:val="22"/>
          <w:szCs w:val="22"/>
          <w:color w:val="auto"/>
        </w:rPr>
        <w:t>a Delaware corporation (the “Corporation”), and __________ (“Award Holder”).</w:t>
      </w:r>
    </w:p>
    <w:p>
      <w:pPr>
        <w:spacing w:after="0" w:line="1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performance stock unit agreement is pursuant to the Amended and Restated 2020 Stock Incentive Plan (the “Plan”).</w:t>
      </w:r>
    </w:p>
    <w:p>
      <w:pPr>
        <w:spacing w:after="0" w:line="1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179" w:lineRule="exact"/>
        <w:rPr>
          <w:sz w:val="20"/>
          <w:szCs w:val="20"/>
          <w:color w:val="auto"/>
        </w:rPr>
      </w:pPr>
    </w:p>
    <w:p>
      <w:pPr>
        <w:jc w:val="both"/>
        <w:ind w:firstLine="656"/>
        <w:spacing w:after="0" w:line="215" w:lineRule="auto"/>
        <w:tabs>
          <w:tab w:leader="none" w:pos="105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The Corporation hereby grants to the Award Holder an award (the “Award”) with a target (if the Corporation achieves the target level performance goals described in Exhibit A) of </w:t>
      </w:r>
      <w:r>
        <w:rPr>
          <w:rFonts w:ascii="Times New Roman" w:cs="Times New Roman" w:eastAsia="Times New Roman" w:hAnsi="Times New Roman"/>
          <w:sz w:val="22"/>
          <w:szCs w:val="22"/>
          <w:b w:val="1"/>
          <w:bCs w:val="1"/>
          <w:u w:val="single" w:color="auto"/>
          <w:color w:val="auto"/>
        </w:rPr>
        <w:t>______</w:t>
      </w:r>
      <w:r>
        <w:rPr>
          <w:rFonts w:ascii="Times New Roman" w:cs="Times New Roman" w:eastAsia="Times New Roman" w:hAnsi="Times New Roman"/>
          <w:sz w:val="22"/>
          <w:szCs w:val="22"/>
          <w:color w:val="auto"/>
        </w:rPr>
        <w:t xml:space="preserve"> performance stock units (the “Target Units”), and a maximum of up to two hundred fifty percent (250%) of the Target Units (if Corporation achieves the maximum level performance goals described in Exhibit A), in each case subject to certain adjustments as described herein. Each performance stock unit represents the right to receive one share of Common Stock, subject to the conditions set forth in this performance stock unit agreement and the Plan.</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05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performance stock unit agreement, shall have the meanings set forth in this Section 2.</w:t>
      </w:r>
    </w:p>
    <w:p>
      <w:pPr>
        <w:spacing w:after="0" w:line="153" w:lineRule="exact"/>
        <w:rPr>
          <w:sz w:val="20"/>
          <w:szCs w:val="20"/>
          <w:color w:val="auto"/>
        </w:rPr>
      </w:pPr>
    </w:p>
    <w:p>
      <w:pPr>
        <w:ind w:left="660" w:right="20" w:hanging="134"/>
        <w:spacing w:after="0" w:line="236" w:lineRule="auto"/>
        <w:rPr>
          <w:sz w:val="20"/>
          <w:szCs w:val="20"/>
          <w:color w:val="auto"/>
        </w:rPr>
      </w:pPr>
      <w:r>
        <w:rPr>
          <w:rFonts w:ascii="Times New Roman" w:cs="Times New Roman" w:eastAsia="Times New Roman" w:hAnsi="Times New Roman"/>
          <w:sz w:val="22"/>
          <w:szCs w:val="22"/>
          <w:color w:val="auto"/>
        </w:rPr>
        <w:t>“Common Stock” shall mean the Common Stock, $.01 par value, of the Corporation or such other class of shares or other securities as may be applicable pursuant to the provisions of Section 6 of this performance stock unit agreement.</w:t>
      </w:r>
    </w:p>
    <w:p>
      <w:pPr>
        <w:spacing w:after="0" w:line="150" w:lineRule="exact"/>
        <w:rPr>
          <w:sz w:val="20"/>
          <w:szCs w:val="20"/>
          <w:color w:val="auto"/>
        </w:rPr>
      </w:pPr>
    </w:p>
    <w:p>
      <w:pPr>
        <w:jc w:val="both"/>
        <w:ind w:left="660" w:hanging="49"/>
        <w:spacing w:after="0" w:line="225" w:lineRule="auto"/>
        <w:rPr>
          <w:sz w:val="20"/>
          <w:szCs w:val="20"/>
          <w:color w:val="auto"/>
        </w:rPr>
      </w:pPr>
      <w:r>
        <w:rPr>
          <w:rFonts w:ascii="Times New Roman" w:cs="Times New Roman" w:eastAsia="Times New Roman" w:hAnsi="Times New Roman"/>
          <w:sz w:val="22"/>
          <w:szCs w:val="22"/>
          <w:color w:val="auto"/>
        </w:rPr>
        <w:t>“Subsidiary”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52" w:lineRule="exact"/>
        <w:rPr>
          <w:sz w:val="20"/>
          <w:szCs w:val="20"/>
          <w:color w:val="auto"/>
        </w:rPr>
      </w:pPr>
    </w:p>
    <w:p>
      <w:pPr>
        <w:ind w:left="660" w:hanging="135"/>
        <w:spacing w:after="0" w:line="236" w:lineRule="auto"/>
        <w:rPr>
          <w:sz w:val="20"/>
          <w:szCs w:val="20"/>
          <w:color w:val="auto"/>
        </w:rPr>
      </w:pPr>
      <w:r>
        <w:rPr>
          <w:rFonts w:ascii="Times New Roman" w:cs="Times New Roman" w:eastAsia="Times New Roman" w:hAnsi="Times New Roman"/>
          <w:sz w:val="22"/>
          <w:szCs w:val="22"/>
          <w:color w:val="auto"/>
        </w:rPr>
        <w:t>“Committee” shall mean the Compensation Committee of the Board of Directors of the Corporation, or if there is no such committee acting, the Board of Directors of the Corporation.</w:t>
      </w:r>
    </w:p>
    <w:p>
      <w:pPr>
        <w:sectPr>
          <w:pgSz w:w="11900" w:h="16838" w:orient="portrait"/>
          <w:cols w:equalWidth="0" w:num="1">
            <w:col w:w="11240"/>
          </w:cols>
          <w:pgMar w:left="320" w:top="100" w:right="339" w:bottom="1440" w:gutter="0" w:footer="0" w:header="0"/>
        </w:sectPr>
      </w:pPr>
    </w:p>
    <w:bookmarkStart w:id="40" w:name="page41"/>
    <w:bookmarkEnd w:id="40"/>
    <w:p>
      <w:pPr>
        <w:jc w:val="both"/>
        <w:ind w:firstLine="237"/>
        <w:spacing w:after="0" w:line="219" w:lineRule="auto"/>
        <w:tabs>
          <w:tab w:leader="none" w:pos="621"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The Award shall vest at the end of the 3-year performance period, beginning as of January 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xml:space="preserve"> and ending on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xml:space="preserve"> (the “Performance Period”). The vesting of the Award shall be subject to the Corporation achieving during the Performance Period the Diluted Earnings Per Share and Relative Total Shareholder Return, as provided in Exhibit A attached hereto. Following the end of each fiscal year of the Performance Period and the collection of relevant data necessary to determine the extent to which the performance goals set forth in Exhibit A have been satisfied, the Committee will determine: (a) the amount of Diluted Earnings Per Share that was achieved by the Corporation for each fiscal year of the Performance Period, and</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2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percentage and number of the Target Units for each fiscal year (for each such fiscal year, the “Earned Units”) that will become Vested Units (as defined in Exhibit A) as of the last day of the Performance Period or earlier as provided in Section 5(b). Following the end of the Performance Period and collection of relevant data necessary to determine the extent to which the performance goals set forth in Exhibit A have been satisfied, the Committee will determine: (a) the Relative Total Shareholder Return that was achieved by the Corporation over the Performance Period, and (b) the multiplier that will be applied to the Earned Units to calculate the total number of Vested Units as of the last day of the Performance Period, as provided in Exhibit A attached hereto. The Committee shall make these determinations in its sole discretion. The level of achievement of Diluted Earnings Per Share and Relative Total Shareholder Return shall be evidenced by the Committee’s written certification. For the avoidance of doubt, any performance stock units subject to this Award that do not vest in accordance with the forgoing shall expire without consideration at the end of the Performance Period.</w:t>
      </w:r>
    </w:p>
    <w:p>
      <w:pPr>
        <w:spacing w:after="0" w:line="159" w:lineRule="exact"/>
        <w:rPr>
          <w:rFonts w:ascii="Times New Roman" w:cs="Times New Roman" w:eastAsia="Times New Roman" w:hAnsi="Times New Roman"/>
          <w:sz w:val="22"/>
          <w:szCs w:val="22"/>
          <w:color w:val="auto"/>
        </w:rPr>
      </w:pPr>
    </w:p>
    <w:p>
      <w:pPr>
        <w:jc w:val="both"/>
        <w:ind w:firstLine="656"/>
        <w:spacing w:after="0" w:line="221" w:lineRule="auto"/>
        <w:tabs>
          <w:tab w:leader="none" w:pos="1066" w:val="left"/>
        </w:tabs>
        <w:numPr>
          <w:ilvl w:val="2"/>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Settlement of Vested Units</w:t>
      </w:r>
      <w:r>
        <w:rPr>
          <w:rFonts w:ascii="Times New Roman" w:cs="Times New Roman" w:eastAsia="Times New Roman" w:hAnsi="Times New Roman"/>
          <w:sz w:val="21"/>
          <w:szCs w:val="21"/>
          <w:color w:val="auto"/>
        </w:rPr>
        <w:t>. Upon the vesting of all or a portion of the Award, one share of Common Stock shall be issuable for each Vested Unit (as defined in Exhibit A) (the “PSU Shares”). Thereafter, the Corporation will transfer such PSU Shares to the Award Holder upon the Committee’s written certification as set forth in Section 3 and the satisfaction of any required tax withholding obligations, securities law registration or other requirements, and applicable stock exchange listing. No fractional shares shall be issued with respect to the Award. The Award Holder shall not acquire or have any rights as a shareholder of the Corporation by virtue of this performance stock unit agreement (or the Award evidenced hereby) until the certificates representing shares of Common Stock issuable pursuant to this Award are actually issued and delivered to the Award Holder in accordance with the terms of the Plan and this performance stock unit agreement. Notwithstanding the foregoing, the Award Holder may elect, on a form and in a manner prescribed by the Corporation, to defer any payment of Vested Units, provided that any such deferral of payment must comply with any applicable requirements of Section 409A of the Code.</w:t>
      </w:r>
    </w:p>
    <w:p>
      <w:pPr>
        <w:spacing w:after="0" w:line="152"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82"/>
        <w:spacing w:after="0" w:line="211" w:lineRule="auto"/>
        <w:tabs>
          <w:tab w:leader="none" w:pos="78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Holder’s employment with the Corporation or a Subsidiary terminates before the end of the Performance Period for any reason, except as provided in this Section 5, then the Award will be forfeited and cancelled and surrendered to the Corporation without payment of any consideration, effective on the date of the Award Holder’s termination of employment. Upon the termination of the Award Holder’s employment with the Corporation or a Subsidiary as a result of (i) death or “permanent disability” (as defined herein) or (ii) “retirement” (as defined herein), the number of Vested Units and the vesting of such Vested Units shall be determined in accordance with Section 5(b) below. As used herein, the term “retirement” shall mean that, on the date on which the Award Holder terminates employment with the Corporation or a Subsidiary, either (x) the Award Holder is sixty-five (65) or more years of age, or (y) the combination of the Award Holder’s age plus years of service equals not less than seventy (70). As used herein, the term “permanent disability” shall mean the date on which the Award Holder has not worked or been able to</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2</w:t>
      </w:r>
    </w:p>
    <w:p>
      <w:pPr>
        <w:sectPr>
          <w:pgSz w:w="11900" w:h="16838" w:orient="portrait"/>
          <w:cols w:equalWidth="0" w:num="1">
            <w:col w:w="11240"/>
          </w:cols>
          <w:pgMar w:left="320" w:top="1391" w:right="339" w:bottom="1440" w:gutter="0" w:footer="0" w:header="0"/>
        </w:sectPr>
      </w:pPr>
    </w:p>
    <w:bookmarkStart w:id="41" w:name="page42"/>
    <w:bookmarkEnd w:id="41"/>
    <w:p>
      <w:pPr>
        <w:spacing w:after="0" w:line="171" w:lineRule="exact"/>
        <w:rPr>
          <w:sz w:val="20"/>
          <w:szCs w:val="20"/>
          <w:color w:val="auto"/>
        </w:rPr>
      </w:pPr>
    </w:p>
    <w:p>
      <w:pPr>
        <w:ind w:left="87"/>
        <w:spacing w:after="0"/>
        <w:rPr>
          <w:sz w:val="20"/>
          <w:szCs w:val="20"/>
          <w:color w:val="auto"/>
        </w:rPr>
      </w:pPr>
      <w:r>
        <w:rPr>
          <w:rFonts w:ascii="Times New Roman" w:cs="Times New Roman" w:eastAsia="Times New Roman" w:hAnsi="Times New Roman"/>
          <w:sz w:val="22"/>
          <w:szCs w:val="22"/>
          <w:color w:val="auto"/>
        </w:rPr>
        <w:t>work due to physical or mental incapacity for a period of one hundred eighty (180) consecutive days.</w:t>
      </w:r>
    </w:p>
    <w:p>
      <w:pPr>
        <w:spacing w:after="0" w:line="179" w:lineRule="exact"/>
        <w:rPr>
          <w:sz w:val="20"/>
          <w:szCs w:val="20"/>
          <w:color w:val="auto"/>
        </w:rPr>
      </w:pPr>
    </w:p>
    <w:p>
      <w:pPr>
        <w:jc w:val="both"/>
        <w:ind w:left="87" w:firstLine="322"/>
        <w:spacing w:after="0" w:line="210" w:lineRule="auto"/>
        <w:tabs>
          <w:tab w:leader="none" w:pos="966"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termination of the Award Holder’s employment with the Corporation or a Subsidiary as a result of death, permanent disability or retirement as provided in Section 5(a), (i) for each full fiscal year that the Award Holder was employed by the Corporation or a Subsidiary, the Earned Units (as defined in Section 3) shall vest immediately, and (ii) for the last fiscal year (if less than a full fiscal year) that the Award Holder was employed by the Corporation or a Subsidiary, the Target Units covered by the Award shall be reduced to a number of performance stock units equal to the Target Units set forth in Section 1 multiplied by a fraction, (x) the numerator of which equals the number of full calendar quarters that have elapsed between January 1 of such fiscal year and the date of termination of employment, and (y) the denominator of which equals four (4), and such performance stock units (as reduced) shall then vest at such time as they become Earned Units (as defined in Section 3) provided that the Award Holder has not rendered services, directly or indirectly, to any third party engaged in competition with the Corporation or its Subsidiaries. For the avoidance of doubt, the Total Vested Units Modifier (as defined in Exhibit A)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applied in determining the Vested Units for any Award covered by this Section 5(b).</w:t>
      </w:r>
    </w:p>
    <w:p>
      <w:pPr>
        <w:spacing w:after="0" w:line="157" w:lineRule="exact"/>
        <w:rPr>
          <w:rFonts w:ascii="Times New Roman" w:cs="Times New Roman" w:eastAsia="Times New Roman" w:hAnsi="Times New Roman"/>
          <w:sz w:val="22"/>
          <w:szCs w:val="22"/>
          <w:color w:val="auto"/>
        </w:rPr>
      </w:pPr>
    </w:p>
    <w:p>
      <w:pPr>
        <w:ind w:left="527" w:hanging="432"/>
        <w:spacing w:after="0"/>
        <w:tabs>
          <w:tab w:leader="none" w:pos="52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p>
    <w:p>
      <w:pPr>
        <w:spacing w:after="0" w:line="179" w:lineRule="exact"/>
        <w:rPr>
          <w:sz w:val="20"/>
          <w:szCs w:val="20"/>
          <w:color w:val="auto"/>
        </w:rPr>
      </w:pPr>
    </w:p>
    <w:p>
      <w:pPr>
        <w:jc w:val="both"/>
        <w:ind w:left="87" w:hanging="19"/>
        <w:spacing w:after="0" w:line="215" w:lineRule="auto"/>
        <w:tabs>
          <w:tab w:leader="none" w:pos="58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outstanding shares of Common Stock of the Corporation are increased, decreased, changed into or exchanged for a different number or kind of shares or securities of the Corporation through recapitalization (other than the conversion of convertible securities according to their terms), reclassification, stock dividend, stock split or reverse stock split, an appropriate and proportionate adjustment shall be made, or if the Corporation shall spin-off, spin-out or otherwise distribute assets with respect to the outstanding shares of Common Stock of the Corporation, an appropriate and proportionate adjustment shall be made, in the number of performance stock units subject to this Award.</w:t>
      </w:r>
    </w:p>
    <w:p>
      <w:pPr>
        <w:spacing w:after="0" w:line="152" w:lineRule="exact"/>
        <w:rPr>
          <w:rFonts w:ascii="Times New Roman" w:cs="Times New Roman" w:eastAsia="Times New Roman" w:hAnsi="Times New Roman"/>
          <w:sz w:val="22"/>
          <w:szCs w:val="22"/>
          <w:color w:val="auto"/>
        </w:rPr>
      </w:pPr>
    </w:p>
    <w:p>
      <w:pPr>
        <w:jc w:val="both"/>
        <w:ind w:left="87" w:hanging="87"/>
        <w:spacing w:after="0" w:line="213" w:lineRule="auto"/>
        <w:tabs>
          <w:tab w:leader="none" w:pos="55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dissolution or liquidation of the Corporation, or upon any merger, consolidation or reorganization of the Corporation with any other corporations or entities as a result of which the Corporation is not the surviving corporation, or upon the sale of all or substantially all of the assets of the Corporation or the acquisition of more than 80% of the stock of the Corporation by another corporation or entity, there shall be substituted for each of the shares of Common Stock then subject to this Award the number and kind of shares of stock, securities or other assets which would have been issuable or payable in respect of or in exchange for such Common Stock then subject to the Award, as if the Award Holder had been the owner of such shares as of the transaction date. Any securities so substituted shall be subject to similar successive adjustments.</w:t>
      </w:r>
    </w:p>
    <w:p>
      <w:pPr>
        <w:spacing w:after="0" w:line="156" w:lineRule="exact"/>
        <w:rPr>
          <w:rFonts w:ascii="Times New Roman" w:cs="Times New Roman" w:eastAsia="Times New Roman" w:hAnsi="Times New Roman"/>
          <w:sz w:val="22"/>
          <w:szCs w:val="22"/>
          <w:color w:val="auto"/>
        </w:rPr>
      </w:pPr>
    </w:p>
    <w:p>
      <w:pPr>
        <w:jc w:val="both"/>
        <w:ind w:left="87" w:firstLine="375"/>
        <w:spacing w:after="0" w:line="220" w:lineRule="auto"/>
        <w:tabs>
          <w:tab w:leader="none" w:pos="708" w:val="left"/>
        </w:tabs>
        <w:numPr>
          <w:ilvl w:val="3"/>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performance stock unit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52" w:lineRule="exact"/>
        <w:rPr>
          <w:rFonts w:ascii="Times New Roman" w:cs="Times New Roman" w:eastAsia="Times New Roman" w:hAnsi="Times New Roman"/>
          <w:sz w:val="22"/>
          <w:szCs w:val="22"/>
          <w:color w:val="auto"/>
        </w:rPr>
      </w:pPr>
    </w:p>
    <w:p>
      <w:pPr>
        <w:jc w:val="both"/>
        <w:ind w:left="87" w:firstLine="264"/>
        <w:spacing w:after="0" w:line="217" w:lineRule="auto"/>
        <w:tabs>
          <w:tab w:leader="none" w:pos="762"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Requirements</w:t>
      </w:r>
      <w:r>
        <w:rPr>
          <w:rFonts w:ascii="Times New Roman" w:cs="Times New Roman" w:eastAsia="Times New Roman" w:hAnsi="Times New Roman"/>
          <w:sz w:val="22"/>
          <w:szCs w:val="22"/>
          <w:color w:val="auto"/>
        </w:rPr>
        <w:t>. No shares issuable under this Award shall be issued or delivered unless and until, in the opinion of counsel for the Corporation, all applicable requirements of federal and state law and of the Securities and Exchange Commission pertaining to the issuance and sale of such shares and any applicable listing requirements of any national securities exchange on which shares of the same class are then listed, shall have been fully complied with. In connection with any such issuance or transfer, the person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6"/>
        <w:spacing w:after="0"/>
        <w:rPr>
          <w:sz w:val="20"/>
          <w:szCs w:val="20"/>
          <w:color w:val="auto"/>
        </w:rPr>
      </w:pPr>
      <w:r>
        <w:rPr>
          <w:rFonts w:ascii="Courier New" w:cs="Courier New" w:eastAsia="Courier New" w:hAnsi="Courier New"/>
          <w:sz w:val="20"/>
          <w:szCs w:val="20"/>
          <w:color w:val="auto"/>
        </w:rPr>
        <w:t>3</w:t>
      </w:r>
    </w:p>
    <w:p>
      <w:pPr>
        <w:sectPr>
          <w:pgSz w:w="11900" w:h="16838" w:orient="portrait"/>
          <w:cols w:equalWidth="0" w:num="1">
            <w:col w:w="11327"/>
          </w:cols>
          <w:pgMar w:left="233" w:top="1440" w:right="339" w:bottom="1440" w:gutter="0" w:footer="0" w:header="0"/>
        </w:sectPr>
      </w:pPr>
    </w:p>
    <w:bookmarkStart w:id="42" w:name="page43"/>
    <w:bookmarkEnd w:id="42"/>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acquiring the shares shall, if requested by the Corporation, give assurances satisfactory to counsel to the Corporation in respect of such matters as the Corporation or any Subsidiary of the Corporation may deem desirable to assure compliance with all applicable legal requirements.</w:t>
      </w:r>
    </w:p>
    <w:p>
      <w:pPr>
        <w:spacing w:after="0" w:line="153" w:lineRule="exact"/>
        <w:rPr>
          <w:sz w:val="20"/>
          <w:szCs w:val="20"/>
          <w:color w:val="auto"/>
        </w:rPr>
      </w:pPr>
    </w:p>
    <w:p>
      <w:pPr>
        <w:jc w:val="both"/>
        <w:ind w:firstLine="251"/>
        <w:spacing w:after="0" w:line="220" w:lineRule="auto"/>
        <w:tabs>
          <w:tab w:leader="none" w:pos="6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allocated or reserved for the purpose of the Plan or subject to this Agreement except as to such shares of Common Stock, if any, as shall have been issued or transferred to such person.</w:t>
      </w:r>
    </w:p>
    <w:p>
      <w:pPr>
        <w:spacing w:after="0" w:line="152" w:lineRule="exact"/>
        <w:rPr>
          <w:rFonts w:ascii="Times New Roman" w:cs="Times New Roman" w:eastAsia="Times New Roman" w:hAnsi="Times New Roman"/>
          <w:sz w:val="22"/>
          <w:szCs w:val="22"/>
          <w:color w:val="auto"/>
        </w:rPr>
      </w:pPr>
    </w:p>
    <w:p>
      <w:pPr>
        <w:jc w:val="both"/>
        <w:ind w:firstLine="379"/>
        <w:spacing w:after="0" w:line="222" w:lineRule="auto"/>
        <w:tabs>
          <w:tab w:leader="none" w:pos="1012" w:val="left"/>
        </w:tabs>
        <w:numPr>
          <w:ilvl w:val="2"/>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Corporation or any Subsidiary of the Corporation may make such provisions as it may deem appropriate for the withholding of any taxes which the Corporation or such Subsidiary determines it is required to withhold in connection with this performance stock unit agreement and the transactions contemplated hereby, and the Corporation or any such Subsidiary may require the Award Holder to pay to the Corporation or such Subsidiary in cash any amount or amounts which may be required to be paid as withheld taxes in connection with any issuance of Common Stock pursuant to this Award or any other transaction contemplated hereby as a condition to the issuance of shares of the Common Stock, provided, however, that any amount withheld for taxes in connection with this Award may, at the election of the Award Holder, be paid with previously issued shares of Common Stock or the deduction of shares of Common Stock to be issued in connection with this Award.</w:t>
      </w:r>
    </w:p>
    <w:p>
      <w:pPr>
        <w:spacing w:after="0" w:line="157" w:lineRule="exact"/>
        <w:rPr>
          <w:rFonts w:ascii="Times New Roman" w:cs="Times New Roman" w:eastAsia="Times New Roman" w:hAnsi="Times New Roman"/>
          <w:sz w:val="21"/>
          <w:szCs w:val="21"/>
          <w:color w:val="auto"/>
        </w:rPr>
      </w:pPr>
    </w:p>
    <w:p>
      <w:pPr>
        <w:jc w:val="both"/>
        <w:ind w:firstLine="318"/>
        <w:spacing w:after="0" w:line="211" w:lineRule="auto"/>
        <w:tabs>
          <w:tab w:leader="none" w:pos="883"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performance stock unit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performance stock unit agreement, this Award or any other right or privilege granted hereby contrary to the provisions hereof, this performance stock unit agreement, this Award and all of such rights and privileges shall immediately become null and void, provided however, that the Award Holder may transfer an Award to any “family member” (as such term is defined in Section A.1(a)(5) of the General Instructions to Form S-8 under the Securities Act of 1933, as amended (“Form S-8”)),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59" w:lineRule="exact"/>
        <w:rPr>
          <w:sz w:val="20"/>
          <w:szCs w:val="20"/>
          <w:color w:val="auto"/>
        </w:rPr>
      </w:pPr>
    </w:p>
    <w:p>
      <w:pPr>
        <w:jc w:val="both"/>
        <w:ind w:firstLine="224"/>
        <w:spacing w:after="0" w:line="225" w:lineRule="auto"/>
        <w:tabs>
          <w:tab w:leader="none" w:pos="70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Programs</w:t>
      </w:r>
      <w:r>
        <w:rPr>
          <w:rFonts w:ascii="Times New Roman" w:cs="Times New Roman" w:eastAsia="Times New Roman" w:hAnsi="Times New Roman"/>
          <w:sz w:val="22"/>
          <w:szCs w:val="22"/>
          <w:color w:val="auto"/>
        </w:rPr>
        <w:t>. Nothing contained in this performance stock unit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52" w:lineRule="exact"/>
        <w:rPr>
          <w:rFonts w:ascii="Times New Roman" w:cs="Times New Roman" w:eastAsia="Times New Roman" w:hAnsi="Times New Roman"/>
          <w:sz w:val="22"/>
          <w:szCs w:val="22"/>
          <w:color w:val="auto"/>
        </w:rPr>
      </w:pPr>
    </w:p>
    <w:p>
      <w:pPr>
        <w:jc w:val="both"/>
        <w:ind w:firstLine="231"/>
        <w:spacing w:after="0" w:line="220" w:lineRule="auto"/>
        <w:tabs>
          <w:tab w:leader="none" w:pos="71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performance stock unit agreement. Award Holder acknowledges receipt of a complete copy of the Plan.</w:t>
      </w:r>
    </w:p>
    <w:p>
      <w:pPr>
        <w:spacing w:after="0" w:line="152" w:lineRule="exact"/>
        <w:rPr>
          <w:rFonts w:ascii="Times New Roman" w:cs="Times New Roman" w:eastAsia="Times New Roman" w:hAnsi="Times New Roman"/>
          <w:sz w:val="22"/>
          <w:szCs w:val="22"/>
          <w:color w:val="auto"/>
        </w:rPr>
      </w:pPr>
    </w:p>
    <w:p>
      <w:pPr>
        <w:jc w:val="both"/>
        <w:ind w:firstLine="325"/>
        <w:spacing w:after="0" w:line="225" w:lineRule="auto"/>
        <w:tabs>
          <w:tab w:leader="none" w:pos="904"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performance stock unit agreement shall be decided by the Committee in its total and absolute discretion. It is expressly understood that the Committee is authorized to administer, construe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4</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and make all determinations necessary or appropriate to the administration of the Plan and this performance stock unit agreement, all of which shall be binding upon the Award Holder to the maximum extent permitted by the Plan.</w:t>
      </w:r>
    </w:p>
    <w:p>
      <w:pPr>
        <w:spacing w:after="0" w:line="150" w:lineRule="exact"/>
        <w:rPr>
          <w:sz w:val="20"/>
          <w:szCs w:val="20"/>
          <w:color w:val="auto"/>
        </w:rPr>
      </w:pPr>
    </w:p>
    <w:p>
      <w:pPr>
        <w:ind w:firstLine="271"/>
        <w:spacing w:after="0" w:line="236" w:lineRule="auto"/>
        <w:tabs>
          <w:tab w:leader="none" w:pos="79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50" w:lineRule="exact"/>
        <w:rPr>
          <w:rFonts w:ascii="Times New Roman" w:cs="Times New Roman" w:eastAsia="Times New Roman" w:hAnsi="Times New Roman"/>
          <w:sz w:val="22"/>
          <w:szCs w:val="22"/>
          <w:color w:val="auto"/>
        </w:rPr>
      </w:pPr>
    </w:p>
    <w:p>
      <w:pPr>
        <w:ind w:firstLine="237"/>
        <w:spacing w:after="0" w:line="236" w:lineRule="auto"/>
        <w:tabs>
          <w:tab w:leader="none" w:pos="72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5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5</w:t>
      </w:r>
    </w:p>
    <w:p>
      <w:pPr>
        <w:sectPr>
          <w:pgSz w:w="11900" w:h="16838" w:orient="portrait"/>
          <w:cols w:equalWidth="0" w:num="1">
            <w:col w:w="11240"/>
          </w:cols>
          <w:pgMar w:left="320" w:top="144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color w:val="auto"/>
        </w:rPr>
        <w:t>PERFORMANCE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00" w:lineRule="exact"/>
        <w:rPr>
          <w:sz w:val="20"/>
          <w:szCs w:val="20"/>
          <w:color w:val="auto"/>
        </w:rPr>
      </w:pPr>
    </w:p>
    <w:p>
      <w:pPr>
        <w:spacing w:after="0" w:line="222" w:lineRule="exact"/>
        <w:rPr>
          <w:sz w:val="20"/>
          <w:szCs w:val="20"/>
          <w:color w:val="auto"/>
        </w:rPr>
      </w:pPr>
    </w:p>
    <w:p>
      <w:pPr>
        <w:jc w:val="both"/>
        <w:ind w:firstLine="725"/>
        <w:spacing w:after="0" w:line="219" w:lineRule="auto"/>
        <w:rPr>
          <w:sz w:val="20"/>
          <w:szCs w:val="20"/>
          <w:color w:val="auto"/>
        </w:rPr>
      </w:pPr>
      <w:r>
        <w:rPr>
          <w:rFonts w:ascii="Times New Roman" w:cs="Times New Roman" w:eastAsia="Times New Roman" w:hAnsi="Times New Roman"/>
          <w:sz w:val="21"/>
          <w:szCs w:val="21"/>
          <w:color w:val="auto"/>
        </w:rPr>
        <w:t>For purposes of this performance stock unit agreement, the “Diluted Earnings Per Share” means the diluted earnings per share of the Corporation for each of the Corporation’s fiscal years ending December 31, 202_, December 31, 202_ and December 31, 202_ as included in the Corporation’s audited financial statements, subject to adjustment as provided herein. The Diluted Earnings Per Share shall be adjusted (as determined by the Committee) (i) for changes in accounting, (ii) for discontinued operations (including businesses and product lines that are sold), (iii) to exclude gain or loss on the sale of any business or product line, including but not limited to post-closing adjustments to the purchase price, any indemnity or similar payments, and any costs or expenses in connection therewith, (iv) to exclude any asset impairment write-offs or charges (whether of goodwill, intangible or tangible assets), (v) to exclude any transaction-related costs or expenses arising in connection with the purchase or sale of any business or product line, including but not limited to the effects of Financial Accounting Standards Board Accounting Standards Codification Topic 805, (vi) to exclude any costs or expenses arising in connection with the refinancing, restructuring or prepayment of any Debt, including but not limited to the unamortized portion of any original issue discount, the unamortized portion of any original issue costs and expenses, and any prepayment or make-whole payments, costs or expenses and (vii) any restructuring, reorganization or other costs, expenses or charges that the Compensation Committee determines should be adjusted to fairly reflect the operating performance of the Company. An appropriate adjustment in the Diluted Earnings Per Share amounts in the table below also shall be made for any of the events described in Section 6(a) above.</w:t>
      </w:r>
    </w:p>
    <w:p>
      <w:pPr>
        <w:spacing w:after="0" w:line="151" w:lineRule="exact"/>
        <w:rPr>
          <w:sz w:val="20"/>
          <w:szCs w:val="20"/>
          <w:color w:val="auto"/>
        </w:rPr>
      </w:pPr>
    </w:p>
    <w:p>
      <w:pPr>
        <w:jc w:val="both"/>
        <w:ind w:firstLine="725"/>
        <w:spacing w:after="0" w:line="211" w:lineRule="auto"/>
        <w:rPr>
          <w:sz w:val="20"/>
          <w:szCs w:val="20"/>
          <w:color w:val="auto"/>
        </w:rPr>
      </w:pPr>
      <w:r>
        <w:rPr>
          <w:rFonts w:ascii="Times New Roman" w:cs="Times New Roman" w:eastAsia="Times New Roman" w:hAnsi="Times New Roman"/>
          <w:sz w:val="22"/>
          <w:szCs w:val="22"/>
          <w:color w:val="auto"/>
        </w:rPr>
        <w:t>For purposes of this performance stock unit agreement, the “Relative Total Shareholder Return” means the percentile ranking over the Performance Period of the Corporation’s total shareholder return as compared to the total shareholder return of the companies in the Russell 2000 Index at the beginning of the Performance Period. The determination of the total shareholder return for the Corporation and the companies in the Russell 2000 Index shall include the appreciation or depreciation of stock prices plus dividends paid as if reinvested, and shall be determined based on the average closing price of the Corporation’s common stock and the average closing price of the companies in the Russell 2000 Index over the first thirty (30) trading days of the Performance Period compared to the last thirty (30) trading days of the Performance Period. If the Russell 2000 Index ceases to be published, the Committee shall, in its discretion, substitute another broad-based stock index that it determines is appropriate.</w:t>
      </w:r>
    </w:p>
    <w:p>
      <w:pPr>
        <w:spacing w:after="0" w:line="154" w:lineRule="exact"/>
        <w:rPr>
          <w:sz w:val="20"/>
          <w:szCs w:val="20"/>
          <w:color w:val="auto"/>
        </w:rPr>
      </w:pPr>
    </w:p>
    <w:p>
      <w:pPr>
        <w:jc w:val="both"/>
        <w:ind w:firstLine="725"/>
        <w:spacing w:after="0" w:line="223" w:lineRule="auto"/>
        <w:rPr>
          <w:sz w:val="20"/>
          <w:szCs w:val="20"/>
          <w:color w:val="auto"/>
        </w:rPr>
      </w:pPr>
      <w:r>
        <w:rPr>
          <w:rFonts w:ascii="Times New Roman" w:cs="Times New Roman" w:eastAsia="Times New Roman" w:hAnsi="Times New Roman"/>
          <w:sz w:val="21"/>
          <w:szCs w:val="21"/>
          <w:color w:val="auto"/>
        </w:rPr>
        <w:t>After the end of the Corporation’s fiscal year ending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the Committee shall determine the Corporation’s Diluted Earnings Per Share for such fiscal year and the applicable percentage of Target Units earned with respect to such performance measure for such fiscal year. After the end of the Corporation’s fiscal year ending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the Committee shall determine the Corporation’s Diluted Earnings Per Share for such fiscal year and the applicable percentage of Target Units earned with respect to such performance measure for such fiscal year. After the end of the Corporation’s fiscal year ending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the Committee shall determine the Corporation’s Diluted Earnings Per Share for such fiscal year and the applicable percentage of Target Units earned with respect to such performance measure for such fiscal year. If the Diluted Earnings Per Share does not equal or exceed the thresholds in the table below, the Award shall expire without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395" w:right="339" w:bottom="1440" w:gutter="0" w:footer="0" w:header="0"/>
        </w:sectPr>
      </w:pPr>
    </w:p>
    <w:bookmarkStart w:id="45" w:name="page46"/>
    <w:bookmarkEnd w:id="45"/>
    <w:p>
      <w:pPr>
        <w:spacing w:after="0" w:line="3" w:lineRule="exact"/>
        <w:rPr>
          <w:sz w:val="20"/>
          <w:szCs w:val="20"/>
          <w:color w:val="auto"/>
        </w:rPr>
      </w:pPr>
    </w:p>
    <w:tbl>
      <w:tblPr>
        <w:tblLayout w:type="fixed"/>
        <w:tblInd w:w="730" w:type="dxa"/>
        <w:tblCellMar>
          <w:top w:w="0" w:type="dxa"/>
          <w:left w:w="0" w:type="dxa"/>
          <w:bottom w:w="0" w:type="dxa"/>
          <w:right w:w="0" w:type="dxa"/>
        </w:tblCellMar>
      </w:tblPr>
      <w:tr>
        <w:trPr>
          <w:trHeight w:val="230"/>
        </w:trPr>
        <w:tc>
          <w:tcPr>
            <w:tcW w:w="372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Diluted Earnings Per Share</w:t>
            </w:r>
          </w:p>
        </w:tc>
        <w:tc>
          <w:tcPr>
            <w:tcW w:w="1240" w:type="dxa"/>
            <w:vAlign w:val="bottom"/>
            <w:tcBorders>
              <w:top w:val="single" w:sz="8" w:color="auto"/>
              <w:right w:val="single" w:sz="8" w:color="auto"/>
            </w:tcBorders>
            <w:gridSpan w:val="3"/>
          </w:tcPr>
          <w:p>
            <w:pPr>
              <w:jc w:val="right"/>
              <w:ind w:right="420"/>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940" w:type="dxa"/>
            <w:vAlign w:val="bottom"/>
            <w:tcBorders>
              <w:top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5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540" w:type="dxa"/>
            <w:vAlign w:val="bottom"/>
            <w:tcBorders>
              <w:top w:val="single" w:sz="8" w:color="auto"/>
              <w:right w:val="single" w:sz="8" w:color="auto"/>
            </w:tcBorders>
          </w:tcPr>
          <w:p>
            <w:pPr>
              <w:spacing w:after="0"/>
              <w:rPr>
                <w:sz w:val="19"/>
                <w:szCs w:val="19"/>
                <w:color w:val="auto"/>
              </w:rPr>
            </w:pPr>
          </w:p>
        </w:tc>
        <w:tc>
          <w:tcPr>
            <w:tcW w:w="1740" w:type="dxa"/>
            <w:vAlign w:val="bottom"/>
            <w:tcBorders>
              <w:top w:val="single" w:sz="8" w:color="auto"/>
              <w:right w:val="single" w:sz="8" w:color="auto"/>
            </w:tcBorders>
          </w:tcPr>
          <w:p>
            <w:pPr>
              <w:ind w:left="640"/>
              <w:spacing w:after="0" w:line="229" w:lineRule="exact"/>
              <w:rPr>
                <w:sz w:val="20"/>
                <w:szCs w:val="20"/>
                <w:color w:val="auto"/>
              </w:rPr>
            </w:pPr>
            <w:r>
              <w:rPr>
                <w:rFonts w:ascii="Times New Roman" w:cs="Times New Roman" w:eastAsia="Times New Roman" w:hAnsi="Times New Roman"/>
                <w:sz w:val="22"/>
                <w:szCs w:val="22"/>
                <w:color w:val="auto"/>
              </w:rPr>
              <w:t>Total</w:t>
            </w:r>
          </w:p>
        </w:tc>
      </w:tr>
      <w:tr>
        <w:trPr>
          <w:trHeight w:val="34"/>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r>
      <w:tr>
        <w:trPr>
          <w:trHeight w:val="505"/>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Units</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30%</w:t>
            </w: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Units</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100%</w:t>
            </w: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Units</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r>
    </w:tbl>
    <w:p>
      <w:pPr>
        <w:spacing w:after="0" w:line="270"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1"/>
          <w:szCs w:val="21"/>
          <w:color w:val="auto"/>
        </w:rPr>
        <w:t>In the event that the Corporation’s Diluted Earnings Per Share for any fiscal year of the Performance Period falls between two of the percentages listed in the table above, the applicable percentage of Target Units earned based on such achievement shall be determined by linear interpolation. The total number of performance stock units subject to the Award that are earned based upon the Corporation’s achievement over the Performance Period (as determined by the Committee) will be equal to the sum of (i) the percentage determined by reference to the table above with respect to the Corporation’s Diluted Earnings Per Share for the fiscal year ending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xml:space="preserve"> multiplied by the number of Target Units set forth in Section 1 above,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the percentage determined by reference to the table above with respect to the Corporation’s Diluted Earnings Per Share for the fiscal year ending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xml:space="preserve"> multiplied by the number of Target Units set forth in Section 1 above,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(iii) the percentage determined by reference to the table above with respect to the Corporation’s Diluted Earnings Per Share for the fiscal year ending December 31, 202</w:t>
      </w:r>
      <w:r>
        <w:rPr>
          <w:rFonts w:ascii="Times New Roman" w:cs="Times New Roman" w:eastAsia="Times New Roman" w:hAnsi="Times New Roman"/>
          <w:sz w:val="21"/>
          <w:szCs w:val="21"/>
          <w:b w:val="1"/>
          <w:bCs w:val="1"/>
          <w:color w:val="auto"/>
        </w:rPr>
        <w:t>_</w:t>
      </w:r>
      <w:r>
        <w:rPr>
          <w:rFonts w:ascii="Times New Roman" w:cs="Times New Roman" w:eastAsia="Times New Roman" w:hAnsi="Times New Roman"/>
          <w:sz w:val="21"/>
          <w:szCs w:val="21"/>
          <w:color w:val="auto"/>
        </w:rPr>
        <w:t xml:space="preserve"> multiplied by the number of Target Units set forth in Section 1 above (such units collectively, the “Earned Units”).</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After the end of the Performance Period, the Committee shall determine the Corporation’s Relative Total Shareholder Return (compared to the companies in the Russell 2000 Index at the beginning of the Performance Period) over the Performance Period. The Committee, in its discretion, shall establish such procedures as it deems appropriate to determine the Corporation’s percentile rank in Relative Total Shareholder Return. The total Vesting Units will then be determined by multiplying the Earned Units by the Total Vested Units Modifier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7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Notwithstanding the foregoing, the Total Vested Units Modifier shall not be greater than 1.0 unless the Corporation’s Total Shareholder Return over the Performance Period is greater than zero.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Relative Total Shareholder Return v.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16287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Shareholder Return Percentile Rank</w:t>
            </w:r>
          </w:p>
        </w:tc>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Vested Units Modifier</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81%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- 100%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1.25</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71%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- 80%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1.15</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61%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- 70%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41%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- 60%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1.00</w:t>
            </w:r>
          </w:p>
        </w:tc>
      </w:tr>
      <w:tr>
        <w:trPr>
          <w:trHeight w:val="264"/>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31%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- 40%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.90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21%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- 30%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.85</w:t>
            </w:r>
          </w:p>
        </w:tc>
      </w:tr>
      <w:tr>
        <w:trPr>
          <w:trHeight w:val="263"/>
        </w:trPr>
        <w:tc>
          <w:tcPr>
            <w:tcW w:w="564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0% - 20%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.75</w:t>
            </w:r>
          </w:p>
        </w:tc>
      </w:tr>
    </w:tbl>
    <w:p>
      <w:pPr>
        <w:spacing w:after="0" w:line="270"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Notwithstanding anything herein to the contrary, in no event will more than two hundred fifty percent (250%) of the number of Target Units become vested hereunder. Performance stock units granted under this Award that are not vested and remain subject to forfeiture are referred to herein as “Unvested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60"/>
          </w:cols>
          <w:pgMar w:left="320" w:top="1440" w:right="31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PSU CASH-BASED LONG-TERM INCENTIVE AWARD AGREEMENT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cash-based long-time incentive award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made as of _______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between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 a Delaware corporation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and _______ (“</w:t>
      </w:r>
      <w:r>
        <w:rPr>
          <w:rFonts w:ascii="Times New Roman" w:cs="Times New Roman" w:eastAsia="Times New Roman" w:hAnsi="Times New Roman"/>
          <w:sz w:val="22"/>
          <w:szCs w:val="22"/>
          <w:b w:val="1"/>
          <w:bCs w:val="1"/>
          <w:color w:val="auto"/>
        </w:rPr>
        <w:t>Award Holder</w:t>
      </w: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 E C I T A L S</w:t>
      </w:r>
    </w:p>
    <w:p>
      <w:pPr>
        <w:spacing w:after="0" w:line="17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1"/>
          <w:szCs w:val="21"/>
          <w:color w:val="auto"/>
        </w:rPr>
        <w:t>This Agreement is subject to and governed by the terms of the Amended and Restated 2020 Stock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 G R E E M E N T S</w:t>
      </w:r>
    </w:p>
    <w:p>
      <w:pPr>
        <w:spacing w:after="0" w:line="175" w:lineRule="exact"/>
        <w:rPr>
          <w:sz w:val="20"/>
          <w:szCs w:val="20"/>
          <w:color w:val="auto"/>
        </w:rPr>
      </w:pPr>
    </w:p>
    <w:p>
      <w:pPr>
        <w:jc w:val="both"/>
        <w:ind w:firstLine="656"/>
        <w:spacing w:after="0" w:line="216" w:lineRule="auto"/>
        <w:tabs>
          <w:tab w:leader="none" w:pos="114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Corporation hereby grants to the Award Holder an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with a target value (if the Corporation achieves the target level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of _____________ Dollars ($________) (the “</w:t>
      </w:r>
      <w:r>
        <w:rPr>
          <w:rFonts w:ascii="Times New Roman" w:cs="Times New Roman" w:eastAsia="Times New Roman" w:hAnsi="Times New Roman"/>
          <w:sz w:val="22"/>
          <w:szCs w:val="22"/>
          <w:b w:val="1"/>
          <w:bCs w:val="1"/>
          <w:color w:val="auto"/>
        </w:rPr>
        <w:t>Target Award</w:t>
      </w:r>
      <w:r>
        <w:rPr>
          <w:rFonts w:ascii="Times New Roman" w:cs="Times New Roman" w:eastAsia="Times New Roman" w:hAnsi="Times New Roman"/>
          <w:sz w:val="22"/>
          <w:szCs w:val="22"/>
          <w:color w:val="auto"/>
        </w:rPr>
        <w:t xml:space="preserve">”), and a maximum of up to two hundred fifty percent (250%) of the Target Award (if Corporation achieves the maximum level performance goals described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in each case subject to certain adjustments as described herein. The Award granted hereunder represents the right to receive a payment in cash based upon the percentage of the Target Award earned, subject to the conditions set forth in this Agreement and the Plan.</w:t>
      </w:r>
    </w:p>
    <w:p>
      <w:pPr>
        <w:spacing w:after="0" w:line="149" w:lineRule="exact"/>
        <w:rPr>
          <w:rFonts w:ascii="Times New Roman" w:cs="Times New Roman" w:eastAsia="Times New Roman" w:hAnsi="Times New Roman"/>
          <w:sz w:val="22"/>
          <w:szCs w:val="22"/>
          <w:color w:val="auto"/>
        </w:rPr>
      </w:pPr>
    </w:p>
    <w:p>
      <w:pPr>
        <w:jc w:val="both"/>
        <w:ind w:firstLine="656"/>
        <w:spacing w:after="0" w:line="225" w:lineRule="auto"/>
        <w:tabs>
          <w:tab w:leader="none" w:pos="105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Unless the context clearly indicates otherwise, and subject to the terms and conditions of the Plan as the same may be amended from time to time, the following terms, when used in this Agreement, shall have the meanings set forth in this Section 2.</w:t>
      </w:r>
    </w:p>
    <w:p>
      <w:pPr>
        <w:spacing w:after="0" w:line="153" w:lineRule="exact"/>
        <w:rPr>
          <w:sz w:val="20"/>
          <w:szCs w:val="20"/>
          <w:color w:val="auto"/>
        </w:rPr>
      </w:pPr>
    </w:p>
    <w:p>
      <w:pPr>
        <w:jc w:val="both"/>
        <w:ind w:left="660" w:hanging="134"/>
        <w:spacing w:after="0" w:line="225" w:lineRule="auto"/>
        <w:rPr>
          <w:sz w:val="20"/>
          <w:szCs w:val="20"/>
          <w:color w:val="auto"/>
        </w:rPr>
      </w:pPr>
      <w:r>
        <w:rPr>
          <w:rFonts w:ascii="Times New Roman" w:cs="Times New Roman" w:eastAsia="Times New Roman" w:hAnsi="Times New Roman"/>
          <w:sz w:val="22"/>
          <w:szCs w:val="22"/>
          <w:color w:val="auto"/>
        </w:rPr>
        <w:t>“Common Stock” shall mean the Common Stock, $.01 par value, of the Corporation or such other class of shares or other securities as may be applicable pursuant to the provisions of Sections 4 or 9 of this cash-based long-time incentive award agreement.</w:t>
      </w:r>
    </w:p>
    <w:p>
      <w:pPr>
        <w:spacing w:after="0" w:line="152" w:lineRule="exact"/>
        <w:rPr>
          <w:sz w:val="20"/>
          <w:szCs w:val="20"/>
          <w:color w:val="auto"/>
        </w:rPr>
      </w:pPr>
    </w:p>
    <w:p>
      <w:pPr>
        <w:jc w:val="both"/>
        <w:ind w:left="660" w:firstLine="648"/>
        <w:spacing w:after="0" w:line="225" w:lineRule="auto"/>
        <w:rPr>
          <w:sz w:val="20"/>
          <w:szCs w:val="20"/>
          <w:color w:val="auto"/>
        </w:rPr>
      </w:pPr>
      <w:r>
        <w:rPr>
          <w:rFonts w:ascii="Times New Roman" w:cs="Times New Roman" w:eastAsia="Times New Roman" w:hAnsi="Times New Roman"/>
          <w:sz w:val="22"/>
          <w:szCs w:val="22"/>
          <w:color w:val="auto"/>
        </w:rPr>
        <w:t>“Subsidiary” shall mean a corporation or other form of business entity more than 50% of the voting shares of which is owned or controlled, directly or indirectly, by the Corporation and which is designated by the Committee for participation in the Plan by the key employees thereof.</w:t>
      </w:r>
    </w:p>
    <w:p>
      <w:pPr>
        <w:spacing w:after="0" w:line="153" w:lineRule="exact"/>
        <w:rPr>
          <w:sz w:val="20"/>
          <w:szCs w:val="20"/>
          <w:color w:val="auto"/>
        </w:rPr>
      </w:pPr>
    </w:p>
    <w:p>
      <w:pPr>
        <w:ind w:left="660" w:hanging="135"/>
        <w:spacing w:after="0" w:line="236" w:lineRule="auto"/>
        <w:rPr>
          <w:sz w:val="20"/>
          <w:szCs w:val="20"/>
          <w:color w:val="auto"/>
        </w:rPr>
      </w:pPr>
      <w:r>
        <w:rPr>
          <w:rFonts w:ascii="Times New Roman" w:cs="Times New Roman" w:eastAsia="Times New Roman" w:hAnsi="Times New Roman"/>
          <w:sz w:val="22"/>
          <w:szCs w:val="22"/>
          <w:color w:val="auto"/>
        </w:rPr>
        <w:t>“Committee” shall mean the Compensation Committee of the Board of Directors of the Corporation, or if there is no such committee acting, the Board of Directors of the Corporation.</w:t>
      </w:r>
    </w:p>
    <w:p>
      <w:pPr>
        <w:spacing w:after="0" w:line="150" w:lineRule="exact"/>
        <w:rPr>
          <w:sz w:val="20"/>
          <w:szCs w:val="20"/>
          <w:color w:val="auto"/>
        </w:rPr>
      </w:pPr>
    </w:p>
    <w:p>
      <w:pPr>
        <w:jc w:val="both"/>
        <w:ind w:firstLine="237"/>
        <w:spacing w:after="0" w:line="212" w:lineRule="auto"/>
        <w:tabs>
          <w:tab w:leader="none" w:pos="62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Award shall vest at the end of the 3-year performance period, beginning as of January 1, 202_ and ending on December 31, 202_ (the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xml:space="preserve">”). The vesting of the Award shall be subject to the Corporation achieving during the Performance Period the Diluted Earnings Per Share and Relative Total Shareholder Return, as provided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Following the end of each fiscal year of the Performance Period and the collection of relevant data necessary to determine the extent to which the performance goals set forth in Exhibit A have been satisfied, the Committee will determine: (a) the amount of Diluted Earnings Per Share that was achieved by the Corporation for each fiscal year of the Performance Period, and (b) the percentage of the Target Award for each fiscal year (for each such fiscal year, the “</w:t>
      </w:r>
      <w:r>
        <w:rPr>
          <w:rFonts w:ascii="Times New Roman" w:cs="Times New Roman" w:eastAsia="Times New Roman" w:hAnsi="Times New Roman"/>
          <w:sz w:val="22"/>
          <w:szCs w:val="22"/>
          <w:b w:val="1"/>
          <w:bCs w:val="1"/>
          <w:color w:val="auto"/>
        </w:rPr>
        <w:t>Earned Award</w:t>
      </w:r>
      <w:r>
        <w:rPr>
          <w:rFonts w:ascii="Times New Roman" w:cs="Times New Roman" w:eastAsia="Times New Roman" w:hAnsi="Times New Roman"/>
          <w:sz w:val="22"/>
          <w:szCs w:val="22"/>
          <w:color w:val="auto"/>
        </w:rPr>
        <w:t>”) that will become the Vested Award (as defined in</w:t>
      </w:r>
    </w:p>
    <w:p>
      <w:pPr>
        <w:sectPr>
          <w:pgSz w:w="11900" w:h="16838" w:orient="portrait"/>
          <w:cols w:equalWidth="0" w:num="1">
            <w:col w:w="11240"/>
          </w:cols>
          <w:pgMar w:left="320" w:top="100" w:right="339" w:bottom="1440" w:gutter="0" w:footer="0" w:header="0"/>
        </w:sectPr>
      </w:pPr>
    </w:p>
    <w:bookmarkStart w:id="48" w:name="page49"/>
    <w:bookmarkEnd w:id="48"/>
    <w:p>
      <w:pPr>
        <w:jc w:val="both"/>
        <w:spacing w:after="0" w:line="211" w:lineRule="auto"/>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as of the last day of the Performance Period or earlier as provided in Section 5(b). Following the end of the Performance Period and collection of relevant data necessary to determine the extent to which the performance goals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have been satisfied, the Committee will determine: (a) the Relative Total Shareholder Return that was achieved by the Corporation over the Performance Period, and (b) the multiplier that will be applied to the Earned Award to calculate the amount of the Vested Award as of the last day of the Performance Period, as provided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Committee shall make these determinations in its sole discretion. The level of achievement of Diluted Earnings Per Share and Relative Total Shareholder Return shall be evidenced by the Committee’s written certification. For the avoidance of doubt, any portion of the Target Award that does not vest in accordance with the forgoing shall expire without consideration at the end of the Performance Period.</w:t>
      </w:r>
    </w:p>
    <w:p>
      <w:pPr>
        <w:spacing w:after="0" w:line="158" w:lineRule="exact"/>
        <w:rPr>
          <w:sz w:val="20"/>
          <w:szCs w:val="20"/>
          <w:color w:val="auto"/>
        </w:rPr>
      </w:pPr>
    </w:p>
    <w:p>
      <w:pPr>
        <w:jc w:val="both"/>
        <w:ind w:firstLine="656"/>
        <w:spacing w:after="0" w:line="213" w:lineRule="auto"/>
        <w:tabs>
          <w:tab w:leader="none" w:pos="1120" w:val="left"/>
        </w:tabs>
        <w:numPr>
          <w:ilvl w:val="3"/>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of Vested Award</w:t>
      </w:r>
      <w:r>
        <w:rPr>
          <w:rFonts w:ascii="Times New Roman" w:cs="Times New Roman" w:eastAsia="Times New Roman" w:hAnsi="Times New Roman"/>
          <w:sz w:val="22"/>
          <w:szCs w:val="22"/>
          <w:color w:val="auto"/>
        </w:rPr>
        <w:t xml:space="preserve">. Upon the vesting of all or a portion of the Award, the Vested Award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shall be paid to the Award Holder in cash, subject to any required tax withholding obligations, upon the Committee’s written certification as set forth in Section 3. No shares of Common Stock shall be issued with respect to the Award. The Award Holder shall not acquire or have any rights as a shareholder of the Corporation by virtue of this cash-based long-time incentive award agreement (or the Award evidenced hereby). Notwithstanding the foregoing, the Award Holder may elect, on a form and in a manner prescribed by the Corporation, to defer any payment of the Vested Award, provided that any such deferral of payment must comply with any applicable requirements of Section 409A of the Code.</w:t>
      </w:r>
    </w:p>
    <w:p>
      <w:pPr>
        <w:spacing w:after="0" w:line="156"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82"/>
        <w:spacing w:after="0" w:line="221" w:lineRule="auto"/>
        <w:tabs>
          <w:tab w:leader="none" w:pos="788"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Award Holder’s employment with the Corporation or a Subsidiary terminates before the end of the Performance Period for any reason, except as provided in this Section 5, then the Award will be forfeited and cancelled and surrendered to the Corporation without payment of any consideration, effective on the date of the Award Holder’s termination of employment. Upon the termination of the Award Holder’s employment with the Corporation or a Subsidiary as a result of (i) death or “permanent disability” (as defined herein) or (ii) “retirement” (as defined herein), the amount of the Vested Award and the vesting of such Vested Award shall be determined in accordance with Section 5(b) below. As used herein, the term “retirement” shall mean that, on the date on which the Award Holder terminates employment with the Corporation or a Subsidiary, either (x) the Award Holder is sixty-five (65) or more years of age, or (y) the combination of the Award Holder’s age plus years of service equals not less than seventy (70). As used herein, the term “permanent disability” shall mean the date on which the Award Holder has not worked or been able to work due to physical or mental incapacity for a period of one hundred eighty (180) consecutive days.</w:t>
      </w:r>
    </w:p>
    <w:p>
      <w:pPr>
        <w:spacing w:after="0" w:line="152" w:lineRule="exact"/>
        <w:rPr>
          <w:rFonts w:ascii="Times New Roman" w:cs="Times New Roman" w:eastAsia="Times New Roman" w:hAnsi="Times New Roman"/>
          <w:sz w:val="21"/>
          <w:szCs w:val="21"/>
          <w:color w:val="auto"/>
        </w:rPr>
      </w:pPr>
    </w:p>
    <w:p>
      <w:pPr>
        <w:jc w:val="both"/>
        <w:ind w:firstLine="322"/>
        <w:spacing w:after="0" w:line="211" w:lineRule="auto"/>
        <w:tabs>
          <w:tab w:leader="none" w:pos="879" w:val="left"/>
        </w:tabs>
        <w:numPr>
          <w:ilvl w:val="2"/>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termination of the Award Holder’s employment with the Corporation or a Subsidiary as a result of death, permanent disability or retirement as provided in Section 5(a), (i) for each full fiscal year that the Award Holder was employed by the Corporation or a Subsidiary, the Earned Award (as defined in Section 3) shall vest immediately, and (ii) for the last fiscal year (if less than a full fiscal year) that the Award Holder was employed by the Corporation or a Subsidiary, the Target Award shall be reduced an amount equal to the Target Award set forth in Section 1 multiplied by a fraction, (x) the numerator of which equals the number of full calendar quarters that have elapsed between January 1 of such fiscal year and the date of termination of employment, and (y) the denominator of which equals four (4), and such Target Award (as reduced) shall then vest at such time as it becomes an Earned Award (as defined in Section 3) provided that the Award Holder has not rendered services, directly or indirectly, to any third party engaged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2</w:t>
      </w:r>
    </w:p>
    <w:p>
      <w:pPr>
        <w:sectPr>
          <w:pgSz w:w="11900" w:h="16838" w:orient="portrait"/>
          <w:cols w:equalWidth="0" w:num="1">
            <w:col w:w="11240"/>
          </w:cols>
          <w:pgMar w:left="320" w:top="1395" w:right="339" w:bottom="1440" w:gutter="0" w:footer="0" w:header="0"/>
        </w:sectPr>
      </w:pPr>
    </w:p>
    <w:bookmarkStart w:id="49" w:name="page50"/>
    <w:bookmarkEnd w:id="49"/>
    <w:p>
      <w:pPr>
        <w:spacing w:after="0" w:line="171" w:lineRule="exact"/>
        <w:rPr>
          <w:sz w:val="20"/>
          <w:szCs w:val="20"/>
          <w:color w:val="auto"/>
        </w:rPr>
      </w:pPr>
    </w:p>
    <w:p>
      <w:pPr>
        <w:ind w:left="88"/>
        <w:spacing w:after="0" w:line="236" w:lineRule="auto"/>
        <w:rPr>
          <w:sz w:val="20"/>
          <w:szCs w:val="20"/>
          <w:color w:val="auto"/>
        </w:rPr>
      </w:pPr>
      <w:r>
        <w:rPr>
          <w:rFonts w:ascii="Times New Roman" w:cs="Times New Roman" w:eastAsia="Times New Roman" w:hAnsi="Times New Roman"/>
          <w:sz w:val="22"/>
          <w:szCs w:val="22"/>
          <w:color w:val="auto"/>
        </w:rPr>
        <w:t xml:space="preserve">competition with the Corporation or its Subsidiaries. For the avoidance of doubt, the Total Vested Award Modifier (as described in Exhibit A) shall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be applied in determining the Vested Award for any Award covered by this Section 5(b).</w:t>
      </w:r>
    </w:p>
    <w:p>
      <w:pPr>
        <w:spacing w:after="0" w:line="150" w:lineRule="exact"/>
        <w:rPr>
          <w:sz w:val="20"/>
          <w:szCs w:val="20"/>
          <w:color w:val="auto"/>
        </w:rPr>
      </w:pPr>
    </w:p>
    <w:p>
      <w:pPr>
        <w:ind w:left="748" w:hanging="652"/>
        <w:spacing w:after="0"/>
        <w:tabs>
          <w:tab w:leader="none" w:pos="748"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8" w:hanging="88"/>
        <w:spacing w:after="0" w:line="220" w:lineRule="auto"/>
        <w:tabs>
          <w:tab w:leader="none" w:pos="4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w:t>
      </w:r>
      <w:r>
        <w:rPr>
          <w:rFonts w:ascii="Times New Roman" w:cs="Times New Roman" w:eastAsia="Times New Roman" w:hAnsi="Times New Roman"/>
          <w:sz w:val="22"/>
          <w:szCs w:val="22"/>
          <w:color w:val="auto"/>
        </w:rPr>
        <w:t>. Nothing in the Plan, in this Agreement or in any other instrument executed pursuant thereto shall confer upon the Award Holder any right to continue in the employ of the Corporation or any Subsidiary of the Corporation or shall interfere in any way with the right of the Corporation or any such Subsidiary to at any time terminate the employment of the Award Holder with or without cause.</w:t>
      </w:r>
    </w:p>
    <w:p>
      <w:pPr>
        <w:spacing w:after="0" w:line="152" w:lineRule="exact"/>
        <w:rPr>
          <w:rFonts w:ascii="Times New Roman" w:cs="Times New Roman" w:eastAsia="Times New Roman" w:hAnsi="Times New Roman"/>
          <w:sz w:val="22"/>
          <w:szCs w:val="22"/>
          <w:color w:val="auto"/>
        </w:rPr>
      </w:pPr>
    </w:p>
    <w:p>
      <w:pPr>
        <w:ind w:left="688" w:hanging="376"/>
        <w:spacing w:after="0"/>
        <w:tabs>
          <w:tab w:leader="none" w:pos="688"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8" w:firstLine="251"/>
        <w:spacing w:after="0" w:line="225" w:lineRule="auto"/>
        <w:tabs>
          <w:tab w:leader="none" w:pos="736" w:val="left"/>
        </w:tabs>
        <w:numPr>
          <w:ilvl w:val="3"/>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as a Shareholder</w:t>
      </w:r>
      <w:r>
        <w:rPr>
          <w:rFonts w:ascii="Times New Roman" w:cs="Times New Roman" w:eastAsia="Times New Roman" w:hAnsi="Times New Roman"/>
          <w:sz w:val="22"/>
          <w:szCs w:val="22"/>
          <w:color w:val="auto"/>
        </w:rPr>
        <w:t>. Neither the Award Holder nor any beneficiary or other person claiming under or through the Award Holder shall have any right, title or interest in or to any shares of Common Stock as a result of the Award or this Agreement.</w:t>
      </w:r>
    </w:p>
    <w:p>
      <w:pPr>
        <w:spacing w:after="0" w:line="152" w:lineRule="exact"/>
        <w:rPr>
          <w:rFonts w:ascii="Times New Roman" w:cs="Times New Roman" w:eastAsia="Times New Roman" w:hAnsi="Times New Roman"/>
          <w:sz w:val="22"/>
          <w:szCs w:val="22"/>
          <w:color w:val="auto"/>
        </w:rPr>
      </w:pPr>
    </w:p>
    <w:p>
      <w:pPr>
        <w:jc w:val="both"/>
        <w:ind w:left="88" w:firstLine="379"/>
        <w:spacing w:after="0" w:line="225" w:lineRule="auto"/>
        <w:tabs>
          <w:tab w:leader="none" w:pos="1100" w:val="left"/>
        </w:tabs>
        <w:numPr>
          <w:ilvl w:val="6"/>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Corporation or any Subsidiary of the Corporation may make such provisions as it may deem appropriate for the withholding of any taxes which the Corporation or such Subsidiary determines it is required to withhold in connection with this cash-based long-time incentive award agreement and the transactions contemplated hereby.</w:t>
      </w:r>
    </w:p>
    <w:p>
      <w:pPr>
        <w:spacing w:after="0" w:line="152" w:lineRule="exact"/>
        <w:rPr>
          <w:rFonts w:ascii="Times New Roman" w:cs="Times New Roman" w:eastAsia="Times New Roman" w:hAnsi="Times New Roman"/>
          <w:sz w:val="22"/>
          <w:szCs w:val="22"/>
          <w:color w:val="auto"/>
        </w:rPr>
      </w:pPr>
    </w:p>
    <w:p>
      <w:pPr>
        <w:jc w:val="both"/>
        <w:ind w:left="88" w:firstLine="298"/>
        <w:spacing w:after="0" w:line="211" w:lineRule="auto"/>
        <w:tabs>
          <w:tab w:leader="none" w:pos="930" w:val="left"/>
        </w:tabs>
        <w:numPr>
          <w:ilvl w:val="5"/>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Assignments</w:t>
      </w:r>
      <w:r>
        <w:rPr>
          <w:rFonts w:ascii="Times New Roman" w:cs="Times New Roman" w:eastAsia="Times New Roman" w:hAnsi="Times New Roman"/>
          <w:sz w:val="22"/>
          <w:szCs w:val="22"/>
          <w:color w:val="auto"/>
        </w:rPr>
        <w:t>. Neither this Agreement, nor this Award nor any other rights and privileges granted hereby shall be transferred, assigned, pledged or hypothecated in any way, whether by operation of law of descent and distribution. Upon any attempt to so transfer, assign, pledge, hypothecate or otherwise dispose of this Agreement, this Award or any other right or privilege granted hereby contrary to the provisions hereof, this Agreement, this Award and all of such rights and privileges shall immediately become null and void, provided however, that the Award Holder may transfer an Award to any “family member” (as such term is defined in Section A.1(a)(5) of the General Instructions to Form S-8 under the Securities Act of 1933, as amended (“</w:t>
      </w:r>
      <w:r>
        <w:rPr>
          <w:rFonts w:ascii="Times New Roman" w:cs="Times New Roman" w:eastAsia="Times New Roman" w:hAnsi="Times New Roman"/>
          <w:sz w:val="22"/>
          <w:szCs w:val="22"/>
          <w:b w:val="1"/>
          <w:bCs w:val="1"/>
          <w:color w:val="auto"/>
        </w:rPr>
        <w:t>Form S-8</w:t>
      </w:r>
      <w:r>
        <w:rPr>
          <w:rFonts w:ascii="Times New Roman" w:cs="Times New Roman" w:eastAsia="Times New Roman" w:hAnsi="Times New Roman"/>
          <w:sz w:val="22"/>
          <w:szCs w:val="22"/>
          <w:color w:val="auto"/>
        </w:rPr>
        <w:t>”)), to trusts solely for the benefit of such family members and to partnerships in which such family members and/or trusts are the only partners; provided that the transfer is pursuant to a gift or a domestic relations order to the extent permitted under the General Instructions to Form S-8 and provided further, that such transferee acknowledges and agrees that the Award remains subject to all of the terms and conditions of this Agreement and the Plan.</w:t>
      </w:r>
    </w:p>
    <w:p>
      <w:pPr>
        <w:spacing w:after="0" w:line="151" w:lineRule="exact"/>
        <w:rPr>
          <w:rFonts w:ascii="Times New Roman" w:cs="Times New Roman" w:eastAsia="Times New Roman" w:hAnsi="Times New Roman"/>
          <w:sz w:val="22"/>
          <w:szCs w:val="22"/>
          <w:color w:val="auto"/>
        </w:rPr>
      </w:pPr>
    </w:p>
    <w:p>
      <w:pPr>
        <w:jc w:val="both"/>
        <w:ind w:left="88" w:firstLine="264"/>
        <w:spacing w:after="0" w:line="236" w:lineRule="auto"/>
        <w:tabs>
          <w:tab w:leader="none" w:pos="871" w:val="left"/>
        </w:tabs>
        <w:numPr>
          <w:ilvl w:val="4"/>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Programs</w:t>
      </w:r>
      <w:r>
        <w:rPr>
          <w:rFonts w:ascii="Times New Roman" w:cs="Times New Roman" w:eastAsia="Times New Roman" w:hAnsi="Times New Roman"/>
          <w:sz w:val="21"/>
          <w:szCs w:val="21"/>
          <w:color w:val="auto"/>
        </w:rPr>
        <w:t>. Nothing contained in this cash-based long-time incentive award agreement shall affect the right of the Award Holder to participate in and receive benefits under and in accordance with the then current provisions of any pension, insurance, profit-sharing or other employee benefit plan or program of the Corporation or of any Subsidiary of the Corporation.</w:t>
      </w:r>
    </w:p>
    <w:p>
      <w:pPr>
        <w:spacing w:after="0" w:line="152" w:lineRule="exact"/>
        <w:rPr>
          <w:sz w:val="20"/>
          <w:szCs w:val="20"/>
          <w:color w:val="auto"/>
        </w:rPr>
      </w:pPr>
    </w:p>
    <w:p>
      <w:pPr>
        <w:jc w:val="both"/>
        <w:ind w:left="88" w:firstLine="231"/>
        <w:spacing w:after="0" w:line="220" w:lineRule="auto"/>
        <w:tabs>
          <w:tab w:leader="none" w:pos="80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Award hereby granted is subject to, and the Corporation and Award Holder agree to be bound by all of the terms and conditions of the Plan as the same may be amended from time to time in accordance with the terms thereof, but no such amendment may adversely affect the Award Holder’s rights under this Agreement. Award Holder acknowledges receipt of a complete copy of the Plan.</w:t>
      </w:r>
    </w:p>
    <w:p>
      <w:pPr>
        <w:spacing w:after="0" w:line="152" w:lineRule="exact"/>
        <w:rPr>
          <w:rFonts w:ascii="Times New Roman" w:cs="Times New Roman" w:eastAsia="Times New Roman" w:hAnsi="Times New Roman"/>
          <w:sz w:val="22"/>
          <w:szCs w:val="22"/>
          <w:color w:val="auto"/>
        </w:rPr>
      </w:pPr>
    </w:p>
    <w:p>
      <w:pPr>
        <w:jc w:val="both"/>
        <w:ind w:left="88" w:firstLine="231"/>
        <w:spacing w:after="0" w:line="225" w:lineRule="auto"/>
        <w:tabs>
          <w:tab w:leader="none" w:pos="80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Authority</w:t>
      </w:r>
      <w:r>
        <w:rPr>
          <w:rFonts w:ascii="Times New Roman" w:cs="Times New Roman" w:eastAsia="Times New Roman" w:hAnsi="Times New Roman"/>
          <w:sz w:val="22"/>
          <w:szCs w:val="22"/>
          <w:color w:val="auto"/>
        </w:rPr>
        <w:t>. All questions arising under the Plan or under this Agreement shall be decided by the Committee in its total and absolute discretion. It is expressly understood that the Committee is authorized to administer, construe and make all determinations necessary or appropriate to the administration of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7"/>
        <w:spacing w:after="0"/>
        <w:rPr>
          <w:sz w:val="20"/>
          <w:szCs w:val="20"/>
          <w:color w:val="auto"/>
        </w:rPr>
      </w:pPr>
      <w:r>
        <w:rPr>
          <w:rFonts w:ascii="Courier New" w:cs="Courier New" w:eastAsia="Courier New" w:hAnsi="Courier New"/>
          <w:sz w:val="20"/>
          <w:szCs w:val="20"/>
          <w:color w:val="auto"/>
        </w:rPr>
        <w:t>3</w:t>
      </w:r>
    </w:p>
    <w:p>
      <w:pPr>
        <w:sectPr>
          <w:pgSz w:w="11900" w:h="16838" w:orient="portrait"/>
          <w:cols w:equalWidth="0" w:num="1">
            <w:col w:w="11328"/>
          </w:cols>
          <w:pgMar w:left="232" w:top="1440" w:right="339" w:bottom="1440" w:gutter="0" w:footer="0" w:header="0"/>
        </w:sectPr>
      </w:pPr>
    </w:p>
    <w:bookmarkStart w:id="50" w:name="page51"/>
    <w:bookmarkEnd w:id="50"/>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which shall be binding upon the Award Holder to the maximum extent permitted by the Plan.</w:t>
      </w:r>
    </w:p>
    <w:p>
      <w:pPr>
        <w:spacing w:after="0" w:line="179" w:lineRule="exact"/>
        <w:rPr>
          <w:sz w:val="20"/>
          <w:szCs w:val="20"/>
          <w:color w:val="auto"/>
        </w:rPr>
      </w:pPr>
    </w:p>
    <w:p>
      <w:pPr>
        <w:ind w:firstLine="271"/>
        <w:spacing w:after="0" w:line="236" w:lineRule="auto"/>
        <w:tabs>
          <w:tab w:leader="none" w:pos="79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The consideration for the rights and benefits conferred on Award Holder by this Award are the services rendered by the Award Holder after and not before the grant of this Award.</w:t>
      </w:r>
    </w:p>
    <w:p>
      <w:pPr>
        <w:spacing w:after="0" w:line="150" w:lineRule="exact"/>
        <w:rPr>
          <w:rFonts w:ascii="Times New Roman" w:cs="Times New Roman" w:eastAsia="Times New Roman" w:hAnsi="Times New Roman"/>
          <w:sz w:val="22"/>
          <w:szCs w:val="22"/>
          <w:color w:val="auto"/>
        </w:rPr>
      </w:pPr>
    </w:p>
    <w:p>
      <w:pPr>
        <w:ind w:firstLine="237"/>
        <w:spacing w:after="0" w:line="236" w:lineRule="auto"/>
        <w:tabs>
          <w:tab w:leader="none" w:pos="72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This Award has been granted as of the effective date set forth above at Los Angeles, California, and the interpretation, performance and enforcement of this Agreement shall be governed by the laws of the State of California.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DUCOMMUN INCORPORATED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5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w:t>
      </w:r>
    </w:p>
    <w:p>
      <w:pPr>
        <w:ind w:left="92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__________________________________</w:t>
      </w:r>
    </w:p>
    <w:p>
      <w:pPr>
        <w:ind w:left="2220"/>
        <w:spacing w:after="0"/>
        <w:rPr>
          <w:sz w:val="20"/>
          <w:szCs w:val="20"/>
          <w:color w:val="auto"/>
        </w:rPr>
      </w:pPr>
      <w:r>
        <w:rPr>
          <w:rFonts w:ascii="Times New Roman" w:cs="Times New Roman" w:eastAsia="Times New Roman" w:hAnsi="Times New Roman"/>
          <w:sz w:val="22"/>
          <w:szCs w:val="22"/>
          <w:color w:val="auto"/>
        </w:rPr>
        <w:t>Award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4</w:t>
      </w:r>
    </w:p>
    <w:p>
      <w:pPr>
        <w:sectPr>
          <w:pgSz w:w="11900" w:h="16838" w:orient="portrait"/>
          <w:cols w:equalWidth="0" w:num="1">
            <w:col w:w="11240"/>
          </w:cols>
          <w:pgMar w:left="320" w:top="144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2"/>
          <w:szCs w:val="22"/>
          <w:color w:val="auto"/>
        </w:rPr>
        <w:t>CASH-BASED LONG-TIME INCENTIVE AWARD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18" w:lineRule="exact"/>
        <w:rPr>
          <w:sz w:val="20"/>
          <w:szCs w:val="20"/>
          <w:color w:val="auto"/>
        </w:rPr>
      </w:pPr>
    </w:p>
    <w:p>
      <w:pPr>
        <w:jc w:val="both"/>
        <w:ind w:firstLine="725"/>
        <w:spacing w:after="0" w:line="219" w:lineRule="auto"/>
        <w:rPr>
          <w:sz w:val="20"/>
          <w:szCs w:val="20"/>
          <w:color w:val="auto"/>
        </w:rPr>
      </w:pPr>
      <w:r>
        <w:rPr>
          <w:rFonts w:ascii="Times New Roman" w:cs="Times New Roman" w:eastAsia="Times New Roman" w:hAnsi="Times New Roman"/>
          <w:sz w:val="21"/>
          <w:szCs w:val="21"/>
          <w:color w:val="auto"/>
        </w:rPr>
        <w:t>For purposes of this Agreement, the “</w:t>
      </w:r>
      <w:r>
        <w:rPr>
          <w:rFonts w:ascii="Times New Roman" w:cs="Times New Roman" w:eastAsia="Times New Roman" w:hAnsi="Times New Roman"/>
          <w:sz w:val="21"/>
          <w:szCs w:val="21"/>
          <w:b w:val="1"/>
          <w:bCs w:val="1"/>
          <w:color w:val="auto"/>
        </w:rPr>
        <w:t>Diluted Earnings Per Share</w:t>
      </w:r>
      <w:r>
        <w:rPr>
          <w:rFonts w:ascii="Times New Roman" w:cs="Times New Roman" w:eastAsia="Times New Roman" w:hAnsi="Times New Roman"/>
          <w:sz w:val="21"/>
          <w:szCs w:val="21"/>
          <w:color w:val="auto"/>
        </w:rPr>
        <w:t>” means the diluted earnings per share of the Corporation for each of the Corporation’s fiscal years ending December 31, 202_, December 31, 202_ and December 31, 202_ as included in the Corporation’s audited financial statements, subject to adjustment as provided herein. The Diluted Earnings Per Share shall be adjusted (as determined by the Committee) (i) for changes in accounting, (ii) for discontinued operations (including businesses and product lines that are sold), (iii) to exclude gain or loss on the sale of any business or product line, including but not limited to post-closing adjustments to the purchase price, any indemnity or similar payments, and any costs or expenses in connection therewith, (iv) to exclude any asset impairment write-offs or charges (whether of goodwill, intangible or tangible assets), (v) to exclude any transaction-related costs or expenses arising in connection with the purchase or sale of any business or product line, including but not limited to the effects of Financial Accounting Standards Board Accounting Standards Codification Topic 805, (vi) to exclude any costs or expenses arising in connection with the refinancing, restructuring or prepayment of any Debt, including but not limited to the unamortized portion of any original issue discount, the unamortized portion of any original issue costs and expenses, and any prepayment or make-whole payments, costs or expenses and (vii) any restructuring, reorganization or other costs, expenses or charges that the Compensation Committee determines should be adjusted to fairly reflect the operating performance of the Company. An appropriate adjustment in the Diluted Earnings Per Share amounts in the table below also shall be made for any change in capitalization as described in the Plan.</w:t>
      </w:r>
    </w:p>
    <w:p>
      <w:pPr>
        <w:spacing w:after="0" w:line="151" w:lineRule="exact"/>
        <w:rPr>
          <w:sz w:val="20"/>
          <w:szCs w:val="20"/>
          <w:color w:val="auto"/>
        </w:rPr>
      </w:pPr>
    </w:p>
    <w:p>
      <w:pPr>
        <w:jc w:val="both"/>
        <w:ind w:firstLine="725"/>
        <w:spacing w:after="0" w:line="213" w:lineRule="auto"/>
        <w:rPr>
          <w:sz w:val="20"/>
          <w:szCs w:val="20"/>
          <w:color w:val="auto"/>
        </w:rPr>
      </w:pPr>
      <w:r>
        <w:rPr>
          <w:rFonts w:ascii="Times New Roman" w:cs="Times New Roman" w:eastAsia="Times New Roman" w:hAnsi="Times New Roman"/>
          <w:sz w:val="22"/>
          <w:szCs w:val="22"/>
          <w:color w:val="auto"/>
        </w:rPr>
        <w:t>For purposes of this Agreement, the “</w:t>
      </w:r>
      <w:r>
        <w:rPr>
          <w:rFonts w:ascii="Times New Roman" w:cs="Times New Roman" w:eastAsia="Times New Roman" w:hAnsi="Times New Roman"/>
          <w:sz w:val="22"/>
          <w:szCs w:val="22"/>
          <w:b w:val="1"/>
          <w:bCs w:val="1"/>
          <w:color w:val="auto"/>
        </w:rPr>
        <w:t>Relative Total Shareholder Return</w:t>
      </w:r>
      <w:r>
        <w:rPr>
          <w:rFonts w:ascii="Times New Roman" w:cs="Times New Roman" w:eastAsia="Times New Roman" w:hAnsi="Times New Roman"/>
          <w:sz w:val="22"/>
          <w:szCs w:val="22"/>
          <w:color w:val="auto"/>
        </w:rPr>
        <w:t>” means the percentile ranking over the Performance Period of the Corporation’s total shareholder return as compared to the total shareholder return of the companies in the Russell 2000 Index at the beginning of the Performance Period. The determination of the total shareholder return for the Corporation and the companies in the Russell 2000 Index shall include the appreciation or depreciation of stock prices plus dividends paid as if reinvested, and shall be determined based on the average closing price of the Corporation’s common stock and the average closing price of the companies in the Russell 2000 Index over the first thirty (30) trading days of the Performance Period compared to the last thirty (30) trading days of the Performance Period. If the Russell 2000 Index ceases to be published, the Committee shall, in its discretion, substitute another broad-based stock index that it determines is appropriate.</w:t>
      </w:r>
    </w:p>
    <w:p>
      <w:pPr>
        <w:spacing w:after="0" w:line="152" w:lineRule="exact"/>
        <w:rPr>
          <w:sz w:val="20"/>
          <w:szCs w:val="20"/>
          <w:color w:val="auto"/>
        </w:rPr>
      </w:pPr>
    </w:p>
    <w:p>
      <w:pPr>
        <w:jc w:val="both"/>
        <w:ind w:firstLine="725"/>
        <w:spacing w:after="0" w:line="222" w:lineRule="auto"/>
        <w:rPr>
          <w:sz w:val="20"/>
          <w:szCs w:val="20"/>
          <w:color w:val="auto"/>
        </w:rPr>
      </w:pPr>
      <w:r>
        <w:rPr>
          <w:rFonts w:ascii="Times New Roman" w:cs="Times New Roman" w:eastAsia="Times New Roman" w:hAnsi="Times New Roman"/>
          <w:sz w:val="21"/>
          <w:szCs w:val="21"/>
          <w:color w:val="auto"/>
        </w:rPr>
        <w:t>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After the end of the Corporation’s fiscal year ending December 31, 202_, the Committee shall determine the Corporation’s Diluted Earnings Per Share for such fiscal year and the applicable percentage of Target Award earned with respect to such performance measure for such fiscal year. If the Diluted Earnings Per Share does not equal or exceed the thresholds in the table below, the Award shall expire without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395" w:right="339" w:bottom="1440" w:gutter="0" w:footer="0" w:header="0"/>
        </w:sectPr>
      </w:pPr>
    </w:p>
    <w:bookmarkStart w:id="52" w:name="page53"/>
    <w:bookmarkEnd w:id="52"/>
    <w:p>
      <w:pPr>
        <w:spacing w:after="0" w:line="3" w:lineRule="exact"/>
        <w:rPr>
          <w:sz w:val="20"/>
          <w:szCs w:val="20"/>
          <w:color w:val="auto"/>
        </w:rPr>
      </w:pPr>
    </w:p>
    <w:tbl>
      <w:tblPr>
        <w:tblLayout w:type="fixed"/>
        <w:tblInd w:w="730" w:type="dxa"/>
        <w:tblCellMar>
          <w:top w:w="0" w:type="dxa"/>
          <w:left w:w="0" w:type="dxa"/>
          <w:bottom w:w="0" w:type="dxa"/>
          <w:right w:w="0" w:type="dxa"/>
        </w:tblCellMar>
      </w:tblPr>
      <w:tr>
        <w:trPr>
          <w:trHeight w:val="229"/>
        </w:trPr>
        <w:tc>
          <w:tcPr>
            <w:tcW w:w="3720" w:type="dxa"/>
            <w:vAlign w:val="bottom"/>
            <w:tcBorders>
              <w:top w:val="single" w:sz="8" w:color="auto"/>
              <w:left w:val="single" w:sz="8" w:color="auto"/>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Diluted Earnings Per Share</w:t>
            </w:r>
          </w:p>
        </w:tc>
        <w:tc>
          <w:tcPr>
            <w:tcW w:w="1240" w:type="dxa"/>
            <w:vAlign w:val="bottom"/>
            <w:tcBorders>
              <w:top w:val="single" w:sz="8" w:color="auto"/>
              <w:right w:val="single" w:sz="8" w:color="auto"/>
            </w:tcBorders>
            <w:gridSpan w:val="3"/>
          </w:tcPr>
          <w:p>
            <w:pPr>
              <w:jc w:val="right"/>
              <w:ind w:right="420"/>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940" w:type="dxa"/>
            <w:vAlign w:val="bottom"/>
            <w:tcBorders>
              <w:top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5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spacing w:after="0" w:line="229" w:lineRule="exact"/>
              <w:rPr>
                <w:sz w:val="20"/>
                <w:szCs w:val="20"/>
                <w:color w:val="auto"/>
              </w:rPr>
            </w:pPr>
            <w:r>
              <w:rPr>
                <w:rFonts w:ascii="Times New Roman" w:cs="Times New Roman" w:eastAsia="Times New Roman" w:hAnsi="Times New Roman"/>
                <w:sz w:val="22"/>
                <w:szCs w:val="22"/>
                <w:color w:val="auto"/>
              </w:rPr>
              <w:t>202_</w:t>
            </w:r>
          </w:p>
        </w:tc>
        <w:tc>
          <w:tcPr>
            <w:tcW w:w="540" w:type="dxa"/>
            <w:vAlign w:val="bottom"/>
            <w:tcBorders>
              <w:top w:val="single" w:sz="8" w:color="auto"/>
              <w:right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gridSpan w:val="2"/>
          </w:tcPr>
          <w:p>
            <w:pPr>
              <w:spacing w:after="0" w:line="229" w:lineRule="exact"/>
              <w:rPr>
                <w:sz w:val="20"/>
                <w:szCs w:val="20"/>
                <w:color w:val="auto"/>
              </w:rPr>
            </w:pPr>
            <w:r>
              <w:rPr>
                <w:rFonts w:ascii="Times New Roman" w:cs="Times New Roman" w:eastAsia="Times New Roman" w:hAnsi="Times New Roman"/>
                <w:sz w:val="22"/>
                <w:szCs w:val="22"/>
                <w:color w:val="auto"/>
              </w:rPr>
              <w:t>Total</w:t>
            </w:r>
          </w:p>
        </w:tc>
      </w:tr>
      <w:tr>
        <w:trPr>
          <w:trHeight w:val="34"/>
        </w:trPr>
        <w:tc>
          <w:tcPr>
            <w:tcW w:w="3720" w:type="dxa"/>
            <w:vAlign w:val="bottom"/>
            <w:tcBorders>
              <w:left w:val="single" w:sz="8" w:color="auto"/>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20" w:type="dxa"/>
            <w:vAlign w:val="bottom"/>
            <w:tcBorders>
              <w:top w:val="single" w:sz="8" w:color="auto"/>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505"/>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Threshold</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10%</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w:t>
            </w:r>
          </w:p>
        </w:tc>
        <w:tc>
          <w:tcPr>
            <w:tcW w:w="1080" w:type="dxa"/>
            <w:vAlign w:val="bottom"/>
            <w:tcBorders>
              <w:bottom w:val="single" w:sz="8" w:color="auto"/>
            </w:tcBorders>
            <w:gridSpan w:val="2"/>
          </w:tcPr>
          <w:p>
            <w:pPr>
              <w:jc w:val="center"/>
              <w:ind w:left="532"/>
              <w:spacing w:after="0"/>
              <w:rPr>
                <w:sz w:val="20"/>
                <w:szCs w:val="20"/>
                <w:color w:val="auto"/>
              </w:rPr>
            </w:pPr>
            <w:r>
              <w:rPr>
                <w:rFonts w:ascii="Times New Roman" w:cs="Times New Roman" w:eastAsia="Times New Roman" w:hAnsi="Times New Roman"/>
                <w:sz w:val="22"/>
                <w:szCs w:val="22"/>
                <w:color w:val="auto"/>
                <w:w w:val="99"/>
              </w:rPr>
              <w:t>30%</w:t>
            </w:r>
          </w:p>
        </w:tc>
        <w:tc>
          <w:tcPr>
            <w:tcW w:w="660" w:type="dxa"/>
            <w:vAlign w:val="bottom"/>
            <w:tcBorders>
              <w:bottom w:val="single" w:sz="8" w:color="auto"/>
              <w:right w:val="single" w:sz="8" w:color="auto"/>
            </w:tcBorders>
          </w:tcPr>
          <w:p>
            <w:pPr>
              <w:spacing w:after="0"/>
              <w:rPr>
                <w:sz w:val="24"/>
                <w:szCs w:val="24"/>
                <w:color w:val="auto"/>
              </w:rPr>
            </w:pP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Target</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33%</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w:t>
            </w:r>
          </w:p>
        </w:tc>
        <w:tc>
          <w:tcPr>
            <w:tcW w:w="17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100%</w:t>
            </w:r>
          </w:p>
        </w:tc>
      </w:tr>
      <w:tr>
        <w:trPr>
          <w:trHeight w:val="506"/>
        </w:trPr>
        <w:tc>
          <w:tcPr>
            <w:tcW w:w="37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Maximum</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r>
      <w:tr>
        <w:trPr>
          <w:trHeight w:val="433"/>
        </w:trPr>
        <w:tc>
          <w:tcPr>
            <w:tcW w:w="37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2"/>
                <w:szCs w:val="22"/>
                <w:color w:val="auto"/>
              </w:rPr>
              <w:t>Vesting % of Target Award</w:t>
            </w:r>
          </w:p>
        </w:tc>
        <w:tc>
          <w:tcPr>
            <w:tcW w:w="1240" w:type="dxa"/>
            <w:vAlign w:val="bottom"/>
            <w:tcBorders>
              <w:bottom w:val="single" w:sz="8" w:color="auto"/>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2"/>
                <w:szCs w:val="22"/>
                <w:color w:val="auto"/>
              </w:rPr>
              <w:t>66%</w:t>
            </w: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68%</w:t>
            </w:r>
          </w:p>
        </w:tc>
        <w:tc>
          <w:tcPr>
            <w:tcW w:w="17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7"/>
              </w:rPr>
              <w:t>200%</w:t>
            </w:r>
          </w:p>
        </w:tc>
      </w:tr>
    </w:tbl>
    <w:p>
      <w:pPr>
        <w:spacing w:after="0" w:line="27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 xml:space="preserve">In the event that the Corporation’s Diluted Earnings Per Share for any fiscal year of the Performance Period falls between two of the percentages listed in the table above, the applicable percentage of Target Award earned based on such achievement shall be determined by linear interpolation. The total value of the Award earned based upon the Corporation’s achievement over the Performance Period (as determined by the Committee) will be equal to the sum of (i) the percentage determined by reference to the table above with respect to the Corporation’s Diluted Earnings Per Share for the fiscal year ending December 31, 202_ multiplied by the amount of the Target Award set forth in Section 1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 the percentage determined by reference to the table above with respect to the Corporation’s Diluted Earnings Per Share for the fiscal year ending December 31, 202_ multiplied by the amount of the Target Award set forth in Section 1 above,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(iii) the percentage determined by reference to the table above with respect to the Corporation’s Diluted Earnings Per Share for the fiscal year ending December 31, 202_ multiplied by the amount of the Target Award set forth in Section 1 above (collectively, the “</w:t>
      </w:r>
      <w:r>
        <w:rPr>
          <w:rFonts w:ascii="Times New Roman" w:cs="Times New Roman" w:eastAsia="Times New Roman" w:hAnsi="Times New Roman"/>
          <w:sz w:val="22"/>
          <w:szCs w:val="22"/>
          <w:b w:val="1"/>
          <w:bCs w:val="1"/>
          <w:color w:val="auto"/>
        </w:rPr>
        <w:t>Earned Award</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After the end of the Performance Period, the Committee shall determine the Corporation’s Relative Total Shareholder Return (compared to the companies in the Russell 2000 Index at the beginning of the Performance Period) over the Performance Period. The Committee, in its discretion, shall establish such procedures as it deems appropriate to determine the Corporation’s percentile rank in Relative Total Shareholder Return. The total Vested Award will then be determined by multiplying the Earned Award by the Total Vested Award Modifier in the table below. Notwithstanding the foregoing, the Total Vested Award Modifier shall not be greater than 1.0 unless the Corporation’s Total Shareholder Return over the Performance Period is greater than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Relative Total Shareholder Return v.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0575" cy="1628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6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Total Shareholder Return Percentile Rank</w:t>
            </w:r>
          </w:p>
        </w:tc>
        <w:tc>
          <w:tcPr>
            <w:tcW w:w="5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Total Vested Award Modifier</w:t>
            </w:r>
          </w:p>
        </w:tc>
      </w:tr>
      <w:tr>
        <w:trPr>
          <w:trHeight w:val="264"/>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81%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- 100%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1.25</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71%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- 80%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1.15</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61%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- 70%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41%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- 60%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1.00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31%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- 40%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.90</w:t>
            </w:r>
          </w:p>
        </w:tc>
      </w:tr>
      <w:tr>
        <w:trPr>
          <w:trHeight w:val="263"/>
        </w:trPr>
        <w:tc>
          <w:tcPr>
            <w:tcW w:w="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9"/>
              </w:rPr>
              <w:t>21%</w:t>
            </w: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- 30%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.85</w:t>
            </w:r>
          </w:p>
        </w:tc>
      </w:tr>
      <w:tr>
        <w:trPr>
          <w:trHeight w:val="264"/>
        </w:trPr>
        <w:tc>
          <w:tcPr>
            <w:tcW w:w="564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2"/>
                <w:szCs w:val="22"/>
                <w:color w:val="auto"/>
              </w:rPr>
              <w:t>0% - 20%</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.75</w:t>
            </w:r>
          </w:p>
        </w:tc>
      </w:tr>
    </w:tbl>
    <w:p>
      <w:pPr>
        <w:spacing w:after="0" w:line="270"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Notwithstanding anything herein to the contrary, in no event will more than two hundred fifty percent (250%) of the Target Award become earned and vested hereunder. The portion of the Award that is not earned and vested and that remains subject to forfeiture are referred to herein as “</w:t>
      </w:r>
      <w:r>
        <w:rPr>
          <w:rFonts w:ascii="Times New Roman" w:cs="Times New Roman" w:eastAsia="Times New Roman" w:hAnsi="Times New Roman"/>
          <w:sz w:val="22"/>
          <w:szCs w:val="22"/>
          <w:b w:val="1"/>
          <w:bCs w:val="1"/>
          <w:color w:val="auto"/>
        </w:rPr>
        <w:t>Unvested Award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A-3</w:t>
      </w:r>
    </w:p>
    <w:p>
      <w:pPr>
        <w:sectPr>
          <w:pgSz w:w="11900" w:h="16838" w:orient="portrait"/>
          <w:cols w:equalWidth="0" w:num="1">
            <w:col w:w="11260"/>
          </w:cols>
          <w:pgMar w:left="320" w:top="1440" w:right="31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G. Oswald, certify that:</w:t>
      </w:r>
    </w:p>
    <w:p>
      <w:pPr>
        <w:spacing w:after="0" w:line="90"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April 1, 2023;</w:t>
      </w:r>
    </w:p>
    <w:p>
      <w:pPr>
        <w:spacing w:after="0" w:line="10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right="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Suman B. Mookerji, certify that:</w:t>
      </w:r>
    </w:p>
    <w:p>
      <w:pPr>
        <w:spacing w:after="0" w:line="104"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Ducommun Incorporated (the “registrant”) on Form 10-Q for the period ended April 1, 2023;</w:t>
      </w:r>
    </w:p>
    <w:p>
      <w:pPr>
        <w:spacing w:after="0" w:line="9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96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97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Controller and</w:t>
      </w:r>
    </w:p>
    <w:p>
      <w:pPr>
        <w:ind w:left="20"/>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April 1, 2023, as filed with the Securities and Exchange Commission on the date hereof (the “Report”), I, Stephen G. Oswald, Chairman, President and Chief Executive Officer of the Company, certify pursuant to 18 U.S.C. § 1350, as adopted pursuant to § 906 of the Sarbanes-Oxley Act of 2002, that to the best of my knowledge:</w:t>
      </w:r>
    </w:p>
    <w:p>
      <w:pPr>
        <w:spacing w:after="0" w:line="122" w:lineRule="exact"/>
        <w:rPr>
          <w:sz w:val="20"/>
          <w:szCs w:val="20"/>
          <w:color w:val="auto"/>
        </w:rPr>
      </w:pPr>
    </w:p>
    <w:p>
      <w:pPr>
        <w:ind w:left="1160" w:hanging="26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Stephen G. Oswald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Stephen G. Oswald</w:t>
      </w:r>
    </w:p>
    <w:p>
      <w:pPr>
        <w:spacing w:after="0" w:line="2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4,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Ducommun Incorporated (the “Company”) on Form 10-Q for the period ending April 1, 2023, as filed with the Securities and Exchange Commission on the date hereof (the “Report”), I, Suman B. Mookerji, Senior Vice President, Chief Financial Officer, Controller and Treasurer of the Company, certify pursuant to 18 U.S.C. § 1350, as adopted pursuant to § 906 of the Sarbanes-Oxley Act of 2002, that to the best of my knowledge:</w:t>
      </w:r>
    </w:p>
    <w:p>
      <w:pPr>
        <w:spacing w:after="0" w:line="126" w:lineRule="exact"/>
        <w:rPr>
          <w:sz w:val="20"/>
          <w:szCs w:val="20"/>
          <w:color w:val="auto"/>
        </w:rPr>
      </w:pPr>
    </w:p>
    <w:p>
      <w:pPr>
        <w:ind w:left="1160" w:hanging="26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160" w:hanging="261"/>
        <w:spacing w:after="0"/>
        <w:tabs>
          <w:tab w:leader="none" w:pos="1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Suman B. Mookerji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292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31292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Suman B. Mookerji</w:t>
      </w:r>
    </w:p>
    <w:p>
      <w:pPr>
        <w:spacing w:after="0" w:line="1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Senior Vice President, Chief Financial Officer, Controller and</w:t>
      </w:r>
    </w:p>
    <w:p>
      <w:pPr>
        <w:ind w:left="6300"/>
        <w:spacing w:after="0"/>
        <w:rPr>
          <w:sz w:val="20"/>
          <w:szCs w:val="20"/>
          <w:color w:val="auto"/>
        </w:rPr>
      </w:pPr>
      <w:r>
        <w:rPr>
          <w:rFonts w:ascii="Times New Roman" w:cs="Times New Roman" w:eastAsia="Times New Roman" w:hAnsi="Times New Roman"/>
          <w:sz w:val="18"/>
          <w:szCs w:val="18"/>
          <w:color w:val="auto"/>
        </w:rPr>
        <w:t>Treasurer</w:t>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May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accompanying the Form 10-Q solely pursuant to Section 906 of the Sarbanes-Oxley Act of 2002, and is not being filed as part of the Form 10-Q or as a separate disclosure document.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8">
    <w:nsid w:val="8138641"/>
    <w:multiLevelType w:val="hybridMultilevel"/>
    <w:lvl w:ilvl="0">
      <w:lvlJc w:val="left"/>
      <w:lvlText w:val="(%1)"/>
      <w:numFmt w:val="lowerLetter"/>
      <w:start w:val="2"/>
    </w:lvl>
    <w:lvl w:ilvl="1">
      <w:lvlJc w:val="left"/>
      <w:lvlText w:val="%2"/>
      <w:numFmt w:val="decimal"/>
      <w:start w:val="1"/>
    </w:lvl>
    <w:lvl w:ilvl="2">
      <w:lvlJc w:val="left"/>
      <w:lvlText w:val="%3."/>
      <w:numFmt w:val="decimal"/>
      <w:start w:val="4"/>
    </w:lvl>
  </w:abstractNum>
  <w:abstractNum w:abstractNumId="19">
    <w:nsid w:val="1E7FF521"/>
    <w:multiLevelType w:val="hybridMultilevel"/>
    <w:lvl w:ilvl="0">
      <w:lvlJc w:val="left"/>
      <w:lvlText w:val="%1."/>
      <w:numFmt w:val="decimal"/>
      <w:start w:val="5"/>
    </w:lvl>
    <w:lvl w:ilvl="1">
      <w:lvlJc w:val="left"/>
      <w:lvlText w:val="(%2)"/>
      <w:numFmt w:val="lowerLetter"/>
      <w:start w:val="1"/>
    </w:lvl>
  </w:abstractNum>
  <w:abstractNum w:abstractNumId="20">
    <w:nsid w:val="7C3DBD3D"/>
    <w:multiLevelType w:val="hybridMultilevel"/>
    <w:lvl w:ilvl="0">
      <w:lvlJc w:val="left"/>
      <w:lvlText w:val="%1"/>
      <w:numFmt w:val="decimal"/>
      <w:start w:val="1"/>
    </w:lvl>
    <w:lvl w:ilvl="1">
      <w:lvlJc w:val="left"/>
      <w:lvlText w:val="(%2)"/>
      <w:numFmt w:val="lowerLetter"/>
      <w:start w:val="2"/>
    </w:lvl>
  </w:abstractNum>
  <w:abstractNum w:abstractNumId="21">
    <w:nsid w:val="737B8DDC"/>
    <w:multiLevelType w:val="hybridMultilevel"/>
    <w:lvl w:ilvl="0">
      <w:lvlJc w:val="left"/>
      <w:lvlText w:val="%1."/>
      <w:numFmt w:val="decimal"/>
      <w:start w:val="6"/>
    </w:lvl>
    <w:lvl w:ilvl="1">
      <w:lvlJc w:val="left"/>
      <w:lvlText w:val="%2"/>
      <w:numFmt w:val="lowerLetter"/>
      <w:start w:val="1"/>
    </w:lvl>
  </w:abstractNum>
  <w:abstractNum w:abstractNumId="22">
    <w:nsid w:val="6CEAF08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23">
    <w:nsid w:val="22221A70"/>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7"/>
    </w:lvl>
    <w:lvl w:ilvl="3">
      <w:lvlJc w:val="left"/>
      <w:lvlText w:val="%4."/>
      <w:numFmt w:val="decimal"/>
      <w:start w:val="7"/>
    </w:lvl>
  </w:abstractNum>
  <w:abstractNum w:abstractNumId="24">
    <w:nsid w:val="4516DDE9"/>
    <w:multiLevelType w:val="hybridMultilevel"/>
    <w:lvl w:ilvl="0">
      <w:lvlJc w:val="left"/>
      <w:lvlText w:val="%1."/>
      <w:numFmt w:val="decimal"/>
      <w:start w:val="9"/>
    </w:lvl>
    <w:lvl w:ilvl="1">
      <w:lvlJc w:val="left"/>
      <w:lvlText w:val="%2."/>
      <w:numFmt w:val="decimal"/>
      <w:start w:val="10"/>
    </w:lvl>
    <w:lvl w:ilvl="2">
      <w:lvlJc w:val="left"/>
      <w:lvlText w:val="%3."/>
      <w:numFmt w:val="decimal"/>
      <w:start w:val="10"/>
    </w:lvl>
  </w:abstractNum>
  <w:abstractNum w:abstractNumId="25">
    <w:nsid w:val="3006C83E"/>
    <w:multiLevelType w:val="hybridMultilevel"/>
    <w:lvl w:ilvl="0">
      <w:lvlJc w:val="left"/>
      <w:lvlText w:val="%1."/>
      <w:numFmt w:val="decimal"/>
      <w:start w:val="12"/>
    </w:lvl>
    <w:lvl w:ilvl="1">
      <w:lvlJc w:val="left"/>
      <w:lvlText w:val="%2."/>
      <w:numFmt w:val="decimal"/>
      <w:start w:val="14"/>
    </w:lvl>
  </w:abstractNum>
  <w:abstractNum w:abstractNumId="26">
    <w:nsid w:val="614FD4A1"/>
    <w:multiLevelType w:val="hybridMultilevel"/>
    <w:lvl w:ilvl="0">
      <w:lvlJc w:val="left"/>
      <w:lvlText w:val="%1"/>
      <w:numFmt w:val="decimal"/>
      <w:start w:val="1"/>
    </w:lvl>
    <w:lvl w:ilvl="1">
      <w:lvlJc w:val="left"/>
      <w:lvlText w:val="%2."/>
      <w:numFmt w:val="decimal"/>
      <w:start w:val="15"/>
    </w:lvl>
  </w:abstractNum>
  <w:abstractNum w:abstractNumId="27">
    <w:nsid w:val="419AC241"/>
    <w:multiLevelType w:val="hybridMultilevel"/>
    <w:lvl w:ilvl="0">
      <w:lvlJc w:val="left"/>
      <w:lvlText w:val="%1."/>
      <w:numFmt w:val="decimal"/>
      <w:start w:val="16"/>
    </w:lvl>
    <w:lvl w:ilvl="1">
      <w:lvlJc w:val="left"/>
      <w:lvlText w:val="%2"/>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3"/>
    </w:lvl>
  </w:abstractNum>
  <w:abstractNum w:abstractNumId="30">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4"/>
    </w:lvl>
  </w:abstractNum>
  <w:abstractNum w:abstractNumId="31">
    <w:nsid w:val="3804823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lvl w:ilvl="3">
      <w:lvlJc w:val="left"/>
      <w:lvlText w:val="%4"/>
      <w:numFmt w:val="decimal"/>
      <w:start w:val="1"/>
    </w:lvl>
  </w:abstractNum>
  <w:abstractNum w:abstractNumId="32">
    <w:nsid w:val="77465F01"/>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lvl w:ilvl="6">
      <w:lvlJc w:val="left"/>
      <w:lvlText w:val="%7"/>
      <w:numFmt w:val="decimal"/>
      <w:start w:val="1"/>
    </w:lvl>
  </w:abstractNum>
  <w:abstractNum w:abstractNumId="33">
    <w:nsid w:val="7724C67E"/>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decimal"/>
      <w:start w:val="9"/>
    </w:lvl>
    <w:lvl w:ilvl="4">
      <w:lvlJc w:val="left"/>
      <w:lvlText w:val="%5."/>
      <w:numFmt w:val="decimal"/>
      <w:start w:val="11"/>
    </w:lvl>
    <w:lvl w:ilvl="5">
      <w:lvlJc w:val="left"/>
      <w:lvlText w:val="%6."/>
      <w:numFmt w:val="decimal"/>
      <w:start w:val="10"/>
    </w:lvl>
    <w:lvl w:ilvl="6">
      <w:lvlJc w:val="left"/>
      <w:lvlText w:val="%7."/>
      <w:numFmt w:val="decimal"/>
      <w:start w:val="10"/>
    </w:lvl>
  </w:abstractNum>
  <w:abstractNum w:abstractNumId="34">
    <w:nsid w:val="5C482A97"/>
    <w:multiLevelType w:val="hybridMultilevel"/>
    <w:lvl w:ilvl="0">
      <w:lvlJc w:val="left"/>
      <w:lvlText w:val="%1."/>
      <w:numFmt w:val="decimal"/>
      <w:start w:val="13"/>
    </w:lvl>
  </w:abstractNum>
  <w:abstractNum w:abstractNumId="35">
    <w:nsid w:val="2463B9EA"/>
    <w:multiLevelType w:val="hybridMultilevel"/>
    <w:lvl w:ilvl="0">
      <w:lvlJc w:val="left"/>
      <w:lvlText w:val="%1"/>
      <w:numFmt w:val="decimal"/>
      <w:start w:val="1"/>
    </w:lvl>
    <w:lvl w:ilvl="1">
      <w:lvlJc w:val="left"/>
      <w:lvlText w:val="%2."/>
      <w:numFmt w:val="decimal"/>
      <w:start w:val="15"/>
    </w:lvl>
  </w:abstractNum>
  <w:abstractNum w:abstractNumId="36">
    <w:nsid w:val="5E884ADC"/>
    <w:multiLevelType w:val="hybridMultilevel"/>
    <w:lvl w:ilvl="0">
      <w:lvlJc w:val="left"/>
      <w:lvlText w:val="%1."/>
      <w:numFmt w:val="decimal"/>
      <w:start w:val="16"/>
    </w:lvl>
    <w:lvl w:ilvl="1">
      <w:lvlJc w:val="left"/>
      <w:lvlText w:val="%2"/>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51" Type="http://schemas.openxmlformats.org/officeDocument/2006/relationships/hyperlink" Target="http://www.sec.gov/Archives/edgar/data/30305/000119312517281838/d414212dex21.htm" TargetMode="External"/><Relationship Id="rId52" Type="http://schemas.openxmlformats.org/officeDocument/2006/relationships/hyperlink" Target="http://www.sec.gov/Archives/edgar/data/30305/000119312519264787/d817718dex21.htm" TargetMode="External"/><Relationship Id="rId53" Type="http://schemas.openxmlformats.org/officeDocument/2006/relationships/hyperlink" Target="http://www.sec.gov/Archives/edgar/data/30305/000119312521358659/d203605dex21.htm" TargetMode="External"/><Relationship Id="rId54" Type="http://schemas.openxmlformats.org/officeDocument/2006/relationships/hyperlink" Target="http://www.sec.gov/Archives/edgar/data/30305/000119312523075209/d477836dex21.htm" TargetMode="External"/><Relationship Id="rId55" Type="http://schemas.openxmlformats.org/officeDocument/2006/relationships/hyperlink" Target="http://www.sec.gov/Archives/edgar/data/30305/000119312521361798/d273590dex21.htm" TargetMode="External"/><Relationship Id="rId56" Type="http://schemas.openxmlformats.org/officeDocument/2006/relationships/hyperlink" Target="http://www.sec.gov/Archives/edgar/data/30305/0000892569-99-000620-index.html" TargetMode="External"/><Relationship Id="rId57" Type="http://schemas.openxmlformats.org/officeDocument/2006/relationships/hyperlink" Target="http://www.sec.gov/Archives/edgar/data/30305/000162828023003810/dco10-k2022_ex3x3xbylaws.htm" TargetMode="External"/><Relationship Id="rId58" Type="http://schemas.openxmlformats.org/officeDocument/2006/relationships/hyperlink" Target="http://www.sec.gov/Archives/edgar/data/30305/000162828020001898/dco10-k2019exhibit4_1.htm" TargetMode="External"/><Relationship Id="rId59" Type="http://schemas.openxmlformats.org/officeDocument/2006/relationships/hyperlink" Target="http://www.sec.gov/Archives/edgar/data/30305/000119312522195816/d363696dex101.htm" TargetMode="External"/><Relationship Id="rId60" Type="http://schemas.openxmlformats.org/officeDocument/2006/relationships/hyperlink" Target="http://www.sec.gov/Archives/edgar/data/30305/000119312518093774/d536991ddef14a.htm" TargetMode="External"/><Relationship Id="rId61" Type="http://schemas.openxmlformats.org/officeDocument/2006/relationships/hyperlink" Target="http://www.sec.gov/Archives/edgar/data/30305/000119312522111129/d259223dex101.htm" TargetMode="External"/><Relationship Id="rId62" Type="http://schemas.openxmlformats.org/officeDocument/2006/relationships/hyperlink" Target="http://www.sec.gov/Archives/edgar/data/30305/000119312520080692/d859194ddef14a.htm" TargetMode="External"/><Relationship Id="rId63" Type="http://schemas.openxmlformats.org/officeDocument/2006/relationships/hyperlink" Target="http://www.sec.gov/Archives/edgar/data/30305/000119312504034525/dex108.htm" TargetMode="External"/><Relationship Id="rId64" Type="http://schemas.openxmlformats.org/officeDocument/2006/relationships/hyperlink" Target="http://www.sec.gov/Archives/edgar/data/30305/000162828017002221/dco10-k2016_ex105.htm" TargetMode="External"/><Relationship Id="rId65" Type="http://schemas.openxmlformats.org/officeDocument/2006/relationships/hyperlink" Target="http://www.sec.gov/Archives/edgar/data/30305/000119312518159343/d596690dex47.htm" TargetMode="External"/><Relationship Id="rId66" Type="http://schemas.openxmlformats.org/officeDocument/2006/relationships/hyperlink" Target="http://www.sec.gov/Archives/edgar/data/30305/000162828017002221/dco10-k2016_ex109.htm" TargetMode="External"/><Relationship Id="rId69" Type="http://schemas.openxmlformats.org/officeDocument/2006/relationships/hyperlink" Target="http://www.sec.gov/Archives/edgar/data/30305/000162828017002221/dco10-k2016_ex1011.htm" TargetMode="External"/><Relationship Id="rId70" Type="http://schemas.openxmlformats.org/officeDocument/2006/relationships/hyperlink" Target="http://www.sec.gov/Archives/edgar/data/30305/000162828020011005/dco-q2202010xqex1018.htm" TargetMode="External"/><Relationship Id="rId71" Type="http://schemas.openxmlformats.org/officeDocument/2006/relationships/hyperlink" Target="http://www.sec.gov/Archives/edgar/data/30305/000162828020011005/dco-q2202010xqex1019.htm" TargetMode="External"/><Relationship Id="rId72" Type="http://schemas.openxmlformats.org/officeDocument/2006/relationships/hyperlink" Target="http://www.sec.gov/Archives/edgar/data/30305/000162828020011005/dco-q2202010xqex1020.htm" TargetMode="External"/><Relationship Id="rId73" Type="http://schemas.openxmlformats.org/officeDocument/2006/relationships/hyperlink" Target="http://www.sec.gov/Archives/edgar/data/30305/000162828020011005/dco-q2202010xqex1021.htm" TargetMode="External"/><Relationship Id="rId74" Type="http://schemas.openxmlformats.org/officeDocument/2006/relationships/hyperlink" Target="http://www.sec.gov/Archives/edgar/data/30305/000162828020011005/dco-q2202010xqex1022.htm" TargetMode="External"/><Relationship Id="rId75" Type="http://schemas.openxmlformats.org/officeDocument/2006/relationships/hyperlink" Target="http://www.sec.gov/Archives/edgar/data/30305/000162828022020890/exhibit10_20xpsucashltipag.htm" TargetMode="External"/><Relationship Id="rId76" Type="http://schemas.openxmlformats.org/officeDocument/2006/relationships/hyperlink" Target="http://www.sec.gov/Archives/edgar/data/30305/000162828022020890/exhibit10_21xprsucashltipa.htm" TargetMode="External"/><Relationship Id="rId77" Type="http://schemas.openxmlformats.org/officeDocument/2006/relationships/hyperlink" Target="http://www.sec.gov/Archives/edgar/data/30305/000119312510036507/dex1015.htm" TargetMode="External"/><Relationship Id="rId78" Type="http://schemas.openxmlformats.org/officeDocument/2006/relationships/hyperlink" Target="http://www.sec.gov/Archives/edgar/data/30305/000119312519301183/0001193125-19-301183-index.htm" TargetMode="External"/><Relationship Id="rId79" Type="http://schemas.openxmlformats.org/officeDocument/2006/relationships/hyperlink" Target="http://www.sec.gov/Archives/edgar/data/30305/000119312517020975/d284517dex991.htm" TargetMode="External"/><Relationship Id="rId80" Type="http://schemas.openxmlformats.org/officeDocument/2006/relationships/hyperlink" Target="http://www.sec.gov/Archives/edgar/data/30305/000119312517020975/d284517dex992.htm" TargetMode="External"/><Relationship Id="rId81" Type="http://schemas.openxmlformats.org/officeDocument/2006/relationships/hyperlink" Target="http://www.sec.gov/Archives/edgar/data/30305/000119312517005088/d321215dex991.htm" TargetMode="External"/><Relationship Id="rId82" Type="http://schemas.openxmlformats.org/officeDocument/2006/relationships/hyperlink" Target="http://www.sec.gov/Archives/edgar/data/30305/000162828022003518/ex10_24xrrogers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2023-05-04T05:51:35Z</dcterms:created>
  <dcterms:modified xsi:type="dcterms:W3CDTF">2023-05-04T05:51:35Z</dcterms:modified>
</cp:coreProperties>
</file>