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1" w:lineRule="auto"/>
        <w:tabs>
          <w:tab w:leader="none" w:pos="940" w:val="left"/>
        </w:tabs>
        <w:numPr>
          <w:ilvl w:val="0"/>
          <w:numId w:val="1"/>
        </w:numPr>
        <w:rPr>
          <w:rFonts w:ascii="Wingdings" w:cs="Wingdings" w:eastAsia="Wingdings" w:hAnsi="Wingdings"/>
          <w:sz w:val="39"/>
          <w:szCs w:val="39"/>
          <w:b w:val="1"/>
          <w:bCs w:val="1"/>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8"/>
                <w:szCs w:val="18"/>
                <w:b w:val="1"/>
                <w:bCs w:val="1"/>
                <w:color w:val="auto"/>
                <w:w w:val="99"/>
              </w:rPr>
              <w:t>600 Anton Boulevard, Suite 1100, Costa Mesa,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92626-7100</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48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620"/>
        <w:spacing w:after="0" w:line="29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As of April 29, 2025, the registrant had 14,877,749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1"/>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29, 2025 and December 31, 2024</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29, 2025 and March 30, 2024</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29, 2025 and</w:t>
            </w:r>
          </w:p>
        </w:tc>
        <w:tc>
          <w:tcPr>
            <w:tcW w:w="440" w:type="dxa"/>
            <w:vAlign w:val="bottom"/>
            <w:gridSpan w:val="3"/>
          </w:tcPr>
          <w:p>
            <w:pPr>
              <w:spacing w:after="0"/>
              <w:rPr>
                <w:sz w:val="22"/>
                <w:szCs w:val="22"/>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March 30, 2024</w:t>
            </w:r>
          </w:p>
        </w:tc>
        <w:tc>
          <w:tcPr>
            <w:tcW w:w="7020" w:type="dxa"/>
            <w:vAlign w:val="bottom"/>
            <w:tcBorders>
              <w:top w:val="single" w:sz="8" w:color="0000FF"/>
            </w:tcBorders>
            <w:gridSpan w:val="11"/>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Months Ended March 29, 2025</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and March 30, 2024</w:t>
            </w:r>
          </w:p>
        </w:tc>
        <w:tc>
          <w:tcPr>
            <w:tcW w:w="706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29, 2025 and March 30, 2024</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5"/>
          </w:tcPr>
          <w:p>
            <w:pPr>
              <w:spacing w:after="0"/>
              <w:rPr>
                <w:sz w:val="22"/>
                <w:szCs w:val="22"/>
                <w:color w:val="auto"/>
              </w:rPr>
            </w:pPr>
          </w:p>
        </w:tc>
        <w:tc>
          <w:tcPr>
            <w:tcW w:w="14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4"/>
          </w:tcPr>
          <w:p>
            <w:pPr>
              <w:spacing w:after="0"/>
              <w:rPr>
                <w:sz w:val="22"/>
                <w:szCs w:val="22"/>
                <w:color w:val="auto"/>
              </w:rPr>
            </w:pPr>
          </w:p>
        </w:tc>
        <w:tc>
          <w:tcPr>
            <w:tcW w:w="4260" w:type="dxa"/>
            <w:vAlign w:val="bottom"/>
            <w:gridSpan w:val="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260" w:type="dxa"/>
            <w:vAlign w:val="bottom"/>
            <w:gridSpan w:val="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gridSpan w:val="2"/>
          </w:tcPr>
          <w:p>
            <w:pPr>
              <w:spacing w:after="0"/>
              <w:rPr>
                <w:sz w:val="22"/>
                <w:szCs w:val="22"/>
                <w:color w:val="auto"/>
              </w:rPr>
            </w:pPr>
          </w:p>
        </w:tc>
        <w:tc>
          <w:tcPr>
            <w:tcW w:w="6240" w:type="dxa"/>
            <w:vAlign w:val="bottom"/>
            <w:gridSpan w:val="8"/>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possible labor disruptions,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2024 (“Form 10-K”).</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due to the considerable amount of cash needed to run our business;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our credit facilities impose restrictions that may limit our operating and financial flexibility;</w:t>
      </w:r>
    </w:p>
    <w:p>
      <w:pPr>
        <w:spacing w:after="0" w:line="117" w:lineRule="exact"/>
        <w:rPr>
          <w:rFonts w:ascii="Times New Roman" w:cs="Times New Roman" w:eastAsia="Times New Roman" w:hAnsi="Times New Roman"/>
          <w:sz w:val="18"/>
          <w:szCs w:val="18"/>
          <w:color w:val="auto"/>
        </w:rPr>
      </w:pPr>
    </w:p>
    <w:p>
      <w:pPr>
        <w:ind w:left="980" w:right="5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trading volume of our common stock may affect an investor’s ability to sell significant stock holdings in the future without negatively impacting our stock price;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amount of debt may require us to raise additional capital to fund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 use markets are cyclical and we depend upon a select base of industries and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depends on the U.S. Government defense spending;</w:t>
      </w:r>
    </w:p>
    <w:p>
      <w:pPr>
        <w:spacing w:after="0" w:line="117" w:lineRule="exact"/>
        <w:rPr>
          <w:rFonts w:ascii="Times New Roman" w:cs="Times New Roman" w:eastAsia="Times New Roman" w:hAnsi="Times New Roman"/>
          <w:sz w:val="18"/>
          <w:szCs w:val="18"/>
          <w:color w:val="auto"/>
        </w:rPr>
      </w:pPr>
    </w:p>
    <w:p>
      <w:pPr>
        <w:ind w:left="980" w:right="5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exports of certain of our products and our production facility in Guaymas, Mexico are subject to various export control regulations and authorizations for proposed sales to certain foreign customers;</w:t>
      </w:r>
    </w:p>
    <w:p>
      <w:pPr>
        <w:spacing w:after="0" w:line="53" w:lineRule="exact"/>
        <w:rPr>
          <w:rFonts w:ascii="Times New Roman" w:cs="Times New Roman" w:eastAsia="Times New Roman" w:hAnsi="Times New Roman"/>
          <w:sz w:val="18"/>
          <w:szCs w:val="18"/>
          <w:color w:val="auto"/>
        </w:rPr>
      </w:pPr>
    </w:p>
    <w:p>
      <w:pPr>
        <w:ind w:left="9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some of our customers give them a variety of rights that are unfavorable to us and the OEMs to whom we provide products and services, including the ability to terminate a contract at any time for convenience;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in the aerospace industry;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which includes evaluating select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and the ability of our suppliers to meet the quality and delivery expectations of our customers;</w:t>
      </w:r>
    </w:p>
    <w:p>
      <w:pPr>
        <w:spacing w:after="0" w:line="117" w:lineRule="exact"/>
        <w:rPr>
          <w:rFonts w:ascii="Times New Roman" w:cs="Times New Roman" w:eastAsia="Times New Roman" w:hAnsi="Times New Roman"/>
          <w:sz w:val="18"/>
          <w:szCs w:val="18"/>
          <w:color w:val="auto"/>
        </w:rPr>
      </w:pPr>
    </w:p>
    <w:p>
      <w:pPr>
        <w:ind w:left="980" w:right="260" w:hanging="648"/>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67" w:lineRule="exact"/>
        <w:rPr>
          <w:rFonts w:ascii="Times New Roman" w:cs="Times New Roman" w:eastAsia="Times New Roman" w:hAnsi="Times New Roman"/>
          <w:sz w:val="18"/>
          <w:szCs w:val="18"/>
          <w:color w:val="auto"/>
        </w:rPr>
      </w:pPr>
    </w:p>
    <w:p>
      <w:pPr>
        <w:ind w:left="980" w:right="6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design, product development, manufacturing, supply chain project management and other skills will be required as we move up the value chain to become a more value added supplier, and we are dependent upon our ability to attract and retain key personnel;</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980" w:right="40" w:hanging="648"/>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existing and new tariffs imposed by the U.S. administration or foreign governments potentially impacting the operation and conduct of our business outside the United States, including our production facility in Mexico, sale of products to customers outside the United States and the import of raw materials and equipment from suppliers outside the United States;</w:t>
      </w:r>
    </w:p>
    <w:p>
      <w:pPr>
        <w:spacing w:after="0" w:line="6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pricing pressures could reduce the demand and/or price for our products and services;</w:t>
      </w:r>
    </w:p>
    <w:p>
      <w:pPr>
        <w:spacing w:after="0" w:line="117" w:lineRule="exact"/>
        <w:rPr>
          <w:rFonts w:ascii="Times New Roman" w:cs="Times New Roman" w:eastAsia="Times New Roman" w:hAnsi="Times New Roman"/>
          <w:sz w:val="18"/>
          <w:szCs w:val="18"/>
          <w:color w:val="auto"/>
        </w:rPr>
      </w:pPr>
    </w:p>
    <w:p>
      <w:pPr>
        <w:ind w:left="980" w:right="30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processes are subject to risk of obsolescence as a result of changes in technology and evolving industrial and regulatory standards;</w:t>
      </w:r>
    </w:p>
    <w:p>
      <w:pPr>
        <w:spacing w:after="0" w:line="53"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renew facilities leases on terms favorable to us and relocation of operations presents risks due to business interruptions;</w:t>
      </w:r>
    </w:p>
    <w:p>
      <w:pPr>
        <w:spacing w:after="0" w:line="53"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extensive, complex, costly and evolving laws, regulations and restrictions, including the Defense Contract Audit Agency and cybersecurity requirements;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procurement laws with which we must comply;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 and our environmental, social and governance, and sustainability responsibilities;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other legal proceedings and indemnity claims and face headwinds in pending litigation matters;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changes in estimates when bidding on fixed-price contracts;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 or exposure to additional income tax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or prevent fraud if our internal control over financial reporting is not effective;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violations of intellectual property rights;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destruction of our facilities caused by natural disasters.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29,</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37,139</w:t>
            </w: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$2,122 and $2,630 at March 29, 2025 and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109,716</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200,584</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196,881</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568,081</w:t>
            </w: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$197,524 and $194,921 at March 29, 2025</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1,126,101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75,784</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44,214</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2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w:t>
            </w: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443,571</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14,868,305 and 14,781,218 shares issued</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at March 29, 2025 and December 31, 2024, respectively</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453,475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682,530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1,126,101</w:t>
            </w: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29,</w:t>
            </w:r>
          </w:p>
        </w:tc>
        <w:tc>
          <w:tcPr>
            <w:tcW w:w="200" w:type="dxa"/>
            <w:vAlign w:val="bottom"/>
          </w:tcPr>
          <w:p>
            <w:pPr>
              <w:spacing w:after="0"/>
              <w:rPr>
                <w:sz w:val="14"/>
                <w:szCs w:val="14"/>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8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190,847</w:t>
            </w: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143,904</w:t>
            </w: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46,943</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32,951</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8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r>
      <w:tr>
        <w:trPr>
          <w:trHeight w:val="234"/>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14,937</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29,</w:t>
            </w:r>
          </w:p>
        </w:tc>
        <w:tc>
          <w:tcPr>
            <w:tcW w:w="200" w:type="dxa"/>
            <w:vAlign w:val="bottom"/>
          </w:tcPr>
          <w:p>
            <w:pPr>
              <w:spacing w:after="0"/>
              <w:rPr>
                <w:sz w:val="14"/>
                <w:szCs w:val="14"/>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8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4"/>
        </w:trPr>
        <w:tc>
          <w:tcPr>
            <w:tcW w:w="87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$6 and $14 for the three months ended March 29,</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March 30, 2024, respectively.</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84"/>
        </w:trPr>
        <w:tc>
          <w:tcPr>
            <w:tcW w:w="8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 in net unrealized (losses) gains on cash flow hedges, net of tax (benefit) expense of $(715) and $672 for the</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months ended March 29, 2025 and March 30, 2024, respectively.</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3"/>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w:t>
            </w:r>
          </w:p>
        </w:tc>
      </w:tr>
      <w:tr>
        <w:trPr>
          <w:trHeight w:val="21"/>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14,600,766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421,980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636,094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14,706,626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645,547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14,781,218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453,475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682,530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14,868,305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219,842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463,986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693,007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29,</w:t>
            </w:r>
          </w:p>
        </w:tc>
        <w:tc>
          <w:tcPr>
            <w:tcW w:w="280" w:type="dxa"/>
            <w:vAlign w:val="bottom"/>
          </w:tcPr>
          <w:p>
            <w:pPr>
              <w:spacing w:after="0"/>
              <w:rPr>
                <w:sz w:val="14"/>
                <w:szCs w:val="14"/>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(12,015)</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term loan</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32,066</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2024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2024 (“2024 Form 10-K”). The financial information included in this Quarterly Report on Form 10-Q (“Form 10-Q”) should be read in conjunction with the 2024 Form 10-K.</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including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months ended March 29, 2025 are not necessarily indicative of the results to be expected for the full year ending December 31, 2025.</w:t>
      </w:r>
    </w:p>
    <w:p>
      <w:pPr>
        <w:spacing w:after="0" w:line="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Held For Sale</w:t>
      </w:r>
    </w:p>
    <w:p>
      <w:pPr>
        <w:spacing w:after="0" w:line="10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Assets and liabilities to be disposed of by sale are classified as “held for sale” if their carrying amounts are principally expected to be recovered through a sale transaction rather than through continuing use. The classification occurs when the disposal group is available for immediate sale and sale is probable. These criteria are generally met when an agreement to sell exists, or management has committed to a plan to sell the assets within one year. During the three months ended March 29, 2025, we finalized the decision to sell our Berryville, Arkansas facility (consists only of land, building, and building improvements) (“Berryville Property”), which is part of our Electronic Systems segment, and as a result, we met the criteria for assets held for sale. We have been winding down the manufacturing activities of our Berryville performance center, which is part of the previously announced 2022 Restructuring Plan. See Note 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such, we reclassified the Berryville Property with a net book value of $0.8 million as of March 29, 2025 to other current assets. In addition, we will not be recording depreciation expense on the Berryville Property while it is classified as assets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Unsolicited Non-Binding Indication of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our Board of Directors (“BOD”) confirmed receipt of the first unsolicited non-binding indication of interest dated April 1, 2024 (“First IOI”)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Albion River LLC (“Albion”), a private direct investment firm. Albion expressed interest in acquiring all the outstanding shares of Ducommun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per share in cash. Later in April 2024, we issued a press release responding to the First IOI that the BOD had unanimously determined it was not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best interests of Ducommun and Ducommun shareholders to pursue further discussions regarding the proposal.</w:t>
      </w:r>
    </w:p>
    <w:p>
      <w:pPr>
        <w:spacing w:after="0" w:line="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July 2024, our BOD received an unsolicited revised non-binding indication of interest from Albion (“Second IOI”), to acquire all outstanding shares of Ducommun for $65.00 per share in cash. Later in July 2024, we issued a press release responding to the Second IOI that the BOD had unanimously determined it was not in the best interests of Ducommun and Ducommun shareholders to pursue further discussions regarding the revised proposal.</w:t>
      </w:r>
    </w:p>
    <w:p>
      <w:pPr>
        <w:spacing w:after="0" w:line="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November 2024 Albion filed a Schedule 13D/A with the SEC stating that it no longer intended to maintain an active role with Ducommun and that it had reduced its stock ownership to 737,992 shares of our common stock. On February 10, 2025, Albion filed a Schedule 13G/A with the SEC reporting that Albion had liquidated its holdings and no longer owned any shares of Ducommun as of December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March 29,</w:t>
            </w:r>
          </w:p>
        </w:tc>
        <w:tc>
          <w:tcPr>
            <w:tcW w:w="240" w:type="dxa"/>
            <w:vAlign w:val="bottom"/>
          </w:tcPr>
          <w:p>
            <w:pPr>
              <w:spacing w:after="0"/>
              <w:rPr>
                <w:sz w:val="14"/>
                <w:szCs w:val="14"/>
                <w:color w:val="auto"/>
              </w:rPr>
            </w:pPr>
          </w:p>
        </w:tc>
        <w:tc>
          <w:tcPr>
            <w:tcW w:w="1080" w:type="dxa"/>
            <w:vAlign w:val="bottom"/>
          </w:tcPr>
          <w:p>
            <w:pPr>
              <w:jc w:val="right"/>
              <w:ind w:right="277"/>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ind w:left="9240"/>
        <w:spacing w:after="0"/>
        <w:rPr>
          <w:sz w:val="20"/>
          <w:szCs w:val="20"/>
          <w:color w:val="auto"/>
        </w:rPr>
      </w:pPr>
      <w:r>
        <w:rPr>
          <w:rFonts w:ascii="Times New Roman" w:cs="Times New Roman" w:eastAsia="Times New Roman" w:hAnsi="Times New Roman"/>
          <w:sz w:val="14"/>
          <w:szCs w:val="14"/>
          <w:color w:val="auto"/>
        </w:rPr>
        <w:t>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March 29,</w:t>
            </w:r>
          </w:p>
        </w:tc>
        <w:tc>
          <w:tcPr>
            <w:tcW w:w="240" w:type="dxa"/>
            <w:vAlign w:val="bottom"/>
          </w:tcPr>
          <w:p>
            <w:pPr>
              <w:spacing w:after="0"/>
              <w:rPr>
                <w:sz w:val="13"/>
                <w:szCs w:val="13"/>
                <w:color w:val="auto"/>
              </w:rPr>
            </w:pPr>
          </w:p>
        </w:tc>
        <w:tc>
          <w:tcPr>
            <w:tcW w:w="1080" w:type="dxa"/>
            <w:vAlign w:val="bottom"/>
          </w:tcPr>
          <w:p>
            <w:pPr>
              <w:jc w:val="right"/>
              <w:ind w:right="275"/>
              <w:spacing w:after="0" w:line="159" w:lineRule="exact"/>
              <w:rPr>
                <w:sz w:val="20"/>
                <w:szCs w:val="20"/>
                <w:color w:val="auto"/>
              </w:rPr>
            </w:pPr>
            <w:r>
              <w:rPr>
                <w:rFonts w:ascii="Times New Roman" w:cs="Times New Roman" w:eastAsia="Times New Roman" w:hAnsi="Times New Roman"/>
                <w:sz w:val="14"/>
                <w:szCs w:val="14"/>
                <w:color w:val="auto"/>
              </w:rPr>
              <w:t>March 30,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vMerge w:val="continue"/>
          </w:tcPr>
          <w:p>
            <w:pPr>
              <w:spacing w:after="0"/>
              <w:rPr>
                <w:sz w:val="17"/>
                <w:szCs w:val="17"/>
                <w:color w:val="auto"/>
              </w:rPr>
            </w:pPr>
          </w:p>
        </w:tc>
        <w:tc>
          <w:tcPr>
            <w:tcW w:w="35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58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8"/>
        </w:trPr>
        <w:tc>
          <w:tcPr>
            <w:tcW w:w="49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3"/>
          </w:tcPr>
          <w:p>
            <w:pPr>
              <w:jc w:val="center"/>
              <w:ind w:right="628"/>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2500" w:type="dxa"/>
            <w:vAlign w:val="bottom"/>
            <w:gridSpan w:val="4"/>
          </w:tcPr>
          <w:p>
            <w:pPr>
              <w:jc w:val="center"/>
              <w:ind w:left="208"/>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Pr>
          <w:p>
            <w:pPr>
              <w:spacing w:after="0"/>
              <w:rPr>
                <w:sz w:val="17"/>
                <w:szCs w:val="17"/>
                <w:color w:val="auto"/>
              </w:rPr>
            </w:pPr>
          </w:p>
        </w:tc>
      </w:tr>
      <w:tr>
        <w:trPr>
          <w:trHeight w:val="163"/>
        </w:trPr>
        <w:tc>
          <w:tcPr>
            <w:tcW w:w="8480" w:type="dxa"/>
            <w:vAlign w:val="bottom"/>
          </w:tcPr>
          <w:p>
            <w:pPr>
              <w:spacing w:after="0"/>
              <w:rPr>
                <w:sz w:val="14"/>
                <w:szCs w:val="14"/>
                <w:color w:val="auto"/>
              </w:rPr>
            </w:pPr>
          </w:p>
        </w:tc>
        <w:tc>
          <w:tcPr>
            <w:tcW w:w="9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March 29,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March 30,</w:t>
            </w:r>
          </w:p>
        </w:tc>
        <w:tc>
          <w:tcPr>
            <w:tcW w:w="260" w:type="dxa"/>
            <w:vAlign w:val="bottom"/>
          </w:tcPr>
          <w:p>
            <w:pPr>
              <w:spacing w:after="0"/>
              <w:rPr>
                <w:sz w:val="14"/>
                <w:szCs w:val="14"/>
                <w:color w:val="auto"/>
              </w:rPr>
            </w:pPr>
          </w:p>
        </w:tc>
      </w:tr>
      <w:tr>
        <w:trPr>
          <w:trHeight w:val="193"/>
        </w:trPr>
        <w:tc>
          <w:tcPr>
            <w:tcW w:w="9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1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6"/>
                <w:szCs w:val="16"/>
                <w:color w:val="auto"/>
              </w:rPr>
            </w:pPr>
          </w:p>
        </w:tc>
      </w:tr>
      <w:tr>
        <w:trPr>
          <w:trHeight w:val="228"/>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March 29,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2024 (“Forward Interest Rate Swaps”), to manage our exposure to interest rate movements on a portion of our debt. At the time we entered into the Forward Interest Rate Swaps, there was a high probability of forecasted interest payments on our debts occurring and the swaps were highly effective in offsetting those interest payments; therefore, we elected to apply cash flow hedge accounting. In July 2022, as a result of refinancing all our existing debt, which allowed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relationships were still highly effective as of the amendment date. See Note 3 and Note 7. As of March 29, 2025, all of our derivative instruments were designated as cash flow hedges.</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See Note 3.</w:t>
      </w:r>
    </w:p>
    <w:p>
      <w:pPr>
        <w:spacing w:after="0" w:line="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104" w:lineRule="exact"/>
        <w:rPr>
          <w:sz w:val="20"/>
          <w:szCs w:val="20"/>
          <w:color w:val="auto"/>
        </w:rPr>
      </w:pPr>
    </w:p>
    <w:p>
      <w:pPr>
        <w:jc w:val="both"/>
        <w:ind w:right="7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Contract estimates, known as “estimates at completion,” are based on various assumptions to project the outcome of future events that can span multiple months or years. These assumptions include among others, actual gross profits on the same or similar products manufactured previously;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favorable (unfavorable) catch-up adjustments to contracts had the following impact on our operating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29,</w:t>
            </w:r>
          </w:p>
        </w:tc>
        <w:tc>
          <w:tcPr>
            <w:tcW w:w="200" w:type="dxa"/>
            <w:vAlign w:val="bottom"/>
          </w:tcPr>
          <w:p>
            <w:pPr>
              <w:spacing w:after="0"/>
              <w:rPr>
                <w:sz w:val="14"/>
                <w:szCs w:val="14"/>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8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34"/>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bl>
    <w:p>
      <w:pPr>
        <w:spacing w:after="0" w:line="200" w:lineRule="exact"/>
        <w:rPr>
          <w:sz w:val="20"/>
          <w:szCs w:val="20"/>
          <w:color w:val="auto"/>
        </w:rPr>
      </w:pPr>
    </w:p>
    <w:p>
      <w:pPr>
        <w:spacing w:after="0" w:line="29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March 29, 2025 and December 31, 2024, provision for estimated losses on contracts were $4.4 million and $4.7 million, respectively. It is reasonably possible we may incur additional losses in the future.</w:t>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March 29, 2025 and December 31, 2024, production cost of contracts were $6.7 million and $6.8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0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8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4"/>
                <w:szCs w:val="14"/>
                <w:color w:val="auto"/>
              </w:rPr>
              <w:t>March 29,</w:t>
            </w:r>
          </w:p>
        </w:tc>
        <w:tc>
          <w:tcPr>
            <w:tcW w:w="180" w:type="dxa"/>
            <w:vAlign w:val="bottom"/>
          </w:tcPr>
          <w:p>
            <w:pPr>
              <w:spacing w:after="0"/>
              <w:rPr>
                <w:sz w:val="13"/>
                <w:szCs w:val="13"/>
                <w:color w:val="auto"/>
              </w:rPr>
            </w:pPr>
          </w:p>
        </w:tc>
        <w:tc>
          <w:tcPr>
            <w:tcW w:w="1140" w:type="dxa"/>
            <w:vAlign w:val="bottom"/>
          </w:tcPr>
          <w:p>
            <w:pPr>
              <w:jc w:val="right"/>
              <w:ind w:right="179"/>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200,584</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r>
    </w:tbl>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March 29, 2025 compared to December 31, 2024 was primarily due to a net increase of products in work in process in the current period.</w:t>
      </w:r>
    </w:p>
    <w:p>
      <w:pPr>
        <w:spacing w:after="0" w:line="4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increase in our contract liabilities as of March 29, 2025 compared to December 31, 2024 was primarily due to a net increase of advance or progress payments received from our customers in the current period. We recognized $6.5 million of the contract liabilities as of December 31, 2024 as revenues during the three months ended March 29, 2025.</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March 29, 2025 totaled $986.0 million. Of the remaining performance obligations as of March 29, 2025, we anticipate recognizing an estimated 70% of our remaining performance obligations as revenue during the next 12 months with the remaining performance obligations being recognized in the remainder of 2026 and beyond.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March 29,</w:t>
            </w:r>
          </w:p>
        </w:tc>
        <w:tc>
          <w:tcPr>
            <w:tcW w:w="240" w:type="dxa"/>
            <w:vAlign w:val="bottom"/>
          </w:tcPr>
          <w:p>
            <w:pPr>
              <w:spacing w:after="0"/>
              <w:rPr>
                <w:sz w:val="14"/>
                <w:szCs w:val="14"/>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2024</w:t>
            </w:r>
          </w:p>
        </w:tc>
      </w:tr>
      <w:tr>
        <w:trPr>
          <w:trHeight w:val="194"/>
        </w:trPr>
        <w:tc>
          <w:tcPr>
            <w:tcW w:w="20" w:type="dxa"/>
            <w:vAlign w:val="bottom"/>
            <w:shd w:val="clear" w:color="auto" w:fill="CCEEFF"/>
          </w:tcPr>
          <w:p>
            <w:pPr>
              <w:spacing w:after="0"/>
              <w:rPr>
                <w:sz w:val="16"/>
                <w:szCs w:val="16"/>
                <w:color w:val="auto"/>
              </w:rPr>
            </w:pPr>
          </w:p>
        </w:tc>
        <w:tc>
          <w:tcPr>
            <w:tcW w:w="846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65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113,516</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98,929</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79,917</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700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72,505</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698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26,424</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56,884</w:t>
            </w:r>
          </w:p>
        </w:tc>
      </w:tr>
      <w:tr>
        <w:trPr>
          <w:trHeight w:val="223"/>
        </w:trPr>
        <w:tc>
          <w:tcPr>
            <w:tcW w:w="20" w:type="dxa"/>
            <w:vAlign w:val="bottom"/>
          </w:tcPr>
          <w:p>
            <w:pPr>
              <w:spacing w:after="0"/>
              <w:rPr>
                <w:sz w:val="19"/>
                <w:szCs w:val="19"/>
                <w:color w:val="auto"/>
              </w:rPr>
            </w:pPr>
          </w:p>
        </w:tc>
        <w:tc>
          <w:tcPr>
            <w:tcW w:w="84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83,308</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 in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Financial Accounting Standards Board (“FASB”) issued Accounting Standards Update (“ASU”) 2024-02, “Codification Improvements</w:t>
      </w:r>
    </w:p>
    <w:p>
      <w:pPr>
        <w:spacing w:after="0" w:line="27" w:lineRule="exact"/>
        <w:rPr>
          <w:sz w:val="20"/>
          <w:szCs w:val="20"/>
          <w:color w:val="auto"/>
        </w:rPr>
      </w:pPr>
    </w:p>
    <w:p>
      <w:pPr>
        <w:jc w:val="both"/>
        <w:ind w:firstLine="8"/>
        <w:spacing w:after="0" w:line="253" w:lineRule="auto"/>
        <w:tabs>
          <w:tab w:leader="none" w:pos="1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Remove References to the Concepts Statements,” which removed references to various FASB Concepts Statements and updates technical corrections such as conforming amendments, clarification to guidance, simplifications to wording or the structure of guidance, and other minor improvements. The new guidance is effective for fiscal years beginning after December 15, 2024, which is our annual period beginning January 1, 2025. The adoption of this accounting standard did not have a material impact on our condensed consolidated financial statements.</w:t>
      </w:r>
    </w:p>
    <w:p>
      <w:pPr>
        <w:spacing w:after="0" w:line="6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more transparency about tax information primarily related to the rate reconciliation and the income taxes paid. The new guidance is effective for fiscal years beginning after December 15, 2024, which is our annual period beginning January 1, 2025. The adoption of this accounting standard did not have a material impact on our condensed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 - Reporting Comprehensive Income - Expense Disaggregation Disclosures (Subtopic 220-40): Clarifying the Effective Date,” which clarifies that all public business entities should initially adopt the disclosure requirements in the final annual reporting period beginning after December 15, 2026, and interim reporting periods within annual reporting periods beginning after December 15, 2027. The new guidance is effective for fiscal years beginning after December 15, 2026, which is our annual period beginning January 1, 2027, and interim reporting periods beginning after December 15, 2027, which will be our interim period beginning January 1, 2028. Early adoption of ASU 2024-03 (described below) is permitted. We are evaluating the impact of this standard in conjunction with ASU 2024-03 below.</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additional information about specific expense categories in the notes to the financial statements at interim and annual reporting periods. The new guidance is effective for fiscal years beginning after December 15, 2026, which is our annual period beginning January 1, 2027, and interim reporting periods beginning after December 15, 2027, which will be our interim period beginning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January 1, 2028. Early adoption is permitted. The amendments in ASU 2024-03 should be applied either 1) prospectively to financial statements issued for reporting periods after the effective date, or 2) retrospectively to any or all prior periods presented in the financial statements. We are evaluating the impact of this standard.</w:t>
      </w:r>
    </w:p>
    <w:p>
      <w:pPr>
        <w:spacing w:after="0" w:line="4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incorporates updates to the Accounting Standards Codification (“Codification”) to align certain Securities and Exchange Commission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If by June 30, 2027, the SEC has not removed the applicable requirement from Regulation S-X or Regulation S-K, the pending content of the related amendment will be removed from the Codification and will not become effective for any entity. We are evaluating the impact of this standard.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Restructuring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is intended to better position us for stronger performance. The restructuring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will mainly reduce headcount and consolidate facilities. As a result of this restructuring plan, we analyzed the need to write-down inventory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 long-lived assets, including operating lease right-of-use assets. During the three months ended March 29, 2025, we recorded total charges, net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 million. Cumulative through the three months ended March 29, 2025, we recorded aggregate total charges of $29.6 million ($2.1 million of which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as cost of sales). As of March 29, 2025, we estimate the remaining amount of charges related to this initiative will be $0.5 million to $1.0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total pre-tax restructuring charges during 2025 for facility consolidation related expenses.</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Electronics Systems segment, we recorded charges of $0.1 million during the three months ended March 29, 2025 for severance and benefits that were classified as restructuring charges. Cumulative through the three months ended March 29, 2025,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of $9.6 million, $0.3 million, $0.3 million, and $0.2 million, respectively.</w:t>
      </w:r>
    </w:p>
    <w:p>
      <w:pPr>
        <w:spacing w:after="0" w:line="45"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 the Structural Systems segment, we recorded (credits) charges of $(0.2) million and $0.5 million during the three months ended March 29, 2025 for severance and benefits that were classified as restructuring charges and other restructuring charges, respectively. Cumulative through the three months ended March 29, 2025, we recorded total charges for severance and benefits that were classified as restructuring charges, accelerated depreciation of property and equipment/impairment of property and equipment that was classified as restructuring charges, charges for inventory write down that was classified as cost of sales, and other restructuring of $7.4 million, $2.0 million, $1.8 million, and $7.9 million,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three months ended March 29, 2025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Three Months Ended March 29, 2025</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March 29, 2025</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Estimates</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restructuring activities accrual for severance and benefits and other of $1.3 million as of March 29, 2025 was included as part of accrued and other liabilities and is expected to be paid out during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cash flow hedges consists of forward interest rate swaps to manage our exposure to interest rate movements on a portion of our debt through January 1, 2031. Our forward interest rate swaps hedge forecasted transactions through January 1, 2031.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derivative instruments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29,</w:t>
            </w:r>
          </w:p>
        </w:tc>
        <w:tc>
          <w:tcPr>
            <w:tcW w:w="16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2024</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the condensed consolidated balance sheets for derivative instruments: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3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3"/>
                <w:szCs w:val="13"/>
                <w:color w:val="auto"/>
              </w:rPr>
            </w:pPr>
          </w:p>
        </w:tc>
        <w:tc>
          <w:tcPr>
            <w:tcW w:w="114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color w:val="auto"/>
              </w:rPr>
              <w:t>March 29,</w:t>
            </w:r>
          </w:p>
        </w:tc>
        <w:tc>
          <w:tcPr>
            <w:tcW w:w="160" w:type="dxa"/>
            <w:vAlign w:val="bottom"/>
          </w:tcPr>
          <w:p>
            <w:pPr>
              <w:spacing w:after="0"/>
              <w:rPr>
                <w:sz w:val="13"/>
                <w:szCs w:val="13"/>
                <w:color w:val="auto"/>
              </w:rPr>
            </w:pPr>
          </w:p>
        </w:tc>
        <w:tc>
          <w:tcPr>
            <w:tcW w:w="1080" w:type="dxa"/>
            <w:vAlign w:val="bottom"/>
          </w:tcPr>
          <w:p>
            <w:pPr>
              <w:jc w:val="right"/>
              <w:ind w:right="139"/>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activities during the three months ended March 29, 2025 were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3"/>
                <w:szCs w:val="13"/>
                <w:color w:val="auto"/>
              </w:rPr>
            </w:pPr>
          </w:p>
        </w:tc>
        <w:tc>
          <w:tcPr>
            <w:tcW w:w="3020" w:type="dxa"/>
            <w:vAlign w:val="bottom"/>
            <w:gridSpan w:val="4"/>
            <w:vMerge w:val="restart"/>
          </w:tcPr>
          <w:p>
            <w:pPr>
              <w:jc w:val="right"/>
              <w:ind w:right="402"/>
              <w:spacing w:after="0"/>
              <w:rPr>
                <w:sz w:val="20"/>
                <w:szCs w:val="20"/>
                <w:color w:val="auto"/>
              </w:rPr>
            </w:pPr>
            <w:r>
              <w:rPr>
                <w:rFonts w:ascii="Times New Roman" w:cs="Times New Roman" w:eastAsia="Times New Roman" w:hAnsi="Times New Roman"/>
                <w:sz w:val="14"/>
                <w:szCs w:val="14"/>
                <w:color w:val="auto"/>
              </w:rPr>
              <w:t>Three Months Ended March 29, 2025</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204"/>
              <w:spacing w:after="0"/>
              <w:rPr>
                <w:sz w:val="20"/>
                <w:szCs w:val="20"/>
                <w:color w:val="auto"/>
              </w:rPr>
            </w:pPr>
            <w:r>
              <w:rPr>
                <w:rFonts w:ascii="Times New Roman" w:cs="Times New Roman" w:eastAsia="Times New Roman" w:hAnsi="Times New Roman"/>
                <w:sz w:val="14"/>
                <w:szCs w:val="14"/>
                <w:color w:val="auto"/>
              </w:rPr>
              <w:t>March 29,</w:t>
            </w: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color w:val="auto"/>
                <w:w w:val="99"/>
              </w:rPr>
              <w:t>2025</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Balance</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4"/>
                <w:szCs w:val="14"/>
                <w:color w:val="auto"/>
              </w:rPr>
              <w:t>Changes in Fair Value</w:t>
            </w:r>
          </w:p>
        </w:tc>
        <w:tc>
          <w:tcPr>
            <w:tcW w:w="160" w:type="dxa"/>
            <w:vAlign w:val="bottom"/>
          </w:tcPr>
          <w:p>
            <w:pPr>
              <w:spacing w:after="0"/>
              <w:rPr>
                <w:sz w:val="11"/>
                <w:szCs w:val="11"/>
                <w:color w:val="auto"/>
              </w:rPr>
            </w:pPr>
          </w:p>
        </w:tc>
        <w:tc>
          <w:tcPr>
            <w:tcW w:w="1360" w:type="dxa"/>
            <w:vAlign w:val="bottom"/>
          </w:tcPr>
          <w:p>
            <w:pPr>
              <w:jc w:val="center"/>
              <w:ind w:right="82"/>
              <w:spacing w:after="0" w:line="138" w:lineRule="exact"/>
              <w:rPr>
                <w:sz w:val="20"/>
                <w:szCs w:val="20"/>
                <w:color w:val="auto"/>
              </w:rPr>
            </w:pPr>
            <w:r>
              <w:rPr>
                <w:rFonts w:ascii="Times New Roman" w:cs="Times New Roman" w:eastAsia="Times New Roman" w:hAnsi="Times New Roman"/>
                <w:sz w:val="14"/>
                <w:szCs w:val="14"/>
                <w:color w:val="auto"/>
              </w:rPr>
              <w:t>Reclassifications to</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Recognized</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Income Statement</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 before tax totals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14,742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gains associated with our hedging transactions recognized in other comprehensive income are presented in the following table:</w:t>
      </w:r>
    </w:p>
    <w:p>
      <w:pPr>
        <w:spacing w:after="0" w:line="288"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color w:val="auto"/>
        </w:rPr>
        <w:t>Three Months Ended</w:t>
      </w: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29,</w:t>
            </w:r>
          </w:p>
        </w:tc>
        <w:tc>
          <w:tcPr>
            <w:tcW w:w="220" w:type="dxa"/>
            <w:vAlign w:val="bottom"/>
          </w:tcPr>
          <w:p>
            <w:pPr>
              <w:spacing w:after="0"/>
              <w:rPr>
                <w:sz w:val="13"/>
                <w:szCs w:val="13"/>
                <w:color w:val="auto"/>
              </w:rPr>
            </w:pPr>
          </w:p>
        </w:tc>
        <w:tc>
          <w:tcPr>
            <w:tcW w:w="1020" w:type="dxa"/>
            <w:vAlign w:val="bottom"/>
          </w:tcPr>
          <w:p>
            <w:pPr>
              <w:jc w:val="center"/>
              <w:ind w:right="142"/>
              <w:spacing w:after="0"/>
              <w:rPr>
                <w:sz w:val="20"/>
                <w:szCs w:val="20"/>
                <w:color w:val="auto"/>
              </w:rPr>
            </w:pPr>
            <w:r>
              <w:rPr>
                <w:rFonts w:ascii="Times New Roman" w:cs="Times New Roman" w:eastAsia="Times New Roman" w:hAnsi="Times New Roman"/>
                <w:sz w:val="14"/>
                <w:szCs w:val="14"/>
                <w:color w:val="auto"/>
              </w:rPr>
              <w:t>March 30,</w:t>
            </w:r>
          </w:p>
        </w:tc>
      </w:tr>
      <w:tr>
        <w:trPr>
          <w:trHeight w:val="193"/>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2024</w:t>
            </w: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Other Comprehensive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2,201</w:t>
            </w:r>
          </w:p>
        </w:tc>
      </w:tr>
    </w:tbl>
    <w:p>
      <w:pPr>
        <w:spacing w:after="0" w:line="3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began reclassifying gains/losses associated with our cash flow hedges from accumulated other comprehensive income to the condensed statements of income when the Forward Interest Rate Swaps became effective as of January 1, 2024. We reclassify amounts to income as the hedged item impacts earnings and those amounts are presented in the following table:</w:t>
      </w:r>
    </w:p>
    <w:p>
      <w:pPr>
        <w:spacing w:after="0" w:line="22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color w:val="auto"/>
        </w:rPr>
        <w:t>(Dollars in thousands)</w:t>
      </w:r>
    </w:p>
    <w:p>
      <w:pPr>
        <w:ind w:left="934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29,</w:t>
            </w:r>
          </w:p>
        </w:tc>
        <w:tc>
          <w:tcPr>
            <w:tcW w:w="220" w:type="dxa"/>
            <w:vAlign w:val="bottom"/>
          </w:tcPr>
          <w:p>
            <w:pPr>
              <w:spacing w:after="0"/>
              <w:rPr>
                <w:sz w:val="13"/>
                <w:szCs w:val="13"/>
                <w:color w:val="auto"/>
              </w:rPr>
            </w:pPr>
          </w:p>
        </w:tc>
        <w:tc>
          <w:tcPr>
            <w:tcW w:w="1020" w:type="dxa"/>
            <w:vAlign w:val="bottom"/>
          </w:tcPr>
          <w:p>
            <w:pPr>
              <w:jc w:val="center"/>
              <w:ind w:right="142"/>
              <w:spacing w:after="0"/>
              <w:rPr>
                <w:sz w:val="20"/>
                <w:szCs w:val="20"/>
                <w:color w:val="auto"/>
              </w:rPr>
            </w:pPr>
            <w:r>
              <w:rPr>
                <w:rFonts w:ascii="Times New Roman" w:cs="Times New Roman" w:eastAsia="Times New Roman" w:hAnsi="Times New Roman"/>
                <w:sz w:val="14"/>
                <w:szCs w:val="14"/>
                <w:color w:val="auto"/>
              </w:rPr>
              <w:t>March 30,</w:t>
            </w:r>
          </w:p>
        </w:tc>
      </w:tr>
      <w:tr>
        <w:trPr>
          <w:trHeight w:val="196"/>
        </w:trPr>
        <w:tc>
          <w:tcPr>
            <w:tcW w:w="8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2024</w:t>
            </w: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1,340</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deferred gains recorded in other comprehensive income that will mature in the next 12 months total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4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2"/>
          </w:tcPr>
          <w:p>
            <w:pPr>
              <w:ind w:left="260"/>
              <w:spacing w:after="0" w:line="159" w:lineRule="exact"/>
              <w:rPr>
                <w:sz w:val="20"/>
                <w:szCs w:val="20"/>
                <w:color w:val="auto"/>
              </w:rPr>
            </w:pPr>
            <w:r>
              <w:rPr>
                <w:rFonts w:ascii="Times New Roman" w:cs="Times New Roman" w:eastAsia="Times New Roman" w:hAnsi="Times New Roman"/>
                <w:sz w:val="14"/>
                <w:szCs w:val="14"/>
                <w:color w:val="auto"/>
              </w:rPr>
              <w:t>March 29,</w:t>
            </w:r>
          </w:p>
        </w:tc>
        <w:tc>
          <w:tcPr>
            <w:tcW w:w="320" w:type="dxa"/>
            <w:vAlign w:val="bottom"/>
          </w:tcPr>
          <w:p>
            <w:pPr>
              <w:spacing w:after="0"/>
              <w:rPr>
                <w:sz w:val="13"/>
                <w:szCs w:val="13"/>
                <w:color w:val="auto"/>
              </w:rPr>
            </w:pPr>
          </w:p>
        </w:tc>
        <w:tc>
          <w:tcPr>
            <w:tcW w:w="1540" w:type="dxa"/>
            <w:vAlign w:val="bottom"/>
          </w:tcPr>
          <w:p>
            <w:pPr>
              <w:jc w:val="right"/>
              <w:ind w:right="43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158,865</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32,082</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196,881</w:t>
            </w:r>
          </w:p>
        </w:tc>
      </w:tr>
      <w:tr>
        <w:trPr>
          <w:trHeight w:val="21"/>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spacing w:after="0" w:line="6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No material adverse factors/changes have occurred since the fourth quarter of 2024 that would require us to perform another qualitative or quantitative assessment as of our quarter ended March 29, 2025. As such, for the first quarter of 2025, it was also not more likely than not that the fair values of the reporting units were less than their carrying amounts and thus, the respective goodwill amounts were not deemed to be impaired.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326,322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244,600</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29,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244,600</w:t>
            </w: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0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8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March 29,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ind w:right="39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35,915</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w:t>
            </w:r>
          </w:p>
        </w:tc>
      </w:tr>
      <w:tr>
        <w:trPr>
          <w:trHeight w:val="21"/>
        </w:trPr>
        <w:tc>
          <w:tcPr>
            <w:tcW w:w="7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gridSpan w:val="4"/>
          </w:tcPr>
          <w:p>
            <w:pPr>
              <w:jc w:val="right"/>
              <w:ind w:right="127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2"/>
          </w:tcPr>
          <w:p>
            <w:pPr>
              <w:ind w:left="280"/>
              <w:spacing w:after="0" w:line="159" w:lineRule="exact"/>
              <w:rPr>
                <w:sz w:val="20"/>
                <w:szCs w:val="20"/>
                <w:color w:val="auto"/>
              </w:rPr>
            </w:pPr>
            <w:r>
              <w:rPr>
                <w:rFonts w:ascii="Times New Roman" w:cs="Times New Roman" w:eastAsia="Times New Roman" w:hAnsi="Times New Roman"/>
                <w:sz w:val="14"/>
                <w:szCs w:val="14"/>
                <w:color w:val="auto"/>
              </w:rPr>
              <w:t>March 29,</w:t>
            </w:r>
          </w:p>
        </w:tc>
        <w:tc>
          <w:tcPr>
            <w:tcW w:w="340" w:type="dxa"/>
            <w:vAlign w:val="bottom"/>
          </w:tcPr>
          <w:p>
            <w:pPr>
              <w:spacing w:after="0"/>
              <w:rPr>
                <w:sz w:val="13"/>
                <w:szCs w:val="13"/>
                <w:color w:val="auto"/>
              </w:rPr>
            </w:pPr>
          </w:p>
        </w:tc>
        <w:tc>
          <w:tcPr>
            <w:tcW w:w="1620" w:type="dxa"/>
            <w:vAlign w:val="bottom"/>
          </w:tcPr>
          <w:p>
            <w:pPr>
              <w:jc w:val="right"/>
              <w:ind w:right="493"/>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234,375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234,375</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243,175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243,175</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230,675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230,675</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229,920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229,830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35"/>
              <w:spacing w:after="0" w:line="203" w:lineRule="exact"/>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credit facilities (“2022 Credit Facilities”).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7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monthly or quarterly basis, depending on the interest rate selected, on the last business day each month or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our prior credit facilities.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29, 2025 and March 30, 2024, we made the required quarterly amortization payments on the 2022 Term Loan of zero and $1.6 million, respectively. The required quarterly amortization payment due on March 31, 2025 is in our second fiscal quarter of 2025.</w:t>
      </w:r>
    </w:p>
    <w:p>
      <w:pPr>
        <w:spacing w:after="0" w:line="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March 29, 2025, we had $191.0 million of unused borrowing capacity under the 2022 Revolving Credit Facility, after deducting $0.2 million for standby letters of credit.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2025,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prior term loans of $1.0 million as of the modification date will be amortized over the life of the 2022 Term Loan, using the effective interest method.</w:t>
      </w:r>
    </w:p>
    <w:p>
      <w:pPr>
        <w:spacing w:after="0" w:line="51"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prior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prior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prior revolving credit facility of $0.8 million as of the modification date will also be amortized over the life of the 2022 Revolving Credit Facility.</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We utilized the net proceeds plus cash on hand to pay down $85.2 million on the 2022 Revolving Credit Facility that was utilized to complete the acquisition of BLR Aerospace, L.L.C. in April 2023.</w:t>
      </w:r>
    </w:p>
    <w:p>
      <w:pPr>
        <w:spacing w:after="0" w:line="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were not effective until January 1, 2024, we only recorded the changes in fair value of the derivative instruments that were highly effective and that were designated and qualified as cash flow hedges in other comprehensive income through December 31, 2023. See Note 1 and Note 3 for further information.</w:t>
      </w:r>
    </w:p>
    <w:p>
      <w:pPr>
        <w:spacing w:after="0" w:line="70"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were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Indemnifications</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coverage and have, therefore, not recorded any liability for these guarantees and indemnities in the accompanying condensed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income tax expense of $2.8 million for the three months ended March 29, 2025 compared to $1.9 million for the three months ended</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March 30, 2024. The increase in income tax expense for the first quarter of 2025 compared to the first quarter of 2024 was primarily due to higher pre-tax income in the first quarter of 2025 compared to the first quarter of 2024.</w:t>
      </w:r>
    </w:p>
    <w:p>
      <w:pPr>
        <w:spacing w:after="0" w:line="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$4.7 million and $4.5 million as of March 29, 2025 and December 31, 2024, respectively. If recognized, $2.7 million would affect the effective tax rate. We record interest and penalty charges, if any, related to uncertain tax positions as a component of tax expense and unrecognized tax benefits. The amounts accrued for interest and penalty charges as of March 29, 2025 and December 31, 2024 were not significant. As a result of statute of limitations set to expire in the fourth quarter of 2025, we expect decreases to our unrecognized tax benefits of approximately $0.5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2020 and by state taxing authorities for tax years after 2019.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California’s Wage and Hour Laws Complaint</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amount remained unchanged as of December 31, 2022 as we were awaiting final court approval of this settlement. Subsequent to final court approval and payment of the $0.9 million in January 2023, during the third quarter of 2023 and upon plaintiff’s motion, the court re-opened the settlement agreement to determine whether the class list captured all affected employees. While we appealed that determination the appellate court upheld the trial court’s decision, and the case has been returned to the trial court for the parties to re-examine the class list. Any amount of additional liability is still undetermined pending the parties agreeing upon, and the court’s approval of, an updated class list, and as such, there is no amount of loss that is probable and reasonably estimable at this time. Thus, no additional accrual was recorded during the third quarter of 2023 or during the three months ended March 29,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Groundwater</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the estimated liability for such investigation and corrective action of $1.5 million at both March 29, 2025 and December 31, 2024, which is reflected in other long-term liabilities on our condensed consolidated balance sheets.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Waste Disposal</w:t>
      </w:r>
    </w:p>
    <w:p>
      <w:pPr>
        <w:spacing w:after="0" w:line="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March 29, 2025 and December 31, 2024, which is reflected in other long-term liabilities on our condensed consolidated balance sheets. We anticipate an updated estimate will be available over the next 12 to 24 months however, and will update our accrual for the estimated liability at that time, if needed. Our ultimate liability in connection with these matters will depend upon a number of factors, including changes in existing laws and regulations, the design and cost of construction, operation and maintenance activities related to a final remedy, and the allocation of liability among potentially responsible parties.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Guaymas Performance Center Fire</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insurance claim for damages to our operating assets and business interruption was deemed final and closed by our insurance company during the three months ended July 1, 2023.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with 117,000 square feet in Guaymas. 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seeking unspecified amounts for damages relating to the fire. In addition, in July 2024, we received a subrogation demand from our landlord’s insurer, who also serves as one of our excess carriers, and with whom we have since entered into an informed consent and conflict of waiver agreement. In the interim, discovery is ongoing, and we intend to defend these matters vigorously. As ultimate responsibility for the fire is still undetermined and damages to our former neighbor’s facility have yet to be quantified,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w:t>
      </w:r>
    </w:p>
    <w:p>
      <w:pPr>
        <w:spacing w:after="0" w:line="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are not recorded until all contingencies related to our claim have been resolved.</w:t>
      </w:r>
    </w:p>
    <w:p>
      <w:pPr>
        <w:spacing w:after="0" w:line="4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 Information</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an operating segment as well as a reportable segment. Electronic Systems designs, engineers and manufactures high-reliability electronic and electromechanical products used in worldwide technology-driven markets including A&amp;D and Industrial end-use markets. Structural Systems designs,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engineers and manufactures large, complex contoured aerostructure components and assemblies and supplies composite and metal bonded structures and assemblies.</w:t>
      </w:r>
    </w:p>
    <w:p>
      <w:pPr>
        <w:spacing w:after="0" w:line="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(“CODM”) is the Chairman, President and Chief Executive Officer. The measure used by the CODM to assess segment performance is segment operating income. Monitoring of segment operating income budgeted versus actual results is used for assessing performance of the segment and in establishing management’s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segment was as follows:</w:t>
      </w:r>
    </w:p>
    <w:p>
      <w:pPr>
        <w:spacing w:after="0" w:line="13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(Dollars in thousands)</w:t>
      </w:r>
    </w:p>
    <w:p>
      <w:pPr>
        <w:ind w:left="78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March 29, 2025</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March 30, 2024</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Structural</w:t>
            </w: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48"/>
              <w:spacing w:after="0" w:line="135" w:lineRule="exact"/>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Structural</w:t>
            </w:r>
          </w:p>
        </w:tc>
        <w:tc>
          <w:tcPr>
            <w:tcW w:w="180" w:type="dxa"/>
            <w:vAlign w:val="bottom"/>
          </w:tcPr>
          <w:p>
            <w:pPr>
              <w:spacing w:after="0"/>
              <w:rPr>
                <w:sz w:val="11"/>
                <w:szCs w:val="11"/>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Systems</w:t>
            </w: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Revenues</w:t>
            </w:r>
          </w:p>
        </w:tc>
        <w:tc>
          <w:tcPr>
            <w:tcW w:w="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$109,746</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$84,368</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$194,114</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$107,539</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$83,308</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$190,847</w:t>
            </w: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Significant Expenses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18,131</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28,515</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18,969</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21,837</w:t>
            </w:r>
          </w:p>
        </w:tc>
        <w:tc>
          <w:tcPr>
            <w:tcW w:w="0" w:type="dxa"/>
            <w:vAlign w:val="bottom"/>
          </w:tcPr>
          <w:p>
            <w:pPr>
              <w:spacing w:after="0"/>
              <w:rPr>
                <w:sz w:val="1"/>
                <w:szCs w:val="1"/>
                <w:color w:val="auto"/>
              </w:rPr>
            </w:pPr>
          </w:p>
        </w:tc>
      </w:tr>
      <w:tr>
        <w:trPr>
          <w:trHeight w:val="277"/>
        </w:trPr>
        <w:tc>
          <w:tcPr>
            <w:tcW w:w="5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Reconciliation of Profit or Loss (Segment Operating Income)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Amounts: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CCEEFF"/>
            </w:tcBorders>
          </w:tcPr>
          <w:p>
            <w:pPr>
              <w:ind w:left="360"/>
              <w:spacing w:after="0" w:line="202" w:lineRule="exact"/>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18"/>
                <w:szCs w:val="18"/>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(9,215)</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340" w:firstLine="251"/>
        <w:spacing w:after="0" w:line="365" w:lineRule="auto"/>
        <w:tabs>
          <w:tab w:leader="none" w:pos="4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Additional financial information by reportable segment was as follows:</w:t>
      </w:r>
    </w:p>
    <w:p>
      <w:pPr>
        <w:spacing w:after="0" w:line="1"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auto"/>
        </w:rPr>
        <w:t>Three Months Ended</w:t>
      </w: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March 29,</w:t>
            </w:r>
          </w:p>
        </w:tc>
        <w:tc>
          <w:tcPr>
            <w:tcW w:w="240" w:type="dxa"/>
            <w:vAlign w:val="bottom"/>
          </w:tcPr>
          <w:p>
            <w:pPr>
              <w:spacing w:after="0"/>
              <w:rPr>
                <w:sz w:val="13"/>
                <w:szCs w:val="13"/>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March 30,</w:t>
            </w:r>
          </w:p>
        </w:tc>
        <w:tc>
          <w:tcPr>
            <w:tcW w:w="0" w:type="dxa"/>
            <w:vAlign w:val="bottom"/>
          </w:tcPr>
          <w:p>
            <w:pPr>
              <w:spacing w:after="0"/>
              <w:rPr>
                <w:sz w:val="1"/>
                <w:szCs w:val="1"/>
                <w:color w:val="auto"/>
              </w:rPr>
            </w:pPr>
          </w:p>
        </w:tc>
      </w:tr>
      <w:tr>
        <w:trPr>
          <w:trHeight w:val="193"/>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4"/>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Segment assets include assets directly identifiable with each segment. Corporate assets include assets not specifically identified with a business segment, including cash. The following table summarizes our segment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March 29,</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507,428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551,213</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67,460</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1,126,101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163,926</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230,265</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its 2024 Annual Report on Form 10-K, The Boeing Company (“Boeing”) indicated that in 2024, global air traffic continued to expand beyond 2019 levels with domestic travel continuing to be the most robust and the single-aisle market following closely. International travel also surpassed pre-pandemic levels during 2024 and the wide-body market continued to improve with the international travel recovery. Therefore, the transition in the international commercial market from recovery to normal market conditions continued to progress as China international travel remains below 2019 levels. For 2025, while both major large aircraft manufacturers, Boeing and Airbus SE, have indicated they expect increases in build rates compared to 2024, the ramp up to date has been slower than initially expected and below pre-pandemic levels. In addition, Boeing, one of our largest customers, was notified by the Federal Aviation Administration (“FAA”) in early January 2024 that the FAA had initiated an investigation into Boeing’s quality control system. This notification was followed by the FAA announcing actions to increase its oversight of Boeing as well as not approving production rate increases or additional production lines for the 737 MAX until it is satisfied that Boeing is in full compliance with required quality control procedures. In July 2024, Boeing also pleaded guilty to conspiracy fraud charges, which may result in additional external oversight on its manufacturing and quality control process. Further, in September 2024, the International Association of Machinists and Aerospace Workers District 751 voted to initiate a labor strike affecting more than 30,000 Boeing manufacturing employees primarily located in Washington state, and the manufacturing employees, after rejecting the contract offer in October, voted to approve the revised contract offer in November 2024. Moreover, in Boeing’s Q1 2025 Quarterly Report on Form 10-Q, it stated various countries have announced plans for and/or have already implemented new or modified tariffs (discussed further below). Boeing’s first quarter results reflect its best estimate of the impacts of the tariffs enacted as of March 31, 2025, and certain potential mitigations. These tariffs and any retaliatory actions from other countries could have a material impact on Boeing’s financial position, results of operations and/or cash flows. In April 2025, certain customers in China informed Boeing they will not accept deliveries. Since Boeing is one of our largest customers, if Boeing is unable to meet the full compliance of the FAA’s required quality control procedures, and/or recover from the impact of the labor strike in the near term along with the tariffs (already imposed or will be imposed), it could have a material adverse impact on our business, results of operations and financial condition.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February 2025, the U.S. government has issued several executive orders imposing tariffs on imports from most countries with whom the U.S. engages in trade (“Tariff EOs”). In response to the Tariff EOs, China, the European Union and Canada have announced, and in some cases imposed, counter tariffs on goods that are imported from the U.S. Our business imports various goods that may be subject to tariffs from certain countries covered by the Tariff EOs and we also supply goods to customers who may import those goods into a country which may consider counter tariffs and other actions. If the imposition of current tariff levels is sustained, our profitability, cash flows and the estimates inherent in our financial statements could be negatively affected to the extent we are either unable to claim duty exemptions or are unable to pass on such incremental tariffs to our customers. The actual financial impacts of tariffs are dependent upon various factors, most notably, the scope of goods covered by tariffs, the value of our imports subject to tariffs, the rate of tariffs applied, the timing and duration of tariffs, the implementation of tariff and non-tariff countermeasures by countries subject to U.S. tariffs, and our ability to mitigate the impacts of tariffs by availing ourselves of applicable exemptions. Changes in any of these factors and actual tariff costs incurred could significantly affect the estimates inherent in our financial statements, including those used in our estimates-at-completion (“EACs”), and estimates supporting the recoverability of our inventories, contract assets, intangible assets, and goodwill, and could have a material effect on our results of operations and cash flows in the periods recognized and paid.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Budget</w:t>
      </w:r>
    </w:p>
    <w:p>
      <w:pPr>
        <w:spacing w:after="0" w:line="9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March 15, 2025, the U.S. President signed a continuing resolution (“CR”) under which U.S. government Departments and Agencies will continue to operate through September 30, 2025, the end of the U.S. government’s fiscal year. The CR funds the government at fiscal year 2024 levels with certain exceptions, including the addition of approximately $6 billion to the Department of Defense (“DoD”) budget. Although Congress provided guidelines to the Executive Branch, the CR generally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permits individual Departments and Agencies to determine the areas and programs to fund. As a result, while the impact of the CR on Ducommun ultimately will depend on those funding decisions, Ducommun currently does not expect that the CR will materially impact our business or results of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Order Regarding Modernizing Defense Acquisitions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9, 2025, the U.S. government issued an executive order requiring, among other things, a DoD review of its Major Defense Acquisition Programs to identify those programs that are 15% behind schedule, 15% over budget, unable to meet key performance parameters, or unaligned with the Secretary of Defense’s mission priorities for potential cancellation. Although Ducommun does not, at this time, believe the Executive Order will have a material impact on our business or results of operations, the longer-term ramifications, if any, to Ducommun will depend on a variety of factors including the formulation and implementation of the review criteria in the order, the review timeline, the Secretary of Defense’s mission priorities, and future budget determinations based on the results of such review.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recap:</w:t>
      </w:r>
    </w:p>
    <w:p>
      <w:pPr>
        <w:spacing w:after="0" w:line="121"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$194.1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$10.5 million, or 5.4% of net revenues, or $0.69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$30.9 million, or 15.9% of net revenues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of 2025 Compared to First Quarter of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40" w:type="dxa"/>
            <w:vAlign w:val="bottom"/>
            <w:gridSpan w:val="7"/>
          </w:tcPr>
          <w:p>
            <w:pPr>
              <w:jc w:val="center"/>
              <w:ind w:left="694"/>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March 29,</w:t>
            </w:r>
          </w:p>
        </w:tc>
        <w:tc>
          <w:tcPr>
            <w:tcW w:w="1100" w:type="dxa"/>
            <w:vAlign w:val="bottom"/>
            <w:gridSpan w:val="2"/>
          </w:tcPr>
          <w:p>
            <w:pPr>
              <w:jc w:val="center"/>
              <w:ind w:left="5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March 30,</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6"/>
                <w:szCs w:val="16"/>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194,114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190,847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142,517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143,904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51,597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46,943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34,594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32,951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16,577</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(3,263)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13,314</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10,511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6,849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months ended March 29, 2025 and March 30, 2024,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6"/>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820" w:type="dxa"/>
            <w:vAlign w:val="bottom"/>
            <w:gridSpan w:val="3"/>
          </w:tcPr>
          <w:p>
            <w:pPr>
              <w:jc w:val="right"/>
              <w:ind w:right="49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March 29,</w:t>
            </w:r>
          </w:p>
        </w:tc>
        <w:tc>
          <w:tcPr>
            <w:tcW w:w="80" w:type="dxa"/>
            <w:vAlign w:val="bottom"/>
          </w:tcPr>
          <w:p>
            <w:pPr>
              <w:spacing w:after="0"/>
              <w:rPr>
                <w:sz w:val="11"/>
                <w:szCs w:val="11"/>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March 30,</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March 29,</w:t>
            </w: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1"/>
                <w:szCs w:val="11"/>
                <w:color w:val="auto"/>
              </w:rPr>
              <w:t>March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12"/>
                <w:szCs w:val="12"/>
                <w:color w:val="auto"/>
              </w:rPr>
            </w:pP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1"/>
                <w:szCs w:val="11"/>
                <w:color w:val="auto"/>
              </w:rPr>
              <w:t>2024</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4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9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113,516</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98,929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58.5 %</w:t>
            </w: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51.8 %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5320" w:type="dxa"/>
            <w:vAlign w:val="bottom"/>
            <w:tcBorders>
              <w:top w:val="single" w:sz="8" w:color="CCEEFF"/>
            </w:tcBorders>
            <w:gridSpan w:val="3"/>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12,267</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84,772</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72,505</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107,539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53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65.9 %</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84,368</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83,308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March 29, 2025 were $194.1 million, compared to $190.8 million for the three months ended March 30, 2024. The year-over-year increase in our key end-use markets were primarily due to the following:</w:t>
      </w:r>
    </w:p>
    <w:p>
      <w:pPr>
        <w:spacing w:after="0" w:line="40" w:lineRule="exact"/>
        <w:rPr>
          <w:sz w:val="20"/>
          <w:szCs w:val="20"/>
          <w:color w:val="auto"/>
        </w:rPr>
      </w:pPr>
    </w:p>
    <w:p>
      <w:pPr>
        <w:ind w:left="660" w:right="4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million higher revenues in our military and space end-use markets due to higher rates on selected missile, electronic warfare, radar, and rotary-wing platforms; partially offset by</w:t>
      </w:r>
    </w:p>
    <w:p>
      <w:pPr>
        <w:spacing w:after="0" w:line="40"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million lower revenues in our commercial aerospace end-use markets due to lower revenues from Boeing 737 MAX and in-flight entertainment products, and lower rates on rotary-wing aircraft platforms.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three months ended March 29, 2025 decreased $3.1 million compared to the three months ended March 30, 2024 mainly due to our selective pruning of non-core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256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856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134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4"/>
                <w:szCs w:val="14"/>
                <w:color w:val="auto"/>
              </w:rPr>
              <w:t>March 29,</w:t>
            </w:r>
          </w:p>
        </w:tc>
        <w:tc>
          <w:tcPr>
            <w:tcW w:w="1220" w:type="dxa"/>
            <w:vAlign w:val="bottom"/>
          </w:tcPr>
          <w:p>
            <w:pPr>
              <w:jc w:val="right"/>
              <w:ind w:right="235"/>
              <w:spacing w:after="0" w:line="129" w:lineRule="exact"/>
              <w:rPr>
                <w:sz w:val="20"/>
                <w:szCs w:val="20"/>
                <w:color w:val="auto"/>
              </w:rPr>
            </w:pPr>
            <w:r>
              <w:rPr>
                <w:rFonts w:ascii="Times New Roman" w:cs="Times New Roman" w:eastAsia="Times New Roman" w:hAnsi="Times New Roman"/>
                <w:sz w:val="14"/>
                <w:szCs w:val="14"/>
                <w:color w:val="auto"/>
              </w:rPr>
              <w:t>March 30,</w:t>
            </w:r>
          </w:p>
        </w:tc>
      </w:tr>
      <w:tr>
        <w:trPr>
          <w:trHeight w:val="196"/>
        </w:trPr>
        <w:tc>
          <w:tcPr>
            <w:tcW w:w="85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30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r>
    </w:tbl>
    <w:p>
      <w:pPr>
        <w:spacing w:after="0" w:line="148" w:lineRule="exact"/>
        <w:rPr>
          <w:sz w:val="20"/>
          <w:szCs w:val="20"/>
          <w:color w:val="auto"/>
        </w:rPr>
      </w:pPr>
    </w:p>
    <w:p>
      <w:pPr>
        <w:ind w:left="340" w:right="680" w:hanging="332"/>
        <w:spacing w:after="0" w:line="312" w:lineRule="auto"/>
        <w:tabs>
          <w:tab w:leader="none" w:pos="33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Boeing Company (“Boeing”), Lockheed Martin Corporation (“Lockheed”), Northrop Grumman Corporation (“Northrop”), RTX Corporation (“RTX”), and Spirit AeroSystems Holdings, Inc. (“Spirit”) for the three months ended March 29, 2025 and March 30, 2024.</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Lockheed, Northrop, RTX, and Spirit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March 29,</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5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Lockheed, Northrop, RTX, and Spirit were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March 29, 2025 of 26.6%, compared to the three months ended March 30, 2024 of 24.6% primarily due to favorable product mix and higher manufacturing volume.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SG&amp;A expenses increased $1.6 million year-over-year in the three months ended March 29, 2025 compared to the three months ended March 30, 2024 primarily due to higher compensation and benefits expense of $1.7 million and higher professional services fees of $0.6 million, partially offset by lower other SG&amp;A expenses of $0.7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Restructuring charges decreased $0.9 million year-over-year in the three months ended March 29, 2025, compared to the three months ended March 30, 2024 primarily due to the winding down of the previously disclosed restructuring plan that was approved and commenced in April 2022. See Note 2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expense decreased $0.6 million year-over-year in the three months ended March 29, 2025, compared to the three months ended March 30, 2024, primarily due to lower interest rates along with a lower debt balance.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income tax expense of $2.8 million for the three months ended March 29, 2025 compared to $1.9 million for the three months ended</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March 30, 2024. The increase in income tax expense for the first quarter of 2025 compared to the first quarter of 2024 was primarily due to higher pre-tax income in the first quarter of 2025 compared to the first quarter of 2024.</w:t>
      </w:r>
    </w:p>
    <w:p>
      <w:pPr>
        <w:spacing w:after="0" w:line="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$4.7 million and $4.5 million as of March 29, 2025 and December 31, 2024, respectively. If recognized, $2.7 million would affect the effective tax rate. We record interest and penalty charges, if any, related to uncertain tax positions as a component of tax expense and unrecognized tax benefits. The amounts accrued for interest and penalty charges as of March 29, 2025 and December 31, 2024 were not significant. As a result of statute of limitations set to expire in the fourth quarter of 2025, we expect decreases to our unrecognized tax benefits of approximately $0.5 million in the next twelve months.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2020 and by state taxing authorities for tax years after 2019.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income, net income as a percentage of revenues, and earnings per share for the three months ended March 29, 2025 were $10.5 million, or 5.4% of revenues, or $0.69 per diluted share, respectively, compared to $6.8 million, or 3.6% of revenues, or $0.46 per diluted share, respectively, for the three months ended March 30, 2024. The increase in net income for the three months ended March 29, 2025 compared to the three months ended March 30, 2024 was primarily due to higher gross profit of $4.7 million and lower restructuring charges of $0.9 million, partially offset by higher SG&amp;A expenses of $1.6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months ended March 29, 2025 and March 30,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6"/>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660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800" w:type="dxa"/>
            <w:vAlign w:val="bottom"/>
            <w:gridSpan w:val="3"/>
          </w:tcPr>
          <w:p>
            <w:pPr>
              <w:jc w:val="right"/>
              <w:ind w:right="49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6600" w:type="dxa"/>
            <w:vAlign w:val="bottom"/>
          </w:tcPr>
          <w:p>
            <w:pPr>
              <w:spacing w:after="0"/>
              <w:rPr>
                <w:sz w:val="11"/>
                <w:szCs w:val="1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Change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March 29,</w:t>
            </w:r>
          </w:p>
        </w:tc>
        <w:tc>
          <w:tcPr>
            <w:tcW w:w="100" w:type="dxa"/>
            <w:vAlign w:val="bottom"/>
          </w:tcPr>
          <w:p>
            <w:pPr>
              <w:spacing w:after="0"/>
              <w:rPr>
                <w:sz w:val="11"/>
                <w:szCs w:val="11"/>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March 30,</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March 29,</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1"/>
                <w:szCs w:val="11"/>
                <w:color w:val="auto"/>
              </w:rPr>
              <w:t>March 30,</w:t>
            </w:r>
          </w:p>
        </w:tc>
        <w:tc>
          <w:tcPr>
            <w:tcW w:w="0" w:type="dxa"/>
            <w:vAlign w:val="bottom"/>
          </w:tcPr>
          <w:p>
            <w:pPr>
              <w:spacing w:after="0"/>
              <w:rPr>
                <w:sz w:val="1"/>
                <w:szCs w:val="1"/>
                <w:color w:val="auto"/>
              </w:rPr>
            </w:pPr>
          </w:p>
        </w:tc>
      </w:tr>
      <w:tr>
        <w:trPr>
          <w:trHeight w:val="140"/>
        </w:trPr>
        <w:tc>
          <w:tcPr>
            <w:tcW w:w="66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12"/>
                <w:szCs w:val="12"/>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1"/>
                <w:szCs w:val="11"/>
                <w:color w:val="auto"/>
              </w:rPr>
              <w:t>2024</w:t>
            </w:r>
          </w:p>
        </w:tc>
        <w:tc>
          <w:tcPr>
            <w:tcW w:w="0" w:type="dxa"/>
            <w:vAlign w:val="bottom"/>
          </w:tcPr>
          <w:p>
            <w:pPr>
              <w:spacing w:after="0"/>
              <w:rPr>
                <w:sz w:val="1"/>
                <w:szCs w:val="1"/>
                <w:color w:val="auto"/>
              </w:rPr>
            </w:pPr>
          </w:p>
        </w:tc>
      </w:tr>
      <w:tr>
        <w:trPr>
          <w:trHeight w:val="22"/>
        </w:trPr>
        <w:tc>
          <w:tcPr>
            <w:tcW w:w="6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109,746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56.3 %</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84,368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43.7 %</w:t>
            </w:r>
          </w:p>
        </w:tc>
        <w:tc>
          <w:tcPr>
            <w:tcW w:w="0" w:type="dxa"/>
            <w:vAlign w:val="bottom"/>
          </w:tcPr>
          <w:p>
            <w:pPr>
              <w:spacing w:after="0"/>
              <w:rPr>
                <w:sz w:val="1"/>
                <w:szCs w:val="1"/>
                <w:color w:val="auto"/>
              </w:rPr>
            </w:pPr>
          </w:p>
        </w:tc>
      </w:tr>
      <w:tr>
        <w:trPr>
          <w:trHeight w:val="169"/>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Net Revenues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194,114</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18,131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16.5 %</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17.6 %</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18"/>
                <w:szCs w:val="18"/>
                <w:color w:val="auto"/>
                <w:vertAlign w:val="superscript"/>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9"/>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Operating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16,577</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8"/>
                <w:szCs w:val="18"/>
                <w:color w:val="auto"/>
                <w:vertAlign w:val="superscript"/>
              </w:rPr>
              <w:t>(2)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21.5 %</w:t>
            </w:r>
          </w:p>
        </w:tc>
        <w:tc>
          <w:tcPr>
            <w:tcW w:w="0" w:type="dxa"/>
            <w:vAlign w:val="bottom"/>
          </w:tcPr>
          <w:p>
            <w:pPr>
              <w:spacing w:after="0"/>
              <w:rPr>
                <w:sz w:val="1"/>
                <w:szCs w:val="1"/>
                <w:color w:val="auto"/>
              </w:rPr>
            </w:pPr>
          </w:p>
        </w:tc>
      </w:tr>
      <w:tr>
        <w:trPr>
          <w:trHeight w:val="19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8"/>
                <w:szCs w:val="18"/>
                <w:color w:val="auto"/>
                <w:vertAlign w:val="superscript"/>
              </w:rPr>
              <w:t>(3)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 Purchase Accounting Adjustments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15,815</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Corporate General and Administrative Expenses </w:t>
            </w:r>
            <w:r>
              <w:rPr>
                <w:rFonts w:ascii="Times New Roman" w:cs="Times New Roman" w:eastAsia="Times New Roman" w:hAnsi="Times New Roman"/>
                <w:sz w:val="18"/>
                <w:szCs w:val="18"/>
                <w:color w:val="auto"/>
                <w:vertAlign w:val="superscript"/>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Loss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680"/>
              <w:spacing w:after="0" w:line="202" w:lineRule="exact"/>
              <w:rPr>
                <w:sz w:val="20"/>
                <w:szCs w:val="20"/>
                <w:color w:val="auto"/>
              </w:rPr>
            </w:pPr>
            <w:r>
              <w:rPr>
                <w:rFonts w:ascii="Times New Roman" w:cs="Times New Roman" w:eastAsia="Times New Roman" w:hAnsi="Times New Roman"/>
                <w:sz w:val="14"/>
                <w:szCs w:val="14"/>
                <w:color w:val="auto"/>
              </w:rPr>
              <w:t xml:space="preserve">Stock-Based Compensation Expense </w:t>
            </w:r>
            <w:r>
              <w:rPr>
                <w:rFonts w:ascii="Times New Roman" w:cs="Times New Roman" w:eastAsia="Times New Roman" w:hAnsi="Times New Roman"/>
                <w:sz w:val="18"/>
                <w:szCs w:val="18"/>
                <w:color w:val="auto"/>
                <w:vertAlign w:val="superscript"/>
              </w:rPr>
              <w:t>(4)</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(6,745)</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ind w:left="880"/>
              <w:spacing w:after="0" w:line="155" w:lineRule="exact"/>
              <w:rPr>
                <w:sz w:val="20"/>
                <w:szCs w:val="20"/>
                <w:color w:val="auto"/>
              </w:rPr>
            </w:pPr>
            <w:r>
              <w:rPr>
                <w:rFonts w:ascii="Times New Roman" w:cs="Times New Roman" w:eastAsia="Times New Roman" w:hAnsi="Times New Roman"/>
                <w:sz w:val="14"/>
                <w:szCs w:val="14"/>
                <w:color w:val="auto"/>
              </w:rPr>
              <w:t>Adjusted EBITDA</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30,934</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15.9 %</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Corporate Administration</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60" w:hanging="309"/>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63" w:lineRule="exact"/>
        <w:rPr>
          <w:rFonts w:ascii="Times New Roman" w:cs="Times New Roman" w:eastAsia="Times New Roman" w:hAnsi="Times New Roman"/>
          <w:sz w:val="18"/>
          <w:szCs w:val="18"/>
          <w:color w:val="auto"/>
        </w:rPr>
      </w:pPr>
    </w:p>
    <w:p>
      <w:pPr>
        <w:ind w:left="580" w:right="180" w:hanging="329"/>
        <w:spacing w:after="0" w:line="281" w:lineRule="auto"/>
        <w:tabs>
          <w:tab w:leader="none" w:pos="5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29, 2025 and March 30, 2024 each included less than $0.1 million of stock-based compensation expense recorded as cost of sales.</w:t>
      </w:r>
    </w:p>
    <w:p>
      <w:pPr>
        <w:spacing w:after="0" w:line="1" w:lineRule="exact"/>
        <w:rPr>
          <w:rFonts w:ascii="Times New Roman" w:cs="Times New Roman" w:eastAsia="Times New Roman" w:hAnsi="Times New Roman"/>
          <w:sz w:val="18"/>
          <w:szCs w:val="18"/>
          <w:color w:val="auto"/>
        </w:rPr>
      </w:pPr>
    </w:p>
    <w:p>
      <w:pPr>
        <w:ind w:left="580" w:right="680" w:hanging="329"/>
        <w:spacing w:after="0" w:line="281" w:lineRule="auto"/>
        <w:tabs>
          <w:tab w:leader="none" w:pos="5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29, 2025 and March 30, 2024 included less than $0.1 million and $0.1 million, respectively, of stock-based compensation expense recorded as cost of sales.</w:t>
      </w:r>
    </w:p>
    <w:p>
      <w:pPr>
        <w:spacing w:after="0" w:line="1" w:lineRule="exact"/>
        <w:rPr>
          <w:rFonts w:ascii="Times New Roman" w:cs="Times New Roman" w:eastAsia="Times New Roman" w:hAnsi="Times New Roman"/>
          <w:sz w:val="18"/>
          <w:szCs w:val="18"/>
          <w:color w:val="auto"/>
        </w:rPr>
      </w:pPr>
    </w:p>
    <w:p>
      <w:pPr>
        <w:ind w:left="580" w:right="300" w:hanging="329"/>
        <w:spacing w:after="0" w:line="282" w:lineRule="auto"/>
        <w:tabs>
          <w:tab w:leader="none" w:pos="57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29, 2025 and March 30, 2024 included $0.8 million and $1.4 million, respectively, of stock-based compensation expense for awards with both performance and market conditions that will be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9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March 29, 2025 compared to the three months ended March 30, 2024 increased $2.2 million primarily due to the following in our key end-use markets:</w:t>
      </w:r>
    </w:p>
    <w:p>
      <w:pPr>
        <w:spacing w:after="0" w:line="40" w:lineRule="exact"/>
        <w:rPr>
          <w:sz w:val="20"/>
          <w:szCs w:val="20"/>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million higher revenues in our military and space end-use markets due to higher rates on electronic warfare and selected missiles and radar platforms; partially offset by</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lower revenues in our commercial aerospace end-use markets due to lower in-flight entertainment revenues and lower rates on large aircraft platforms.</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three months ended March 29, 2025 decreased $3.1 million compared to the three months ended March 30, 2024 mainly due to our selective pruning of non-core business.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March 29, 2025 compared to the three months ended March 30, 2024 decreased $0.8 million primarily due to lower manufacturing volume and higher other manufacturing costs, partially offset by favorable product mix.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March 29, 2025 compared to the three months ended March 30, 2024 increased $1.1 million primarily due to the following:</w:t>
      </w:r>
    </w:p>
    <w:p>
      <w:pPr>
        <w:spacing w:after="0" w:line="27" w:lineRule="exact"/>
        <w:rPr>
          <w:sz w:val="20"/>
          <w:szCs w:val="20"/>
          <w:color w:val="auto"/>
        </w:rPr>
      </w:pPr>
    </w:p>
    <w:p>
      <w:pPr>
        <w:ind w:left="660" w:right="2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higher revenues in our military and space end-use markets due to higher rates on selected rotary-wing aircraft platforms, partially offset by lower rates on selected fixed-wing aircraft platforms; partially offset by</w:t>
      </w:r>
    </w:p>
    <w:p>
      <w:pPr>
        <w:spacing w:after="0" w:line="40"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lower revenues in our commercial aerospace end-use markets due to lower revenues from Boeing 737 MAX and lower rates on rotary-wing aircraft platforms.</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March 29, 2025 compared to the three months ended March 30, 2024 increased $7.5 million primarily due to higher manufacturing volume, favorable product mix, and lower other manufacturing costs.</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We have insurance coverage up to a capped amount, less our deductible. The full financial impact cannot be estimated at this time. We have been working with our insurance carriers to determine ultimate responsibility for the fire. The loss of production from the Guaymas performance center was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and filed a lawsuit against us seeking recovery for its losses. Subsequently, in July 2024, we received a subrogation demand from our landlord’s insurer, who also serves as one of our excess carriers, and with whom we have since entered into an informed consent and conflict of waiver agreement. In the interim, discovery in the litigation is ongoing, and we intend to defend these matters vigorously. Ultimate responsibility for the fire is still undetermined and damages to our former neighbor’s facility have yet to be quantified,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10 to our condensed consolidated financial statements included in Part I, Item 1 of this Form 10-Q.</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CG&amp;A expenses increased $2.7 million for the three months ended March 29, 2025 compared to the three months ended March 30, 2024 primarily due to higher compensation and benefits costs of $1.7 million and higher other corporate expenses of $0.9 million.</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and inventory purchase accounting adjustments (“Adjusted EBITDA”) were $30.9 million and $27.4 million for the three months ended March 29, 2025 and March 30, 2024, respectively.</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7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right="50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3"/>
        </w:trPr>
        <w:tc>
          <w:tcPr>
            <w:tcW w:w="8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29,</w:t>
            </w:r>
          </w:p>
        </w:tc>
        <w:tc>
          <w:tcPr>
            <w:tcW w:w="20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March 30,</w:t>
            </w:r>
          </w:p>
        </w:tc>
        <w:tc>
          <w:tcPr>
            <w:tcW w:w="0" w:type="dxa"/>
            <w:vAlign w:val="bottom"/>
          </w:tcPr>
          <w:p>
            <w:pPr>
              <w:spacing w:after="0"/>
              <w:rPr>
                <w:sz w:val="1"/>
                <w:szCs w:val="1"/>
                <w:color w:val="auto"/>
              </w:rPr>
            </w:pPr>
          </w:p>
        </w:tc>
      </w:tr>
      <w:tr>
        <w:trPr>
          <w:trHeight w:val="193"/>
        </w:trPr>
        <w:tc>
          <w:tcPr>
            <w:tcW w:w="8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10,511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27,394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as a % of net revenues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as a % of net revenues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right="260" w:hanging="252"/>
        <w:spacing w:after="0" w:line="266" w:lineRule="auto"/>
        <w:tabs>
          <w:tab w:leader="none" w:pos="2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29, 2025 and March 30, 2024 included $0.8 million and $1.4 million, respectively, of stock-based compensation expense for awards with both performance and market conditions that will be settled in cash. The three months ended March 29, 2025 and March 30, 2024 each included less than $0.1 million of stock-based compensation expense recorded as cost of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may or may not be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decrease in backlog was primarily in the military and space and commercial aerospace end-use markets, partially offset by an increase in industrial end-use markets. $756.0 million of total backlog is expected to be delivered over the next 12 months. The following table summarizes our backlog as of March 29, 2025 and December 31,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March 29,</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93"/>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619,701</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624,785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29,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2024</w:t>
            </w:r>
          </w:p>
        </w:tc>
      </w:tr>
      <w:tr>
        <w:trPr>
          <w:trHeight w:val="23"/>
        </w:trPr>
        <w:tc>
          <w:tcPr>
            <w:tcW w:w="73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243.2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243.2</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interest rate</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191.0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191.0</w:t>
            </w:r>
          </w:p>
        </w:tc>
      </w:tr>
    </w:tbl>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new credit facilities (“2022 Credit Facilities”). In conjunction with the closing of the 2022 Credit Facilities, we utilized the entire $250.0 million of proceeds from the 2022 Term Loan plus our existing cash on hand to pay off our entire debt balance outstanding of $254.2 million under our prior credit facilities. At the same leverage ratio, the interest rate spread in the 2022 Credit Facilities is lower than the interest rate spread under our prior credit facilities.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Further,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 As of March 29, 2025, we were in compliance with all covenants required under the 2022 Credit Facilities. See Note 7 to our condensed consolidated financial statements included in Part I, Item 1 of this Form 10-Q for further information.</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29, 2025 and March 30, 2024, we made the required quarterly amortization payments on the 2022 Term Loan of zero and $1.6 million, respectively. The required quarterly amortization payment due on March 31, 2025 is in our second fiscal quarter of 2025. We made no voluntary prepayments on our term loans during each of the three months ended March 29, 2025 and March 30, 2024.</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March 29, 2025, we estimate the remaining amount of charges related to this initiative will be $0.5 million to $1.0 million of total pre-tax restructuring charges during 2025 for facility consolidation related expenses. The restructuring accrual for severance and benefits and other of $1.3 million as of March 29, 2025 are expected to be paid out during 2025. On an annualized basis, we anticipate these restructuring actions will result in total cost savings of $11.0 million to $13.0 million. See Note 2 to our condensed consolidated financial statements included in Part I, Item 1 of this Form 10-Q for further information.</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Note 3, and Note 7 to our condensed consolidated financial statements included in Part I, Item 1 of this Form 10-Q for further information.</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Note 3, and Note 7 to our condensed consolidated financial statements included in Part I, Item 1 of this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expect to spend a total of $23.0 million to $25.0 million for capital expenditures in 2025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29, 2025 was $0.8 million, compared to net cash used in operating activities of $1.6 million for the three months ended March 30, 2024. The higher net cash provided by operating activities during the first three months of 2025 was mainly due to a smaller increase in contract assets, smaller increase in inventories, and higher net income, partially offset by higher accounts receivable and a smaller increase in accounts payable.</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$4.8 million for the three months ended March 29, 2025, compared to $5.0 million in the three months ended March 30, 2024. The lower net cash used in investing activities during the first three months of 2025 was mainly due to lower purchases of property and equipment.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$2.4 million for the three months ended March 29, 2025, compared to $4.2 million for the three months ended March 30, 2024. The lower net cash used in financing activities during the first three months of 2025 was mainly due to lower repayments on our term loan that was due and paid on March 31, 2025, which occurred in our second fiscal quarter of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2024 Annual Report on Form 10-K. There have been no material changes in any of our critical accounting policies during the three months ended March 29,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interest rates on our outstanding long-term debt. At March 29, 2025, we had total borrowings of $243.2 million under our 2022 Credit Facilities.</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2022 Revolving Credit Facility bears interest, at our option, at a rate equal to either (i) Term SOFR plus an applicable margin ranging from 1.375% to 2.375% per year or (ii) Base Rate (defined as the highest of [a] Federal Funds Rate plus 0.50%,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firstLine="8"/>
        <w:spacing w:after="0" w:line="28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29,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included in Part I, Item 1 of this Form 10-Q for a description of our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2024 for a discussion of our risk factors. Other than the risk factor below, there have been no material changes during the three months ended March 29, 2025 to the risk factors disclosed in our Form 10-K for the year ended December 31, 2024.</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280" w:hanging="323"/>
        <w:spacing w:after="0" w:line="282"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3.3 Amended and Restated Bylaws of Ducommun Incorporated, dated as of November 5, 2024. Incorporated by reference to Exhibit 3.1 to Form 8-K filed</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on November 7, 2024.</w:t>
        </w:r>
      </w:hyperlink>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 Certification of Principal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 Certification of Principal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90" w:lineRule="exact"/>
        <w:rPr>
          <w:sz w:val="20"/>
          <w:szCs w:val="20"/>
          <w:color w:val="auto"/>
        </w:rPr>
      </w:pPr>
    </w:p>
    <w:p>
      <w:pPr>
        <w:ind w:left="660" w:right="3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101.INS</w:t>
        <w:tab/>
        <w:t>Inline XBRL Instance Document with Embedded Linkbase Documents - the instance document does not appear in the Interactive Data File because its XBRL tags are embedded within the Inline XBRL</w:t>
      </w:r>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28"/>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0"/>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229"/>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17"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March 29, 2025;</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March 29, 2025;</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March 29, 2025,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6,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March 29, 2025, as filed with the Securities and Exchange Commission on the date hereof (the “Report”), I, Suman B. Mookerji, Senior Vice President,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9" Type="http://schemas.openxmlformats.org/officeDocument/2006/relationships/hyperlink" Target="https://www.sec.gov/Archives/edgar/data/30305/0000892569-99-000620-index.html" TargetMode="External"/><Relationship Id="rId50" Type="http://schemas.openxmlformats.org/officeDocument/2006/relationships/hyperlink" Target="https://www.sec.gov/Archives/edgar/data/30305/000119312524252550/d9095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2025-05-06T05:24:23Z</dcterms:created>
  <dcterms:modified xsi:type="dcterms:W3CDTF">2025-05-06T05:24:23Z</dcterms:modified>
</cp:coreProperties>
</file>