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0" w:lineRule="auto"/>
        <w:tabs>
          <w:tab w:leader="none" w:pos="940" w:val="left"/>
        </w:tabs>
        <w:numPr>
          <w:ilvl w:val="0"/>
          <w:numId w:val="1"/>
        </w:numPr>
        <w:rPr>
          <w:rFonts w:ascii="Arial" w:cs="Arial" w:eastAsia="Arial" w:hAnsi="Arial"/>
          <w:sz w:val="38"/>
          <w:szCs w:val="38"/>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21"/>
          <w:szCs w:val="21"/>
          <w:color w:val="auto"/>
        </w:rPr>
        <w:t>x</w:t>
      </w:r>
      <w:r>
        <w:rPr>
          <w:rFonts w:ascii="Times New Roman" w:cs="Times New Roman" w:eastAsia="Times New Roman" w:hAnsi="Times New Roman"/>
          <w:sz w:val="18"/>
          <w:szCs w:val="18"/>
          <w:color w:val="auto"/>
        </w:rPr>
        <w:t xml:space="preserve"> As of April 26, 2022, the registrant had 12,033,277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0"/>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2, 2022 and December 31,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April 2, 2022 and April 3,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April 2, 2022 and April 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April 2, 2022</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April 3, 2021</w:t>
            </w: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gridSpan w:val="2"/>
          </w:tcPr>
          <w:p>
            <w:pPr>
              <w:spacing w:after="0"/>
              <w:rPr>
                <w:sz w:val="13"/>
                <w:szCs w:val="13"/>
                <w:color w:val="auto"/>
              </w:rPr>
            </w:pPr>
          </w:p>
        </w:tc>
        <w:tc>
          <w:tcPr>
            <w:tcW w:w="166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2, 2022 and April 3, 2021</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120" w:type="dxa"/>
            <w:vAlign w:val="bottom"/>
            <w:gridSpan w:val="5"/>
          </w:tcPr>
          <w:p>
            <w:pPr>
              <w:spacing w:after="0"/>
              <w:rPr>
                <w:sz w:val="22"/>
                <w:szCs w:val="22"/>
                <w:color w:val="auto"/>
              </w:rPr>
            </w:pPr>
          </w:p>
        </w:tc>
        <w:tc>
          <w:tcPr>
            <w:tcW w:w="500" w:type="dxa"/>
            <w:vAlign w:val="bottom"/>
            <w:gridSpan w:val="3"/>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3"/>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80" w:type="dxa"/>
            <w:vAlign w:val="bottom"/>
            <w:gridSpan w:val="11"/>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1"/>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840" w:type="dxa"/>
            <w:vAlign w:val="bottom"/>
            <w:gridSpan w:val="10"/>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April 2,</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(allowance for credit losses of $791 and $1,098 at April 2, 2022 and December</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2021, respectively</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$171,713 and $168,132 at April 2, 2022 and</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42,077</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504,133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7, 9)</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12,032,945 and 11,925,087 shares issued</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April 2, 2022 and December 31, 2021, respectively</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474,602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April 2,</w:t>
            </w:r>
          </w:p>
        </w:tc>
        <w:tc>
          <w:tcPr>
            <w:tcW w:w="24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April 3,</w:t>
            </w:r>
          </w:p>
        </w:tc>
      </w:tr>
      <w:tr>
        <w:trPr>
          <w:trHeight w:val="193"/>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157,151</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124,051</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22,490</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8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2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34"/>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April 2,</w:t>
            </w:r>
          </w:p>
        </w:tc>
        <w:tc>
          <w:tcPr>
            <w:tcW w:w="24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April 3,</w:t>
            </w:r>
          </w:p>
        </w:tc>
      </w:tr>
      <w:tr>
        <w:trPr>
          <w:trHeight w:val="193"/>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87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 and prior service costs, net of tax of $36 and $76 for the three months ended April 2,</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and April 3, 2021, respectively</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184"/>
        </w:trPr>
        <w:tc>
          <w:tcPr>
            <w:tcW w:w="87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Change in unrealized gains on cash flow hedges, net of tax of $1,509 and zero for the three months ended April 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8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2022 and April 3, 2021, respectively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1"/>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Loss</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11,728,212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11,849,597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12,032,945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487,706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April 2,</w:t>
            </w:r>
          </w:p>
        </w:tc>
        <w:tc>
          <w:tcPr>
            <w:tcW w:w="32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April 3,</w:t>
            </w:r>
          </w:p>
        </w:tc>
      </w:tr>
      <w:tr>
        <w:trPr>
          <w:trHeight w:val="193"/>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2021</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(23,355)</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29"/>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(4,542)</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56,466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2021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2021. The financial information included in this Quarterly Report on Form 10-Q should be read in conjunction with our Annual Report on Form 10-K for the year ended December 31, 2021.</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Quarterly Report on Form 10-Q. The results of operations for the three months ended April 2, 2022 are not necessarily indicative of the results to be expected for the full year ending December 31, 2022.</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our quarter ended April 2, 2022, in April 2022, management approved and commenced a restructuring plan mainly to reduce headcount,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 facilities, write-down inventory, and impair long-lived assets to better position us for stronger performance. We currently anticipate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initiative will result in $10.0 million to $14.0 million in total pre-tax restructuring charges over the next 12 months. Of these charges, we estimate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to be cash payments for employee separation and other facility consolidation related expenses, and $6.0 million to $10.0 million to be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charges for the write-down of inventory and impairment of long-lived assets.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58"/>
        </w:trPr>
        <w:tc>
          <w:tcPr>
            <w:tcW w:w="8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April 2,</w:t>
            </w:r>
          </w:p>
        </w:tc>
        <w:tc>
          <w:tcPr>
            <w:tcW w:w="260" w:type="dxa"/>
            <w:vAlign w:val="bottom"/>
          </w:tcPr>
          <w:p>
            <w:pPr>
              <w:spacing w:after="0"/>
              <w:rPr>
                <w:sz w:val="13"/>
                <w:szCs w:val="13"/>
                <w:color w:val="auto"/>
              </w:rPr>
            </w:pPr>
          </w:p>
        </w:tc>
        <w:tc>
          <w:tcPr>
            <w:tcW w:w="1060" w:type="dxa"/>
            <w:vAlign w:val="bottom"/>
          </w:tcPr>
          <w:p>
            <w:pPr>
              <w:jc w:val="right"/>
              <w:ind w:right="357"/>
              <w:spacing w:after="0" w:line="159" w:lineRule="exact"/>
              <w:rPr>
                <w:sz w:val="20"/>
                <w:szCs w:val="20"/>
                <w:color w:val="auto"/>
              </w:rPr>
            </w:pPr>
            <w:r>
              <w:rPr>
                <w:rFonts w:ascii="Times New Roman" w:cs="Times New Roman" w:eastAsia="Times New Roman" w:hAnsi="Times New Roman"/>
                <w:sz w:val="14"/>
                <w:szCs w:val="14"/>
                <w:color w:val="auto"/>
              </w:rPr>
              <w:t>April 3,</w:t>
            </w:r>
          </w:p>
        </w:tc>
      </w:tr>
      <w:tr>
        <w:trPr>
          <w:trHeight w:val="196"/>
        </w:trPr>
        <w:tc>
          <w:tcPr>
            <w:tcW w:w="8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(refunded),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color w:val="auto"/>
        </w:rPr>
        <w:t>except per share data)</w:t>
      </w:r>
    </w:p>
    <w:p>
      <w:pPr>
        <w:spacing w:after="0" w:line="1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w:t>
            </w:r>
          </w:p>
        </w:tc>
        <w:tc>
          <w:tcPr>
            <w:tcW w:w="260" w:type="dxa"/>
            <w:vAlign w:val="bottom"/>
          </w:tcPr>
          <w:p>
            <w:pPr>
              <w:spacing w:after="0"/>
              <w:rPr>
                <w:sz w:val="13"/>
                <w:szCs w:val="13"/>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April 3,</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5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24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7"/>
                <w:szCs w:val="17"/>
                <w:color w:val="auto"/>
              </w:rPr>
            </w:pPr>
          </w:p>
        </w:tc>
      </w:tr>
      <w:tr>
        <w:trPr>
          <w:trHeight w:val="163"/>
        </w:trPr>
        <w:tc>
          <w:tcPr>
            <w:tcW w:w="8480" w:type="dxa"/>
            <w:vAlign w:val="bottom"/>
          </w:tcPr>
          <w:p>
            <w:pPr>
              <w:spacing w:after="0"/>
              <w:rPr>
                <w:sz w:val="14"/>
                <w:szCs w:val="14"/>
                <w:color w:val="auto"/>
              </w:rPr>
            </w:pPr>
          </w:p>
        </w:tc>
        <w:tc>
          <w:tcPr>
            <w:tcW w:w="9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April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April 3,</w:t>
            </w:r>
          </w:p>
        </w:tc>
        <w:tc>
          <w:tcPr>
            <w:tcW w:w="300" w:type="dxa"/>
            <w:vAlign w:val="bottom"/>
          </w:tcPr>
          <w:p>
            <w:pPr>
              <w:spacing w:after="0"/>
              <w:rPr>
                <w:sz w:val="14"/>
                <w:szCs w:val="14"/>
                <w:color w:val="auto"/>
              </w:rPr>
            </w:pPr>
          </w:p>
        </w:tc>
      </w:tr>
      <w:tr>
        <w:trPr>
          <w:trHeight w:val="193"/>
        </w:trPr>
        <w:tc>
          <w:tcPr>
            <w:tcW w:w="9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2021</w:t>
            </w:r>
          </w:p>
        </w:tc>
        <w:tc>
          <w:tcPr>
            <w:tcW w:w="300" w:type="dxa"/>
            <w:vAlign w:val="bottom"/>
          </w:tcPr>
          <w:p>
            <w:pPr>
              <w:spacing w:after="0"/>
              <w:rPr>
                <w:sz w:val="16"/>
                <w:szCs w:val="16"/>
                <w:color w:val="auto"/>
              </w:rPr>
            </w:pPr>
          </w:p>
        </w:tc>
      </w:tr>
      <w:tr>
        <w:trPr>
          <w:trHeight w:val="22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money market funds and they are included as cash and cash equivalents. We also have forward interest rate swap agreements and the fair value of the forward interest rate swap agreements were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April 2,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all with an effective date of January 1, 2024 (“Forward Interest Rate Swaps”) to manage our exposure to interest rate movements on a portion of our debt. As such, we have made the following cash flow hedging relationship elections to qualify for hedge accounting treatment related to the Forward Interest Rate Swaps as our current term loans mature before the expiration of the Forward Interest Rate Swaps: 1) Probability of forecasted transactions, and 2) Assessment of effectiveness. See Note 6. As of April 2, 2022, all of our derivative instruments were designated as cash flow hedges.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Forward Interest Rate Swaps are not effective until January 1, 2024, in both the three months ended April 2, 2022 and April 3, 2021, we only recorded the changes in the fair value of the derivative instruments that were highly effective and that were designated and qualified as cash flow hedges in other long term assets, other long term liabilities, and other comprehensive income (loss) of $6.4 million and zero, respectively.</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5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catch up adjustments on gross profit recorded were not material for both the three months ended April 2, 2022 and April 3, 2021.</w:t>
      </w:r>
    </w:p>
    <w:p>
      <w:pPr>
        <w:spacing w:after="0" w:line="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April 2, 2022 and December 31, 2021, provision for estimated losses on contracts were $3.3 million and $2.8 million, respectively.</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April 2, 2022 and December 31, 2021, production cost of contracts were $7.9 million and $8.0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transfer of control occurs plus the estimated losses on contracts. When a contract liability and a contract asset exist on the same contract, we report it on a net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42,077</w:t>
            </w:r>
          </w:p>
        </w:tc>
      </w:tr>
    </w:tbl>
    <w:p>
      <w:pPr>
        <w:spacing w:after="0" w:line="2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April 2, 2022 compared to December 31, 2021 was primarily due to a net increase of products in work in process in the current period.</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April 2, 2022 compared to December 31, 2021 was primarily due to a net decrease of advance or progress payments received from our customers in the current period. We recognized $10.1 million of the contract liabilities as of December 31, 2021 as revenues during the three months ended April 2, 2022.</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April 2, 2022 totaled $767.1 million. We anticipate recognizing an estimated 70% of our remaining performance obligations as revenue during the next 12 months with the remaining performance obligations being recognized in the remainder of 2023 and beyond.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April 2</w:t>
            </w:r>
          </w:p>
        </w:tc>
        <w:tc>
          <w:tcPr>
            <w:tcW w:w="26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April 3,</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194"/>
        </w:trPr>
        <w:tc>
          <w:tcPr>
            <w:tcW w:w="20" w:type="dxa"/>
            <w:vAlign w:val="bottom"/>
            <w:shd w:val="clear" w:color="auto" w:fill="CCEEFF"/>
          </w:tcPr>
          <w:p>
            <w:pPr>
              <w:spacing w:after="0"/>
              <w:rPr>
                <w:sz w:val="16"/>
                <w:szCs w:val="16"/>
                <w:color w:val="auto"/>
              </w:rPr>
            </w:pPr>
          </w:p>
        </w:tc>
        <w:tc>
          <w:tcPr>
            <w:tcW w:w="846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6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99,334</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114,127</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700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81,733</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69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25,653</w:t>
            </w:r>
          </w:p>
        </w:tc>
      </w:tr>
      <w:tr>
        <w:trPr>
          <w:trHeight w:val="223"/>
        </w:trPr>
        <w:tc>
          <w:tcPr>
            <w:tcW w:w="20" w:type="dxa"/>
            <w:vAlign w:val="bottom"/>
          </w:tcPr>
          <w:p>
            <w:pPr>
              <w:spacing w:after="0"/>
              <w:rPr>
                <w:sz w:val="19"/>
                <w:szCs w:val="19"/>
                <w:color w:val="auto"/>
              </w:rPr>
            </w:pPr>
          </w:p>
        </w:tc>
        <w:tc>
          <w:tcPr>
            <w:tcW w:w="84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58,047</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(“AMJPP Grant”) of $4.0 million. As part of the award, we have to meet certain requirements over a six month performance period from November 15, 2021 to May 14, 2022. As of April 2, 2022, we have received $2.0 million, all during 2021, with the remaining $2.0 million included as other current assets and expected to be received during 2022. We recorded $1.8 million and $0.2 million as a reduction of cost of sales and selling, general and administrative expenses, respectively, during the three months ended April 2, 2022. Cumulative through the three months ended April 2, 2022, we have recorded</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$2.7 million and $0.3 million as a reduction of cost of sales and selling, general and administrative expenses, respectively. The remaining $1.0 million is included as accrued and other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 Adopted in 2022</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was our interim period beginning January 1, 2022. The adoption of this standard did not have a material impact on our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have made the following elections related to our current cash flow hedging relationships as our current term loans mature before the expiration of the Forward Interest Rate Swaps: 1) Probability of forecasted transactions, and 2) Assessment of effectiveness. See Note 6.</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will continue to advance our strategy to diversify and offer more customized, value-driven engineered products with aftermarket opportunities.</w:t>
      </w:r>
    </w:p>
    <w:p>
      <w:pPr>
        <w:spacing w:after="0" w:line="4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purchase price for MagSeal was $69.5 million, net of cash acquired, all payable in cash. We paid a gross aggregate of $71.3 million in cash upon the closing of the transaction. We allocated the preliminary gross purchase price of $71.3 million to the assets acquired and liabilities assumed at their estimated fair values. The excess of the purchase price over the aggregate fair values of the net assets was recorded as goodwill.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fair value of the assets acquired and liabilities assumed at the date of acquisition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3"/>
                <w:szCs w:val="13"/>
                <w:color w:val="auto"/>
              </w:rPr>
            </w:pPr>
          </w:p>
        </w:tc>
        <w:tc>
          <w:tcPr>
            <w:tcW w:w="13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Backlog</w:t>
            </w:r>
          </w:p>
        </w:tc>
        <w:tc>
          <w:tcPr>
            <w:tcW w:w="122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3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intangible assets acquired of $30.1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 for customer relationships and backlog were estimated based on a multi-period excess earnings approach, while the value for trade name was assessed using the relief from royalty methodology. Inputs to the income approach models and other aspects of the allocation of the purchase price require judgment. The more significant inputs used in the customer relationships intangible asset valuation include (i) future revenue growth rates, (ii) projected gross margins, (iii) the customer attrition rate, and (iv) the discount rate.</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goodwill of $32.9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MagSeal acquisition, for tax purposes, is deemed an asset acquisition and thus, is deductible for income tax purposes.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transaction costs were not included as components of consideration transferred but have been expensed as incurred. Total acquisition-related transaction costs incurred by us were $0.9 million during 2021 and charged to selling, general and administrative expenses.</w:t>
      </w:r>
    </w:p>
    <w:p>
      <w:pPr>
        <w:spacing w:after="0" w:line="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MagSeal’s results of operations have been included in our condensed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0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April 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43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125,334</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150,938</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most recent goodwill impairment test of our Electronic Systems reporting unit as of the first day of the fourth quarter of 2021 was performed using a qualitative assessment and we determined it was not more likely than not that the fair value of the reporting unit was less than its carrying amount. Our most recent annual goodwill impairment test of our Structural Systems reporting unit as of the first day of the fourth quarter of 2021 was performed using a step one goodwill impairment test where the fair value of our Structural Systems reporting unit exceeded its carrying value by 72%. Thus, the respective goodwill amounts were not deemed impaired. While our business continues to be negatively impacted during the three months ended April 2, 2022 as a result of the COVID-19 pandemic, no material adverse factors/changes have occurred since the fourth quarter of 2021 that would require us to perform another qualitative or quantitative assessment. As such, for the first quarter of 2022, it was also not more likely than not that the fair values of the reporting units were less than their carrying amounts and thus, the respective goodwill amounts were not deemed to be impaired.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285,416</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203,694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203,694</w:t>
            </w:r>
          </w:p>
        </w:tc>
      </w:tr>
      <w:tr>
        <w:trPr>
          <w:trHeight w:val="21"/>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53" w:right="37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and Other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0628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as part of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330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0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April 2,</w:t>
            </w:r>
          </w:p>
        </w:tc>
        <w:tc>
          <w:tcPr>
            <w:tcW w:w="300" w:type="dxa"/>
            <w:vAlign w:val="bottom"/>
          </w:tcPr>
          <w:p>
            <w:pPr>
              <w:spacing w:after="0"/>
              <w:rPr>
                <w:sz w:val="14"/>
                <w:szCs w:val="14"/>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2021</w:t>
            </w:r>
          </w:p>
        </w:tc>
      </w:tr>
      <w:tr>
        <w:trPr>
          <w:trHeight w:val="22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r>
      <w:tr>
        <w:trPr>
          <w:trHeight w:val="230"/>
        </w:trPr>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34"/>
        </w:trPr>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580" w:type="dxa"/>
            <w:vAlign w:val="bottom"/>
            <w:gridSpan w:val="4"/>
          </w:tcPr>
          <w:p>
            <w:pPr>
              <w:jc w:val="right"/>
              <w:ind w:right="1274"/>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20" w:type="dxa"/>
            <w:vAlign w:val="bottom"/>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April 2,</w:t>
            </w:r>
          </w:p>
        </w:tc>
        <w:tc>
          <w:tcPr>
            <w:tcW w:w="340" w:type="dxa"/>
            <w:vAlign w:val="bottom"/>
          </w:tcPr>
          <w:p>
            <w:pPr>
              <w:spacing w:after="0"/>
              <w:rPr>
                <w:sz w:val="14"/>
                <w:szCs w:val="14"/>
                <w:color w:val="auto"/>
              </w:rPr>
            </w:pP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255,962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18"/>
        </w:trPr>
        <w:tc>
          <w:tcPr>
            <w:tcW w:w="42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255,962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287,712</w:t>
            </w:r>
          </w:p>
        </w:tc>
      </w:tr>
      <w:tr>
        <w:trPr>
          <w:trHeight w:val="234"/>
        </w:trPr>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(7,000)</w:t>
            </w:r>
          </w:p>
        </w:tc>
      </w:tr>
      <w:tr>
        <w:trPr>
          <w:trHeight w:val="218"/>
        </w:trPr>
        <w:tc>
          <w:tcPr>
            <w:tcW w:w="42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248,962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280,712</w:t>
            </w:r>
          </w:p>
        </w:tc>
      </w:tr>
      <w:tr>
        <w:trPr>
          <w:trHeight w:val="234"/>
        </w:trPr>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247,729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279,384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1,136</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8"/>
        </w:trPr>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bl>
    <w:p>
      <w:pPr>
        <w:spacing w:after="0" w:line="449" w:lineRule="exact"/>
        <w:rPr>
          <w:sz w:val="20"/>
          <w:szCs w:val="20"/>
          <w:color w:val="auto"/>
        </w:rPr>
      </w:pPr>
    </w:p>
    <w:p>
      <w:pPr>
        <w:sectPr>
          <w:pgSz w:w="11900" w:h="16838" w:orient="portrait"/>
          <w:cols w:equalWidth="0" w:num="2">
            <w:col w:w="6480" w:space="720"/>
            <w:col w:w="4000"/>
          </w:cols>
          <w:pgMar w:left="320" w:top="1053" w:right="37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w:t>
      </w:r>
    </w:p>
    <w:p>
      <w:pPr>
        <w:sectPr>
          <w:pgSz w:w="11900" w:h="16838" w:orient="portrait"/>
          <w:cols w:equalWidth="0" w:num="1">
            <w:col w:w="11200"/>
          </w:cols>
          <w:pgMar w:left="320" w:top="1053" w:right="37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Loan is a $140.0 million senior secured term loan that matures on December 20, 2024. We also have an existing $240.0 million senior secured term loan that was entered into in November 2018 that matures on November 21, 2025 (“2018 Term Loan”). The original amounts available under the 2019 Revolving Credit Facility, 2019 Term Loan, and 2018 Term Loan (collectively, the “Credit Facilities”) in aggregate, totaled $480.0 million.</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53" w:lineRule="auto"/>
        <w:rPr>
          <w:sz w:val="20"/>
          <w:szCs w:val="20"/>
          <w:color w:val="auto"/>
        </w:rPr>
      </w:pPr>
      <w:r>
        <w:rPr>
          <w:rFonts w:ascii="Times New Roman" w:cs="Times New Roman" w:eastAsia="Times New Roman" w:hAnsi="Times New Roman"/>
          <w:sz w:val="18"/>
          <w:szCs w:val="18"/>
          <w:color w:val="auto"/>
        </w:rPr>
        <w:t>0.50%, [b] Bank of America’s prime rate, and [c] the Eurodollar Rate plus 1.00%) plus an applicable margin ranging from 0.50% to 1.50% per year, in each case based upon the consolidated total net adjusted leverage ratio, typically payable quarterly. In addition, the 2019 Term Loan requires installment payments of 1.25% of the original outstanding principal balance of the 2019 Term Loan amount on a quarterly basis, on the last day of the calendar quarter. For the three months ended April 2, 2022, we made the required quarterly payment of $1.8 million.</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spacing w:after="0" w:line="6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1.0 but greater than 2.50 to 1.0, and (iii) zero percent of the excess cash flow amount if the consolidated adjusted leverage ratio is less than or equal to 2.50 to 1.0. We did not exceed the annual excess cash flow threshold for 2021 and thus, no annual excess cash flow payment was required to be paid during the first quarter of 2022. As of April 2, 2022, we were in compliance with all covenants required under the Credit Facilities.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entering into the 2019 Revolving Credit Facility and the 2019 Term Loan, we drew down the entire $140.0 million on the 2019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and used those proceeds to pay off and close the 2018 Revolving Credit Facility of $58.5 million, paid down a portion of the 2018 Term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 million, paid the accrued interest associated with the amounts being paid down on the 2018 Revolving Credit Facility and 2018 Term Loan, paid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related to this transaction, and the remainder available for general corporate purposes. The $56.0 million pay down on the 2018 Term Loan paid 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quarterly installment payments on the 2018 Term Loan until maturity.</w:t>
      </w:r>
    </w:p>
    <w:p>
      <w:pPr>
        <w:spacing w:after="0" w:line="8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spacing w:after="0" w:line="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as of the modification date will also be amortized over its remaining life.</w:t>
      </w:r>
    </w:p>
    <w:p>
      <w:pPr>
        <w:spacing w:after="0" w:line="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April 2, 2022, we had $99.8 million of unused borrowing capacity under the 2019 Revolving Credit Facility, after deducting $0.2 million for standby letters of credit.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Credit Facilities were entered into by us (“Parent Company”) and guaranteed by all of our domestic subsidiaries, other than two subsidiaries that were considered minor (“Subsidiary Guarantors”). The Subsidiary Guarantors jointly and severally guarantee the Credit Facilities. The Parent Company has no independent assets or operations and therefore, no consolidating financial information for the Parent Company and its subsidiaries are presented.</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Forward Interest Rate Swaps are not effective until January 1, 2024, we only recorded the changes in the fair value of the Forward Interest Rate Swaps. As such, we recorded the change in other long term assets, other long term liabilities, and other comprehensive income (loss) of $6.4 million for the three months ended April 2, 2022. See Note 1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Indemnifications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$1.6 million for the three months ended April 2, 2022 compared to $1.1 million for the three months ended April 3, 2021. The increase in income tax expense for the first quarter of 2022 compared to the first quarter of 2021 was primarily due to higher pre-tax income for the first quarter of 2022 compared to the first quarter of 2021 and lower discrete tax benefits recognized in the first quarter of 2022 for net tax windfalls related to stock-based compensation. The increase in income tax expense was partially offset by higher income tax benefits recognized in the first quarter of 2022 related to the U.S. Federal research and development tax credit.</w:t>
      </w:r>
    </w:p>
    <w:p>
      <w:pPr>
        <w:spacing w:after="0" w:line="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$4.5 million and $4.4 million as of April 2, 2022 and December 31, 2021, respectively. If recognized, $2.7 million would affect the effective tax rate. We record interest and penalty charges, if any, related to uncertain tax positions as a component of tax expense and unrecognized tax benefits. The amounts accrued for interest and penalty charges as of April 2, 2022 and December 31, 2021 were not significant. As a result of statute of limitations set to expire in the fourth quarter of 2022, we expect decreases to our unrecognized tax benefits of approximately $0.7 million in the next twelve months.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Although there is proposed legislation to temporarily reinstate the current deduction of the expenditures after 2021 through 2025, we must consider the changes under the TCJA. As of April 2, 2022, we recorded an increase to current income taxes payable by approximately $2.6 million and a decrease to net deferred tax liabilities by a similar amount. We are monitoring legislation for any further changes to Section 174 and the impact to the financial statements in 2022.</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of California, County of San Bernardino. We received service of process of this complaint on January 28, 2021. The complaint alleges violations of California’s wage and hour laws relating to our current and former employees and seeks attorney’s fees and penalties. We vigorously refuted and defended these claims, and reached a tentative settlement of $0.8 million during the fourth quarter 2021, which is subject to court approval. Thus, we recorded accrued liabilities of $0.8 million as of December 31, 2021. We are awaiting final court approval and thus, the accrued liabilities amount remains unchanged at $0.8 million as of April 2, 2022.</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April 2, 2022 and December 31, 2021, which is reflected in other long-term liabilities on our condensed consolidated balance sheets.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April 2, 2022 and December 31, 2021,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however, we are in the process of re-establishing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we wrote off property and equipment and tooling with an aggregate total net book value of $7.1 million and inventory on hand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During the three months ended April 2, 2022, we received insurance recoveries of $3.0 million for business interruption and since the contingencies related to this amount are deemed to be resolved, we recorded this amount as other income. In addition, as of April 2, 2022, we have received $13.5 million of general insurance recoveries, all during 2020. The timing of and the remaining amounts of insurance recoveries, including for business interruption, are not known at this time.</w:t>
      </w:r>
    </w:p>
    <w:p>
      <w:pPr>
        <w:spacing w:after="0" w:line="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and claims, and receive certain demands and inquiries, in both cases, including but not limited to matters relating to environmental laws. In addition, Ducommun makes various commitments, grants indemnities,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 Information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auto"/>
        </w:rPr>
        <w:t>Three Months Ended</w:t>
      </w: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2,</w:t>
            </w:r>
          </w:p>
        </w:tc>
        <w:tc>
          <w:tcPr>
            <w:tcW w:w="260" w:type="dxa"/>
            <w:vAlign w:val="bottom"/>
          </w:tcPr>
          <w:p>
            <w:pPr>
              <w:spacing w:after="0"/>
              <w:rPr>
                <w:sz w:val="13"/>
                <w:szCs w:val="13"/>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April 3,</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58,047</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157,151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540" w:right="3280" w:hanging="5289"/>
        <w:spacing w:after="0" w:line="923"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516,865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490,814</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413,955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408,118</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959,331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191,789</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152,343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341,810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20" w:hanging="329"/>
        <w:spacing w:after="0" w:line="282"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COVID-19 pandemic has had a significant impact on our overall business during the three months ended April 2,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safety of our employees remains our highest priority. The well-being and safety protocols that were already in place at all of our facilities were further enhanced at the onset of the COVID-19 pandemic. We continue to follow safety protocols consistent with guidelines provided by state and local governments and the Centers for Disease Control and Prevention (“CDC”). These measures included social distancing, provision of personal protective equipment, enhanced cleaning, and flexible work arrangements wherever possible. We have also offered enhanced leave and benefits to our employees and provided frequent updates to ensure our workforce is kept apprised of evolving regulations and safety measures.</w:t>
      </w:r>
    </w:p>
    <w:p>
      <w:pPr>
        <w:spacing w:after="0" w:line="4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was required to be paid and was paid by December 31, 2021, with the remaining 50% to be paid by December 31, 2022. As of April 2, 2022, we have deferred $3.1 million, which is included as part of accrued liabilities and other liabilities on the condensed consolidated balance sheets.</w:t>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COVID-19 pandemic has and continues to contribute to a general slowdown in the global economy and most significantly, the commercial aerospace end-use market. While both major large aircraft manufacturers, The Boeing Company (“Boeing”) and Airbus SE, have announced increases in build rates for 2022, it is well below pre-pandemic levels. In its 2021 Annual Report on Form 10-K, Boeing indicated it expects commercial air travel to return to 2019 levels in 2023 to 2024, and a few years beyond that for the industry to return to the long-term trend growth.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2022 and beyond.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recap:</w:t>
      </w:r>
    </w:p>
    <w:p>
      <w:pPr>
        <w:spacing w:after="0" w:line="12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$163.5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$8.1 million, or $0.66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$20.1 million, or 12.3%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Guaymas fire related expenses, insurance recoveries related to business interruption, and inventory purchase accounting adjustments (“Adjusted EBITDA”) were $20.1 million and $21.1 million for the three months ended April 2, 2022 and April 3, 2021, respectively.</w:t>
      </w:r>
    </w:p>
    <w:p>
      <w:pPr>
        <w:spacing w:after="0" w:line="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as measures of our liquidity. The presentation of these measures should not be interpreted to mean that our future results will be unaffected by unusual or nonrecurring items.</w:t>
      </w:r>
    </w:p>
    <w:p>
      <w:pPr>
        <w:spacing w:after="0" w:line="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58"/>
        </w:trPr>
        <w:tc>
          <w:tcPr>
            <w:tcW w:w="8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April 2,</w:t>
            </w:r>
          </w:p>
        </w:tc>
        <w:tc>
          <w:tcPr>
            <w:tcW w:w="260" w:type="dxa"/>
            <w:vAlign w:val="bottom"/>
          </w:tcPr>
          <w:p>
            <w:pPr>
              <w:spacing w:after="0"/>
              <w:rPr>
                <w:sz w:val="13"/>
                <w:szCs w:val="13"/>
                <w:color w:val="auto"/>
              </w:rPr>
            </w:pPr>
          </w:p>
        </w:tc>
        <w:tc>
          <w:tcPr>
            <w:tcW w:w="1040" w:type="dxa"/>
            <w:vAlign w:val="bottom"/>
          </w:tcPr>
          <w:p>
            <w:pPr>
              <w:jc w:val="right"/>
              <w:ind w:right="353"/>
              <w:spacing w:after="0" w:line="159" w:lineRule="exact"/>
              <w:rPr>
                <w:sz w:val="20"/>
                <w:szCs w:val="20"/>
                <w:color w:val="auto"/>
              </w:rPr>
            </w:pPr>
            <w:r>
              <w:rPr>
                <w:rFonts w:ascii="Times New Roman" w:cs="Times New Roman" w:eastAsia="Times New Roman" w:hAnsi="Times New Roman"/>
                <w:sz w:val="14"/>
                <w:szCs w:val="14"/>
                <w:color w:val="auto"/>
              </w:rPr>
              <w:t>April 3,</w:t>
            </w:r>
          </w:p>
        </w:tc>
      </w:tr>
      <w:tr>
        <w:trPr>
          <w:trHeight w:val="196"/>
        </w:trPr>
        <w:tc>
          <w:tcPr>
            <w:tcW w:w="8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6,695</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2,806</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3,423</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3,499</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3,133</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26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20,075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21,140</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of 2022 Compared to First Quarter of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00" w:type="dxa"/>
            <w:vAlign w:val="bottom"/>
            <w:gridSpan w:val="7"/>
          </w:tcPr>
          <w:p>
            <w:pPr>
              <w:jc w:val="center"/>
              <w:ind w:left="654"/>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April 2,</w:t>
            </w:r>
          </w:p>
        </w:tc>
        <w:tc>
          <w:tcPr>
            <w:tcW w:w="1100" w:type="dxa"/>
            <w:vAlign w:val="bottom"/>
            <w:gridSpan w:val="2"/>
          </w:tcPr>
          <w:p>
            <w:pPr>
              <w:jc w:val="center"/>
              <w:ind w:left="5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April 3,</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163,481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157,151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131,006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124,051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32,475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33,100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23,352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22,490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9,123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10,610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(2,402)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9,721</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7,804</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8,099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6,695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months ended April 2, 2022 and April 3, 2021, respectively,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(Dollars in thousands)</w:t>
            </w:r>
          </w:p>
        </w:tc>
        <w:tc>
          <w:tcPr>
            <w:tcW w:w="1840" w:type="dxa"/>
            <w:vAlign w:val="bottom"/>
            <w:gridSpan w:val="3"/>
          </w:tcPr>
          <w:p>
            <w:pPr>
              <w:jc w:val="right"/>
              <w:ind w:right="53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April 2,</w:t>
            </w:r>
          </w:p>
        </w:tc>
        <w:tc>
          <w:tcPr>
            <w:tcW w:w="100" w:type="dxa"/>
            <w:vAlign w:val="bottom"/>
          </w:tcPr>
          <w:p>
            <w:pPr>
              <w:spacing w:after="0"/>
              <w:rPr>
                <w:sz w:val="11"/>
                <w:szCs w:val="11"/>
                <w:color w:val="auto"/>
              </w:rPr>
            </w:pP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April 3,</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April 2,</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April 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4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8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(14,793)</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99,334</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114,127</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157,151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26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71,820</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81,733</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82.5 %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524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58,047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April 2, 2022 were $163.5 million, compared to $157.2 million for the three months ended April 3, 2021. The year-over-year increase was primarily due to the following:</w:t>
      </w:r>
    </w:p>
    <w:p>
      <w:pPr>
        <w:spacing w:after="0" w:line="40"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million higher revenues in our commercial aerospace end-use markets due to higher build rates on large aircraft platforms, other commercial aerospace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million lower revenues in our military and space end-use markets due to lower build rates on other military and space platforms, various missile platforms, and military rotary-wing aircraft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284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248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30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3080" w:type="dxa"/>
            <w:vAlign w:val="bottom"/>
          </w:tcPr>
          <w:p>
            <w:pPr>
              <w:spacing w:after="0"/>
              <w:rPr>
                <w:sz w:val="11"/>
                <w:szCs w:val="11"/>
                <w:color w:val="auto"/>
              </w:rPr>
            </w:pPr>
          </w:p>
        </w:tc>
        <w:tc>
          <w:tcPr>
            <w:tcW w:w="13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April 2,</w:t>
            </w:r>
          </w:p>
        </w:tc>
        <w:tc>
          <w:tcPr>
            <w:tcW w:w="1180" w:type="dxa"/>
            <w:vAlign w:val="bottom"/>
          </w:tcPr>
          <w:p>
            <w:pPr>
              <w:jc w:val="right"/>
              <w:ind w:right="275"/>
              <w:spacing w:after="0" w:line="129" w:lineRule="exact"/>
              <w:rPr>
                <w:sz w:val="20"/>
                <w:szCs w:val="20"/>
                <w:color w:val="auto"/>
              </w:rPr>
            </w:pPr>
            <w:r>
              <w:rPr>
                <w:rFonts w:ascii="Times New Roman" w:cs="Times New Roman" w:eastAsia="Times New Roman" w:hAnsi="Times New Roman"/>
                <w:sz w:val="14"/>
                <w:szCs w:val="14"/>
                <w:color w:val="auto"/>
              </w:rPr>
              <w:t>April 3,</w:t>
            </w:r>
          </w:p>
        </w:tc>
      </w:tr>
      <w:tr>
        <w:trPr>
          <w:trHeight w:val="196"/>
        </w:trPr>
        <w:tc>
          <w:tcPr>
            <w:tcW w:w="30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30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r>
    </w:tbl>
    <w:p>
      <w:pPr>
        <w:spacing w:after="0" w:line="148" w:lineRule="exact"/>
        <w:rPr>
          <w:sz w:val="20"/>
          <w:szCs w:val="20"/>
          <w:color w:val="auto"/>
        </w:rPr>
      </w:pPr>
    </w:p>
    <w:p>
      <w:pPr>
        <w:ind w:left="340" w:right="80" w:hanging="332"/>
        <w:spacing w:after="0" w:line="312" w:lineRule="auto"/>
        <w:tabs>
          <w:tab w:leader="none" w:pos="33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Boeing Company (“Boeing”), General Dynamics Corporation (“GD”), Lockheed Martin Corporation (“Lockheed”), Northrop Grumman Corporation (“Northrop”), and Raytheon Technologies Corporation (“Raytheon”) for the three months ended April 2, 2022 and April 3, 2021.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Lockheed, Northrop, and Raytheon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April 2,</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bl>
    <w:p>
      <w:pPr>
        <w:spacing w:after="0" w:line="15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GD, Lockheed, Northrop, and Raytheon,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decreased year-over-year with the three months ended April 2, 2022 of 19.9%, compared to the three months ended April 3, 2021 of 21.1% primarily due to unfavorable product mix, partially offset by lower compensation and benefits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SG&amp;A expenses increased $0.9 million year-over-year in the three months ended April 2, 2022 compared to the three months ended April 3, 2021 primarily due to one-time severance charges of $1.2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year-over-year in the three months ended April 2, 2022 compared to the three months ended April 3, 2021 primarily due to a lower outstanding debt balance, partially offset by higher interest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$1.6 million for the three months ended April 2, 2022, compared to $1.1 million for the three months ended April 3, 2021. The increase in income tax expense for the first quarter of 2022 compared to the first quarter of 2021 was primarily due to higher pre-tax income for the first quarter of 2022 compared to the first quarter of 2021 and lower discrete tax benefits recognized in the first quarter of 2022 for net tax windfalls related to stock-based compensation. The increase in income tax expense was partially offset by higher income tax benefits recognized in the first quarter of 2022 mainly related to the U.S. Federal research and development tax credit.</w:t>
      </w:r>
    </w:p>
    <w:p>
      <w:pPr>
        <w:spacing w:after="0" w:line="4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$4.5 million and $4.4 million as of April 2, 2022 and December 31, 2021, respectively. If recognized, $2.7 million would affect the effective tax rate. We record interest and penalty charges, if any, related to uncertain tax positions as a component of tax expense and unrecognized tax benefits. The amounts accrued for interest and penalty charges as of April 2, 2022 and December 31, 2021 were not significant. As a result of statute of limitations set to expire in the fourth quarter of 2022, we expect decreases to our unrecognized tax benefits of approximately $0.7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2017 and by state taxing authorities for tax years after 2016.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Tax Cuts and Jobs Act of 2017 (“TCJA”), which was signed into U.S. law in December 2017, eliminated the option to immediately deduct research and development expenditures in the year incurred under Section 174 effective January 1, 2022. The amended provision under Section 174 requires us to capitalize and amortize these expenditures over five years (for U.S.-based research). Although there is proposed legislation to temporarily reinstate the current deduction of the expenditures after 2021 through 2025, we must consider the changes under the TCJA. As of April 2, 2022, we recorded an increase to current income taxes payable by approximately $2.6 million and a decrease to net deferred tax liabilities by a similar amount. We are monitoring legislation for any further changes to Section 174 and the impact to the financial statements in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April 2, 2022 were $8.1 million, or $0.66 per diluted share, compared to $6.7 million, or $0.55 per diluted share, for the three months ended April 3, 2021. The increase in net income for the three months ended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April 2, 2022 compared to the three months ended April 3, 2021 was primarily due to higher other income of $3.0 million, partially offset by higher selling, general and administrative expenses of $0.9 million.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months ended April 2, 2022 and April 3,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6"/>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520" w:type="dxa"/>
            <w:vAlign w:val="bottom"/>
          </w:tcPr>
          <w:p>
            <w:pPr>
              <w:spacing w:after="0"/>
              <w:rPr>
                <w:sz w:val="11"/>
                <w:szCs w:val="11"/>
                <w:color w:val="auto"/>
              </w:rPr>
            </w:pP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gridSpan w:val="3"/>
          </w:tcPr>
          <w:p>
            <w:pPr>
              <w:jc w:val="right"/>
              <w:ind w:right="49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6520" w:type="dxa"/>
            <w:vAlign w:val="bottom"/>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April 2,</w:t>
            </w:r>
          </w:p>
        </w:tc>
        <w:tc>
          <w:tcPr>
            <w:tcW w:w="80" w:type="dxa"/>
            <w:vAlign w:val="bottom"/>
          </w:tcPr>
          <w:p>
            <w:pPr>
              <w:spacing w:after="0"/>
              <w:rPr>
                <w:sz w:val="11"/>
                <w:szCs w:val="11"/>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April 3,</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April 2,</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auto"/>
              </w:rPr>
              <w:t>April 3,</w:t>
            </w:r>
          </w:p>
        </w:tc>
        <w:tc>
          <w:tcPr>
            <w:tcW w:w="0" w:type="dxa"/>
            <w:vAlign w:val="bottom"/>
          </w:tcPr>
          <w:p>
            <w:pPr>
              <w:spacing w:after="0"/>
              <w:rPr>
                <w:sz w:val="1"/>
                <w:szCs w:val="1"/>
                <w:color w:val="auto"/>
              </w:rPr>
            </w:pPr>
          </w:p>
        </w:tc>
      </w:tr>
      <w:tr>
        <w:trPr>
          <w:trHeight w:val="140"/>
        </w:trPr>
        <w:tc>
          <w:tcPr>
            <w:tcW w:w="6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2021</w:t>
            </w:r>
          </w:p>
        </w:tc>
        <w:tc>
          <w:tcPr>
            <w:tcW w:w="0" w:type="dxa"/>
            <w:vAlign w:val="bottom"/>
          </w:tcPr>
          <w:p>
            <w:pPr>
              <w:spacing w:after="0"/>
              <w:rPr>
                <w:sz w:val="1"/>
                <w:szCs w:val="1"/>
                <w:color w:val="auto"/>
              </w:rPr>
            </w:pP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97,466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63.1 %</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40.4 %</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36.9 %</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Net 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163,481</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157,151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 xml:space="preserve">Corporate General and Administrative Expenses </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Operating Income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9,123</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Guaymas fire related expenses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Inventory Purchase Accounting Adjustments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 xml:space="preserve">Corporate General and Administrative Expenses </w:t>
            </w:r>
            <w:r>
              <w:rPr>
                <w:rFonts w:ascii="Times New Roman" w:cs="Times New Roman" w:eastAsia="Times New Roman" w:hAnsi="Times New Roman"/>
                <w:sz w:val="16"/>
                <w:szCs w:val="16"/>
                <w:color w:val="auto"/>
                <w:vertAlign w:val="superscript"/>
              </w:rPr>
              <w:t>(1)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Loss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shd w:val="clear" w:color="auto" w:fill="CCEEFF"/>
          </w:tcPr>
          <w:p>
            <w:pPr>
              <w:ind w:left="880"/>
              <w:spacing w:after="0" w:line="148" w:lineRule="exact"/>
              <w:rPr>
                <w:sz w:val="20"/>
                <w:szCs w:val="20"/>
                <w:color w:val="auto"/>
              </w:rPr>
            </w:pPr>
            <w:r>
              <w:rPr>
                <w:rFonts w:ascii="Times New Roman" w:cs="Times New Roman" w:eastAsia="Times New Roman" w:hAnsi="Times New Roman"/>
                <w:sz w:val="13"/>
                <w:szCs w:val="13"/>
                <w:color w:val="auto"/>
              </w:rPr>
              <w:t>Adjusted EBITDA</w:t>
            </w: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20,075</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21,140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12.3 %</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13.5 %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5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Corporate Administration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Capital Expenditures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Includes costs not allocated to either the Electronic Systems or Structural Systems operating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April 2, 2022 compared to the three months ended April 3, 2021 decreased $1.6 million primarily due to the following:</w:t>
      </w:r>
    </w:p>
    <w:p>
      <w:pPr>
        <w:spacing w:after="0" w:line="27" w:lineRule="exact"/>
        <w:rPr>
          <w:sz w:val="20"/>
          <w:szCs w:val="20"/>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lower revenues in our military and space end-use markets due to lower build rates on other military and space platforms and various missile platforms; partially offset by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higher revenues in our commercial aerospace end-use markets due to higher build rates on other commercial aerospace platforms.</w:t>
      </w:r>
    </w:p>
    <w:p>
      <w:pPr>
        <w:spacing w:after="0" w:line="10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April 2, 2022 compared to the three months ended April 3, 2021 decreased $3.1 million primarily due to unfavorable manufacturing volume and unfavorable product mix.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Systems net revenues in the three months ended April 2, 2022 compared to the three months ended April 3, 2021 increased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million primarily due to the following:</w:t>
      </w:r>
    </w:p>
    <w:p>
      <w:pPr>
        <w:spacing w:after="0" w:line="90" w:lineRule="exact"/>
        <w:rPr>
          <w:sz w:val="20"/>
          <w:szCs w:val="20"/>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 million higher revenues in our commercial aerospace end-use markets due to higher build rates on large aircraft platforms and regional and business aircraft platforms; partially offset by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lower revenues in our military and space end-use markets due to lower build rates on military rotary-wing aircraft platforms.</w:t>
      </w:r>
    </w:p>
    <w:p>
      <w:pPr>
        <w:spacing w:after="0" w:line="104"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Structural Systems segment operating income in the three months ended April 2, 2022 compared to the three months ended April 3, 2021 decreased $0.2 million primarily due to unfavorable product mix, partially offset by favorable manufacturing volume and lower compensation and benefits costs.</w:t>
      </w:r>
    </w:p>
    <w:p>
      <w:pPr>
        <w:spacing w:after="0" w:line="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is being absorbed by our other existing performance centers, however, we are in the process of re-establishing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7 and Note 9 to our condensed consolidated financial statements included in Part I, Item 1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CG&amp;A expenses decreased $1.8 million for the three months ended April 2, 2022 compared to the three months ended April 3, 2021 primarily due to lower compensation and benefits costs of $1.8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backlog was primarily in the commercial aerospace end-use market, partially offset by a decrease in the military and space end-use market. $664.0 million of total backlog is expected to be delivered over the next 12 months. The following table summarizes our backlog as of April 2, 2022 and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April 2,</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509,165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520,278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2021</w:t>
            </w:r>
          </w:p>
        </w:tc>
      </w:tr>
      <w:tr>
        <w:trPr>
          <w:trHeight w:val="23"/>
        </w:trPr>
        <w:tc>
          <w:tcPr>
            <w:tcW w:w="7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287.7</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We made the mandatory quarterly principal prepayment under the 2019 Term Loan during the three months ended April 2, 2022 of $1.8 million. In addition, if we meet the annual excess cash flow threshold, we are required to make an annual additional principal payment on the 2018 Term Loan based on the consolidated adjusted leverage ratio. We did not exceed the annual excess cash flow threshold for 2021 and thus, no annual excess cash flow payment was required to be paid during the first quarter of 2022. Further, the undrawn portion of the commitment of the 2019 Revolving Credit Facility is subject to a commitment fee ranging from 0.175% to 0.275%, based upon the consolidated total net adjusted leverage ratio. As of April 2, 2022, we were in compliance with all covenants required under the Credit Facilities. See Note 6 to our condensed consolidated financial statements included in Part I, Item 1 of this Form 10-Q for further information.</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Subsequent to our quarter ended April 2, 2022, in April 2022, management approved and commenced a restructuring plan mainly to reduce headcount, consolidate facilities, write-down inventory, and impair long-lived assets to better position us for stronger performance. We currently anticipate this initiative will result in $10.0 million to $14.0 million in total pre-tax restructuring charges over the next 12 months. Of these charges, we estimate $4.0 million to be cash payments for employee separation and other facility consolidation related expenses, and $6.0 million to $10.0 million to be non-cash charges for the write-down of inventory and impairment of long-lived assets. On an annualized basis, we anticipate these restructuring actions will result in total cost savings of $3.0 million to $4.0 million. See Note 1 to our condensed consolidated financial statements included in Part I, Item 1 of this Form 10-Q for further information.</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6 to our condensed consolidated financial statements included in Part I, Item 1 of this Form 10-Q for further information.</w:t>
      </w:r>
    </w:p>
    <w:p>
      <w:pPr>
        <w:spacing w:after="0" w:line="6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December 2021, we acquired MagSeal for a purchase price of $69.5 million, net of cash acquired, all payable in cash. Upon the closing of the transaction, we paid a gross total aggregate of $71.3 million in cash, a portion of which was by drawing down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the 2019 Revolving Credit Facility. This draw down on the 2019 Revolving Credit Facility was paid off by December 31, 2021. See Note 2 to our condensed consolidated financial statements included in Part I, Item 1 of this Form 10-Q for further information.</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a sale-leaseback transaction for the building and related land for our Gardena performance center located in Carson, California (“Sale-Leaseback Agreement”). The building and related land was sold for $141.3 million and we recognized a gain of $132.5 million. As part of the Sale-Leaseback Agreement, we entered into an initial five year lease for the usage of the just sold building and related land. The future minimum base monthly lease payments during the initial five year period in aggregate total $19.6 million.</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to spend a total of $16.0 million to $18.0 million for capital expenditures in 2022 (excluding capital expenditures we will spend to restore the manufacturing capabilities related to our Guaymas performance center that was severely damaged by fire in June 2020), financed by cash generated from operations, principally to support new contract awards in Electronic Systems and Structural Systems.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2022 could be delayed as a result of the ongoing COVID-19 pandemic.</w:t>
      </w:r>
    </w:p>
    <w:p>
      <w:pPr>
        <w:spacing w:after="0" w:line="6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April 2, 2022 was $18.9 million, compared to $23.4 million for the three months ended April 3, 2021. The lower net cash used in operating activities during the first three months of 2022 was mainly due to higher accounts payable and higher net income, partially offset by lower accrued and other liabilities, higher contract assets, higher accounts receivable, and higher inventories.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$4.8 million for the three months ended April 2, 2022, compared to $4.5 million in the three months ended April 3, 2021. The higher net cash used during the first three months of 2022 compared to the prior year period was mainly due to higher purchases of property and equipment.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$33.4 million for the three months ended April 2, 2022, compared to $11.6 million for the three months ended April 3, 2021. The higher net cash used in financing activities during the first three months of 2022 was mainly due to the $30.0 million pay down on term loans during the three months ended April 2,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2021 Annual Report on Form 10-K. There have been no material changes in any of our critical accounting policies during the three months ended April 2,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and U.K. interest rates on our outstanding long-term debt. At April 2, 2022, we had total borrowings of $256.0 million under our Credit Facilities.</w:t>
      </w:r>
    </w:p>
    <w:p>
      <w:pPr>
        <w:spacing w:after="0" w:line="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Times New Roman" w:cs="Times New Roman" w:eastAsia="Times New Roman" w:hAnsi="Times New Roman"/>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April 2, 2022 that have materially affected, or are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our condensed consolidated financial statements included in Part I, Item 1 of this Form 10-Q for a description of our legal proceedings.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2021 for a discussion of our risk factors. There have been no material changes during the three months ended April 2, 2022 to the risk factors disclosed in our Form 10-K for the year ended December 31, 2021.</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580" w:hanging="566"/>
        <w:spacing w:after="0" w:line="282"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2.4 Agreement of Purchase and Sale and Agreement to Enter into Lease dated as of December 16, 2021 by and among Ducommun Aerostructures, Inc. and</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Centerpoint 268 Gardena LLC. Incorporated by reference to Exhibit 2.1 to Form 8-K filed on December 20, 2021.</w:t>
        </w:r>
      </w:hyperlink>
    </w:p>
    <w:p>
      <w:pPr>
        <w:spacing w:after="0" w:line="5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360" w:hanging="323"/>
        <w:spacing w:after="0" w:line="282"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3.3 Bylaws as amended and restated on March 19, 2013. Incorporated by reference to Exhibit 99.1 to Form 8-K dated March 22, 2013.</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3.4 Amendment to Bylaws dated January 5, 2017. Incorporated by reference to Exhibit 99.2 to Form 8-K dated January 9, 2017.</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3.5 Amendment to Bylaws dated February 21, 2018. Incorporated by reference to Exhibit 3.1 to Form 8-K dated February 26, 2018.</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3.6 Amendment to Bylaws dated March 5, 2021. Incorporated by reference to Exhibit 3.1 to Form 8-K dated March 8, 2021.</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10-K for the year ended December 31, 2019.</w:t>
        </w:r>
      </w:hyperlink>
    </w:p>
    <w:p>
      <w:pPr>
        <w:spacing w:after="0" w:line="99" w:lineRule="exact"/>
        <w:rPr>
          <w:sz w:val="20"/>
          <w:szCs w:val="20"/>
          <w:color w:val="auto"/>
        </w:rPr>
      </w:pPr>
    </w:p>
    <w:p>
      <w:pPr>
        <w:ind w:left="420" w:right="740" w:hanging="404"/>
        <w:spacing w:after="0" w:line="282" w:lineRule="auto"/>
        <w:rPr>
          <w:sz w:val="20"/>
          <w:szCs w:val="20"/>
          <w:color w:val="auto"/>
        </w:rPr>
      </w:pPr>
      <w:r>
        <w:rPr>
          <w:rFonts w:ascii="Times New Roman" w:cs="Times New Roman" w:eastAsia="Times New Roman" w:hAnsi="Times New Roman"/>
          <w:sz w:val="18"/>
          <w:szCs w:val="18"/>
          <w:u w:val="single" w:color="auto"/>
          <w:color w:val="0000FF"/>
        </w:rPr>
        <w:t>10.1 Joinder Agreement to Amended and Restated Credit Agreement dated as of April 15, 2022, by and among Magnetic Seal LLC as Subsidiary Guarantor, Ducommun Incorporated as Borrower, and Bank of America, N.A. as Administrative Agent.</w:t>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10.2 Second Amendment to Amended and Restated Credit Agreement entered into on March 20, 2020. Incorporated by reference to Exhibit 10.1 to Form</w:t>
        </w:r>
      </w:hyperlink>
    </w:p>
    <w:p>
      <w:pPr>
        <w:spacing w:after="0" w:line="27"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10-Q for the period ended October 2, 2021.</w:t>
        </w:r>
      </w:hyperlink>
    </w:p>
    <w:p>
      <w:pPr>
        <w:spacing w:after="0" w:line="99" w:lineRule="exact"/>
        <w:rPr>
          <w:sz w:val="20"/>
          <w:szCs w:val="20"/>
          <w:color w:val="auto"/>
        </w:rPr>
      </w:pPr>
    </w:p>
    <w:p>
      <w:pPr>
        <w:ind w:left="420" w:right="180" w:hanging="404"/>
        <w:spacing w:after="0" w:line="261" w:lineRule="auto"/>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10.3 Incremental Term Loan Lender Joinder Agreement and Additional Credit Extension Amendment, dated as of December 20, 2019, by and among</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Ducommun Incorporated, as Borrower, the subsidiaries of the Borrower party thereto, as Guarantors, Bank of America, N.A., as Administrative</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Agent, Swingline Lender and an L.C. Issuer, and the lender party thereto. Incorporated by reference to Exhibit 10.1 to Form 8-K filed on December</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20, 2019.</w:t>
        </w:r>
      </w:hyperlink>
    </w:p>
    <w:p>
      <w:pPr>
        <w:spacing w:after="0" w:line="72" w:lineRule="exact"/>
        <w:rPr>
          <w:rFonts w:ascii="Times New Roman" w:cs="Times New Roman" w:eastAsia="Times New Roman" w:hAnsi="Times New Roman"/>
          <w:sz w:val="18"/>
          <w:szCs w:val="18"/>
          <w:u w:val="single" w:color="auto"/>
          <w:color w:val="0000FF"/>
        </w:rPr>
      </w:pPr>
    </w:p>
    <w:p>
      <w:pPr>
        <w:ind w:left="420" w:right="100" w:hanging="404"/>
        <w:spacing w:after="0" w:line="266"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10.4 Amended and Restated Credit Agreement, dated as of November 21, 2018, among Ducommun Incorporated, certain of its subsidiaries, Bank of</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America, N.A., as administrative agent, swingline lender and issuing bank, and other lenders party thereto. Incorporated by reference to Exhibit 10.1</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to Form 8-K filed on November 26, 2018.</w:t>
        </w:r>
      </w:hyperlink>
    </w:p>
    <w:p>
      <w:pPr>
        <w:spacing w:after="0" w:line="68" w:lineRule="exact"/>
        <w:rPr>
          <w:rFonts w:ascii="Times New Roman" w:cs="Times New Roman" w:eastAsia="Times New Roman" w:hAnsi="Times New Roman"/>
          <w:sz w:val="18"/>
          <w:szCs w:val="18"/>
          <w:u w:val="single" w:color="auto"/>
          <w:color w:val="0000FF"/>
        </w:rPr>
      </w:pPr>
    </w:p>
    <w:p>
      <w:pPr>
        <w:ind w:left="500" w:right="580" w:hanging="485"/>
        <w:spacing w:after="0" w:line="282"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*10.5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Schedule 14a, filed on March 23, 2018.</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*10.6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*10.7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2018.</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*10.8 2020 Employee Stock Purchase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2020.</w:t>
        </w:r>
      </w:hyperlink>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*10.9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2003.</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*10.10 Form of Stock Option Agreement for 2017. Incorporated by reference to Exhibit 10.5 to Form 10-K for the year ended December 31, 2016.</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*10.11 Form of Stock Option Agreement for 2018 and after. Incorporated by reference to Exhibit 4.7 to Form S-8, filed on May 10, 2018.</w:t>
        </w:r>
      </w:hyperlink>
    </w:p>
    <w:p>
      <w:pPr>
        <w:spacing w:after="0" w:line="117" w:lineRule="exact"/>
        <w:rPr>
          <w:sz w:val="20"/>
          <w:szCs w:val="20"/>
          <w:color w:val="auto"/>
        </w:rPr>
      </w:pPr>
    </w:p>
    <w:p>
      <w:pPr>
        <w:ind w:left="580" w:right="540" w:hanging="566"/>
        <w:spacing w:after="0" w:line="282"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*10.12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December 31, 2016.</w:t>
        </w:r>
      </w:hyperlink>
    </w:p>
    <w:p>
      <w:pPr>
        <w:spacing w:after="0" w:line="54"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*10.13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*10.14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27, 2020.</w:t>
        </w:r>
      </w:hyperlink>
    </w:p>
    <w:p>
      <w:pPr>
        <w:spacing w:after="0" w:line="99"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*10.15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5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74">
        <w:r>
          <w:rPr>
            <w:rFonts w:ascii="Times New Roman" w:cs="Times New Roman" w:eastAsia="Times New Roman" w:hAnsi="Times New Roman"/>
            <w:sz w:val="17"/>
            <w:szCs w:val="17"/>
            <w:u w:val="single" w:color="auto"/>
            <w:color w:val="0000FF"/>
          </w:rPr>
          <w:t>*10.16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*10.17 Form of Stock Option Agreement for 2020 and after. Incorporated by reference to Exhibit 10.21 to Form 10-Q for the period ended June 27, 2020.</w:t>
        </w:r>
      </w:hyperlink>
    </w:p>
    <w:p>
      <w:pPr>
        <w:spacing w:after="0" w:line="117"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*10.18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June 27, 2020.</w:t>
        </w:r>
      </w:hyperlink>
    </w:p>
    <w:p>
      <w:pPr>
        <w:spacing w:after="0" w:line="54"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*10.19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Form 10-K for the year ended December 31, 2009.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*10.20 Non Qualified Deferred Compensation. Incorporated by reference to Exhibit 4.6 to Form S-8 dated November 26, 2019.</w:t>
        </w:r>
      </w:hyperlink>
    </w:p>
    <w:p>
      <w:pPr>
        <w:spacing w:after="0" w:line="117"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*10.21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to Exhibit 99.1 to Form 8-K dated January 27, 2017.</w:t>
        </w:r>
      </w:hyperlink>
    </w:p>
    <w:p>
      <w:pPr>
        <w:spacing w:after="0" w:line="54"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*10.22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82" w:lineRule="exact"/>
        <w:rPr>
          <w:rFonts w:ascii="Times New Roman" w:cs="Times New Roman" w:eastAsia="Times New Roman" w:hAnsi="Times New Roman"/>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Date of Agreement</w:t>
            </w:r>
          </w:p>
        </w:tc>
      </w:tr>
      <w:tr>
        <w:trPr>
          <w:trHeight w:val="245"/>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312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171"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*10.23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Exhibit 99.1 to Form 8-K dated January 9, 2017.</w:t>
        </w:r>
      </w:hyperlink>
    </w:p>
    <w:p>
      <w:pPr>
        <w:spacing w:after="0" w:line="40" w:lineRule="exact"/>
        <w:rPr>
          <w:sz w:val="20"/>
          <w:szCs w:val="20"/>
          <w:color w:val="auto"/>
        </w:rPr>
      </w:pPr>
    </w:p>
    <w:p>
      <w:pPr>
        <w:ind w:left="580" w:right="160" w:hanging="566"/>
        <w:spacing w:after="0" w:line="28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*10.24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10.25</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Director/Officer</w:t>
            </w:r>
          </w:p>
        </w:tc>
        <w:tc>
          <w:tcPr>
            <w:tcW w:w="18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December 31, 1985</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June 1, 2021</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8"/>
              </w:rPr>
              <w:t>December 30, 2021</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18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27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January 1, 2016</w:t>
            </w:r>
          </w:p>
        </w:tc>
      </w:tr>
      <w:tr>
        <w:trPr>
          <w:trHeight w:val="378"/>
        </w:trPr>
        <w:tc>
          <w:tcPr>
            <w:tcW w:w="4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0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D. Wampler</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D. Wampler</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117"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April 15, 2022, is by and among Magnetic Seal LLC, a Delaware limited liability company (the “</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Ducommun Incorporated,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Bank of</w:t>
      </w:r>
    </w:p>
    <w:p>
      <w:pPr>
        <w:spacing w:after="0" w:line="212" w:lineRule="auto"/>
        <w:rPr>
          <w:sz w:val="20"/>
          <w:szCs w:val="20"/>
          <w:color w:val="auto"/>
        </w:rPr>
      </w:pPr>
      <w:r>
        <w:rPr>
          <w:rFonts w:ascii="Times New Roman" w:cs="Times New Roman" w:eastAsia="Times New Roman" w:hAnsi="Times New Roman"/>
          <w:sz w:val="20"/>
          <w:szCs w:val="20"/>
          <w:color w:val="auto"/>
        </w:rPr>
        <w:t>America, N.A., in its capacity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Amended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Restated Credit Agreement, dated as of November 21, 2018 (as amended, extended, restated, replaced, supplemented or otherwise modified in accordance with the terms thereof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Borrower, the Guarantors party thereto,</w:t>
      </w:r>
    </w:p>
    <w:p>
      <w:pPr>
        <w:spacing w:after="0" w:line="211" w:lineRule="auto"/>
        <w:rPr>
          <w:sz w:val="20"/>
          <w:szCs w:val="20"/>
          <w:color w:val="auto"/>
        </w:rPr>
      </w:pPr>
      <w:r>
        <w:rPr>
          <w:rFonts w:ascii="Times New Roman" w:cs="Times New Roman" w:eastAsia="Times New Roman" w:hAnsi="Times New Roman"/>
          <w:sz w:val="20"/>
          <w:szCs w:val="20"/>
          <w:color w:val="auto"/>
        </w:rPr>
        <w:t>the Lenders from time to time party thereto and Bank of America, N.A., as Administrative Agent, Swingline Lender and an L/C Issuer.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herein but not otherwise defined shall have the meanings provided in the Credit Agreement.</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Loan Parties are required by Section 6.13 of the Credit Agreement to cause the Subsidiary Guarantor to become a “Guarantor” thereunder.</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Accordingly, the Subsidiary Guarantor and the Borrower hereby agree as follows with the Administrative Agent, for the benefit of the Secured Parties:</w:t>
      </w:r>
    </w:p>
    <w:p>
      <w:pPr>
        <w:spacing w:after="0" w:line="161" w:lineRule="exact"/>
        <w:rPr>
          <w:sz w:val="20"/>
          <w:szCs w:val="20"/>
          <w:color w:val="auto"/>
        </w:rPr>
      </w:pPr>
    </w:p>
    <w:p>
      <w:pPr>
        <w:jc w:val="both"/>
        <w:ind w:firstLine="656"/>
        <w:spacing w:after="0" w:line="213" w:lineRule="auto"/>
        <w:tabs>
          <w:tab w:leader="none" w:pos="105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Subsidiary Guarantor hereby acknowledges, agrees and confirms that, by its execution of this Agreement, the Subsidiary Guarantor will be deemed to be a party to and a “Guarantor” under the Credit Agreement and shall have all of the rights and obligations of a Guarantor thereunder as if it had executed the Credit Agreement and the other Loan Documents as a Guarantor. The Subsidiary Guarantor hereby ratifies, as of the date hereof, and agrees to be bound by, all representations and warranties, covenants and other terms, conditions and provisions of the Credit Agreement and the other applicable Loan Documents, in each case that are made or applicable to the Subsidiary Guarantor. Without limiting the generality of the foregoing terms of this </w:t>
      </w:r>
      <w:r>
        <w:rPr>
          <w:rFonts w:ascii="Times New Roman" w:cs="Times New Roman" w:eastAsia="Times New Roman" w:hAnsi="Times New Roman"/>
          <w:sz w:val="20"/>
          <w:szCs w:val="20"/>
          <w:u w:val="single" w:color="auto"/>
          <w:color w:val="auto"/>
        </w:rPr>
        <w:t>Paragraph 1</w:t>
      </w:r>
      <w:r>
        <w:rPr>
          <w:rFonts w:ascii="Times New Roman" w:cs="Times New Roman" w:eastAsia="Times New Roman" w:hAnsi="Times New Roman"/>
          <w:sz w:val="20"/>
          <w:szCs w:val="20"/>
          <w:color w:val="auto"/>
        </w:rPr>
        <w:t>, the Subsidiary Guarantor hereby guarantees, jointly and severally together with the other Guarantors, the prompt payment of the Secured Obligations in accordance with Article X of the Credit Agreement.</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01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Subsidiary Guarantor (to the extent applicable thereto) and the Borrower hereby agree that all of the representations and warranties contained in Article II and Article V of the Credit Agreement or any other Loan Document, or which are contained in any document furnished at any time under or in connection herewith or therewith, are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w:t>
      </w:r>
    </w:p>
    <w:p>
      <w:pPr>
        <w:spacing w:after="0" w:line="164" w:lineRule="exact"/>
        <w:rPr>
          <w:rFonts w:ascii="Times New Roman" w:cs="Times New Roman" w:eastAsia="Times New Roman" w:hAnsi="Times New Roman"/>
          <w:sz w:val="20"/>
          <w:szCs w:val="20"/>
          <w:color w:val="auto"/>
        </w:rPr>
      </w:pPr>
    </w:p>
    <w:p>
      <w:pPr>
        <w:jc w:val="both"/>
        <w:ind w:firstLine="656"/>
        <w:spacing w:after="0" w:line="215" w:lineRule="auto"/>
        <w:tabs>
          <w:tab w:leader="none" w:pos="105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Subsidiary Guarantor hereby acknowledges, agrees and confirms that, by its execution of this Agreement, the Subsidiary Guarantor will be deemed to be a party to the Security Agreement, and shall have all the obligations of a “Grantor” (as such term is defined in the Security Agreement) thereunder as if it had executed the Security Agreement. The Subsidiary Guarantor hereby ratifies, as of the date hereof, and agrees to be bound by, all of the terms, provisions and conditions contained in the Security Agreement. Without limiting the generality of the foregoing terms of this </w:t>
      </w:r>
      <w:r>
        <w:rPr>
          <w:rFonts w:ascii="Times New Roman" w:cs="Times New Roman" w:eastAsia="Times New Roman" w:hAnsi="Times New Roman"/>
          <w:sz w:val="20"/>
          <w:szCs w:val="20"/>
          <w:u w:val="single" w:color="auto"/>
          <w:color w:val="auto"/>
        </w:rPr>
        <w:t>Paragraph 3</w:t>
      </w:r>
      <w:r>
        <w:rPr>
          <w:rFonts w:ascii="Times New Roman" w:cs="Times New Roman" w:eastAsia="Times New Roman" w:hAnsi="Times New Roman"/>
          <w:sz w:val="20"/>
          <w:szCs w:val="20"/>
          <w:color w:val="auto"/>
        </w:rPr>
        <w:t>, the Subsidiary Guarantor hereby grants to the Administrative Agent, for the benefit of the Secured Parties, a continuing security interest in, and a right of set off against any and all right, title and interest of the Subsidiary Guarantor in and to the Collateral (as such term is defined in Section 2 of the Security Agreement) of the Subsidiary Guarantor.</w:t>
      </w:r>
    </w:p>
    <w:p>
      <w:pPr>
        <w:spacing w:after="0" w:line="150" w:lineRule="exact"/>
        <w:rPr>
          <w:rFonts w:ascii="Times New Roman" w:cs="Times New Roman" w:eastAsia="Times New Roman" w:hAnsi="Times New Roman"/>
          <w:sz w:val="20"/>
          <w:szCs w:val="20"/>
          <w:color w:val="auto"/>
        </w:rPr>
      </w:pPr>
    </w:p>
    <w:p>
      <w:pPr>
        <w:jc w:val="both"/>
        <w:ind w:firstLine="656"/>
        <w:spacing w:after="0" w:line="220" w:lineRule="auto"/>
        <w:tabs>
          <w:tab w:leader="none" w:pos="105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Subsidiary Guarantor hereby acknowledges, agrees and confirms that, by its execution of this Agreement, the Subsidiary Guarantor will be deemed to be a party to the Pledge Agreement, and shall have all the rights and obligations of a “Pledgor” (as such term is defined in the Pledge Agreement) thereunder as if it had executed the Pledge Agreement. The Subsidiary Guarantor hereby ratifies, as of the date hereof, and agrees to be bound by, all of the terms, provisions and conditions contained in the Pledge Agreement. Without limiting the generality of the foregoing terms of this </w:t>
      </w:r>
      <w:r>
        <w:rPr>
          <w:rFonts w:ascii="Times New Roman" w:cs="Times New Roman" w:eastAsia="Times New Roman" w:hAnsi="Times New Roman"/>
          <w:sz w:val="20"/>
          <w:szCs w:val="20"/>
          <w:u w:val="single" w:color="auto"/>
          <w:color w:val="auto"/>
        </w:rPr>
        <w:t>Paragraph 4</w:t>
      </w:r>
      <w:r>
        <w:rPr>
          <w:rFonts w:ascii="Times New Roman" w:cs="Times New Roman" w:eastAsia="Times New Roman" w:hAnsi="Times New Roman"/>
          <w:sz w:val="20"/>
          <w:szCs w:val="20"/>
          <w:color w:val="auto"/>
        </w:rPr>
        <w:t>, the Subsidiary Guarantor hereby grants to the Administrative Agent, for the benefit of</w:t>
      </w:r>
    </w:p>
    <w:p>
      <w:pPr>
        <w:sectPr>
          <w:pgSz w:w="11900" w:h="16838" w:orient="portrait"/>
          <w:cols w:equalWidth="0" w:num="1">
            <w:col w:w="11240"/>
          </w:cols>
          <w:pgMar w:left="320" w:top="1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the Secured Parties, a continuing security interest in, and a right of set off against any and all right, title and interest of the Subsidiary Guarantor in and to the Pledged Collateral (as such term is defined in Section 2 of the Pledge Agreement) of the Subsidiary Guarantor.</w:t>
      </w:r>
    </w:p>
    <w:p>
      <w:pPr>
        <w:spacing w:after="0" w:line="148" w:lineRule="exact"/>
        <w:rPr>
          <w:sz w:val="20"/>
          <w:szCs w:val="20"/>
          <w:color w:val="auto"/>
        </w:rPr>
      </w:pPr>
    </w:p>
    <w:p>
      <w:pPr>
        <w:jc w:val="both"/>
        <w:ind w:firstLine="656"/>
        <w:spacing w:after="0" w:line="230"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 acknowledges and confirms that it has received a copy of the Credit Agreement and the schedules and exhibits thereto and each other Loan Document and the schedules and exhibits thereto. The Subsidiary Guarantor hereby represents and warrants to the Administrative Agent, for the benefit of the Secured Parties, that: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4" w:lineRule="auto"/>
        <w:tabs>
          <w:tab w:leader="none" w:pos="1764"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attached hereto is complete and accurate list as of the date hereof of (i) all Subsidiaries, joint ventures and partnerships and other equity investments of the Subsidiary Guarantor, (ii) the number of shares of each class of Equity Interests in each Subsidiary Guarantor outstanding, (iii) the number and percentage of outstanding shares of each class of Equity Interests owned by the Subsidiary Guarantor and its Subsidiaries, (iv) the class or nature of such Equity Interests (i.e. voting, non-voting, preferred, etc.), and (v) identification of each Subsidiary that is an Excluded Subsidiary, a CFC Holdco or an Immaterial Subsidiary. The outstanding Equity Interests in all Restricted Subsidiaries of the Subsidiary Guarantor are validly issued, fully paid and non-assessable and are owned free and clear of all Liens (other than Permitted Liens). There are no outstanding subscriptions, options, warrants, calls, rights or other agreements or commitments (other than stock options granted to employees or directors and directors’ qualifying shares) of any nature relating to the Equity Interests of the Subsidiary Guarantor (other than as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attached hereto) or any Restricted Subsidiary thereof, except as contemplated in connection with the Loan Documents.</w:t>
      </w:r>
    </w:p>
    <w:p>
      <w:pPr>
        <w:spacing w:after="0" w:line="161" w:lineRule="exact"/>
        <w:rPr>
          <w:rFonts w:ascii="Times New Roman" w:cs="Times New Roman" w:eastAsia="Times New Roman" w:hAnsi="Times New Roman"/>
          <w:sz w:val="19"/>
          <w:szCs w:val="19"/>
          <w:color w:val="auto"/>
        </w:rPr>
      </w:pPr>
    </w:p>
    <w:p>
      <w:pPr>
        <w:jc w:val="both"/>
        <w:ind w:left="660" w:firstLine="644"/>
        <w:spacing w:after="0" w:line="217" w:lineRule="auto"/>
        <w:tabs>
          <w:tab w:leader="none" w:pos="188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hereto is a complete and accurate list as of the date hereof of the Subsidiary Guarantor’s (i) exact legal name, (ii) former legal names in the four (4) months prior to the date hereof, if any, (iii) jurisdiction of its incorporation or organization, as applicable, (iv) type of organization, (v) jurisdictions in which the Subsidiary Guarantor is qualified to do business, (vi) chief executive office address, (vii) principal place of business address, (viii) U.S. federal taxpayer identification number, and (ix) organization identification number.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77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attached hereto is a list of all Intellectual Property registered or pending registration with the United States Copyright Office or the United States Patent and Trademark Office and owned by the Subsidiary Guarantor as of the date hereof. Except for such claims and infringements that could not reasonably be expected to have a Material Adverse Effect, no claim has been asserted and is pending by any Person challenging or questioning the use of such Intellectual Property or the validity or effectiveness of such Intellectual Property, nor does the Subsidiary Guarantor know of any such claim, and, to the knowledge of the Subsidiary Guarantor, the use of such Intellectual Property by such Subsidiary Guarantor or the granting of a right or a license in respect of such Intellectual Property from the Subsidiary Guarantor does not infringe on the rights of any Person. As of the date hereof, none of the Intellectual Property owned by the Subsidiary Guarantor is subject to any licensing agreement or similar arrangement except as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xml:space="preserve"> attached hereto.</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7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attached hereto is a description of all deposit accounts and securities accounts of the Subsidiary Guarantor as of the date hereof, including (i) in the case of a deposit account, the depository institution and average daily balance (as of the close of business) held in such deposit account and whether such account is an Excluded Deposit and Securities Account, and (ii) in the case of a securities account, the securities intermediary or issuer and the average aggregate daily market value (as of the close of business) held in such securities account, as applicable, and whether such account is an Excluded Deposit and Securities Account.</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74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attached hereto is a list of all real property located in the United States that is owned or leased by the Subsidiary Guarantor as of the date hereof (in each case, including (i) the number of buildings located on such property, (ii) the property address, and (iii) the city, county, state and zip code which such property is located).</w:t>
      </w:r>
    </w:p>
    <w:p>
      <w:pPr>
        <w:sectPr>
          <w:pgSz w:w="11900" w:h="16838" w:orient="portrait"/>
          <w:cols w:equalWidth="0" w:num="1">
            <w:col w:w="11240"/>
          </w:cols>
          <w:pgMar w:left="320" w:top="1399" w:right="339" w:bottom="1440" w:gutter="0" w:footer="0" w:header="0"/>
        </w:sectPr>
      </w:pPr>
    </w:p>
    <w:bookmarkStart w:id="39" w:name="page40"/>
    <w:bookmarkEnd w:id="39"/>
    <w:p>
      <w:pPr>
        <w:ind w:firstLine="656"/>
        <w:spacing w:after="0"/>
        <w:tabs>
          <w:tab w:leader="none" w:pos="105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and contact information of the Subsidiary Guarantor for purposes of all notices and other communications is the same as the address and contact information for the Borrower as set forth in Schedule 1.01(a) of the Credit Agreement.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00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 hereby waives acceptance by the Administrative Agent and the Secured Parties of the guaranty by the Subsidiary Guarantor under Article X of the Credit Agreement upon the execution of this Agreement by the Subsidiary Guarantor.</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02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confirms that the Credit Agreement is, and upon the Subsidiary Guarantor becoming a Guarantor, shall continue to be, in full force and effect. The parties hereto confirm and agree that immediately upon the Subsidiary Guarantor becoming a Guarantor the term “Obligations,” as used in the Credit Agreement, shall include all obligations of the Subsidiary Guarantor under the Credit Agreement and under each other Loan Document.</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99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the Subsidiary Guarantor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Agreement.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09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12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governed by and construed and enforced in accordance with the laws of the State of New York. The terms of Sections 11.14 and 11.15 of the Credit Agreement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399"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9"/>
          <w:szCs w:val="19"/>
          <w:color w:val="auto"/>
        </w:rPr>
        <w:t>IN WITNESS WHEREOF, each of the Borrower and the Subsidiary Guarantor has caused this Agreement to be duly executed by its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authorized officer, and the Administrative Agent, for the benefit of the Secured Parties, has caused the same to be accepted by its authorized officer, as of the day and year first above written.</w:t>
      </w:r>
    </w:p>
    <w:p>
      <w:pPr>
        <w:spacing w:after="0" w:line="156"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SUBSIDIARY GUARANTOR:</w:t>
      </w:r>
      <w:r>
        <w:rPr>
          <w:sz w:val="20"/>
          <w:szCs w:val="20"/>
          <w:color w:val="auto"/>
        </w:rPr>
        <w:tab/>
      </w:r>
      <w:r>
        <w:rPr>
          <w:rFonts w:ascii="Times New Roman" w:cs="Times New Roman" w:eastAsia="Times New Roman" w:hAnsi="Times New Roman"/>
          <w:sz w:val="19"/>
          <w:szCs w:val="19"/>
          <w:color w:val="auto"/>
        </w:rPr>
        <w:t>MAGNETIC SEAL LLC,</w:t>
      </w:r>
    </w:p>
    <w:p>
      <w:pPr>
        <w:ind w:left="2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-7620</wp:posOffset>
            </wp:positionV>
            <wp:extent cx="1374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Stephen G. Oswald</w:t>
      </w:r>
    </w:p>
    <w:p>
      <w:pPr>
        <w:ind w:left="42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4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color w:val="auto"/>
        </w:rPr>
        <w:t>DUCOMMUN INCORPORATED,</w:t>
      </w:r>
    </w:p>
    <w:p>
      <w:pPr>
        <w:ind w:left="42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By: /s/ Stephen G. Oswald</w:t>
      </w:r>
    </w:p>
    <w:p>
      <w:pPr>
        <w:ind w:left="4220"/>
        <w:spacing w:after="0" w:line="211" w:lineRule="auto"/>
        <w:rPr>
          <w:sz w:val="20"/>
          <w:szCs w:val="20"/>
          <w:color w:val="auto"/>
        </w:rPr>
      </w:pPr>
      <w:r>
        <w:rPr>
          <w:rFonts w:ascii="Times New Roman" w:cs="Times New Roman" w:eastAsia="Times New Roman" w:hAnsi="Times New Roman"/>
          <w:sz w:val="20"/>
          <w:szCs w:val="20"/>
          <w:color w:val="auto"/>
        </w:rPr>
        <w:t>Name: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-127000</wp:posOffset>
            </wp:positionV>
            <wp:extent cx="13747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0"/>
          <w:szCs w:val="20"/>
          <w:color w:val="auto"/>
        </w:rPr>
        <w:t>Title: Chairman, President and Chief Executive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accepted and agreed: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w:t>
      </w:r>
    </w:p>
    <w:p>
      <w:pPr>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Denise Jones</w:t>
      </w:r>
    </w:p>
    <w:p>
      <w:pPr>
        <w:spacing w:after="0" w:line="211" w:lineRule="auto"/>
        <w:rPr>
          <w:sz w:val="20"/>
          <w:szCs w:val="20"/>
          <w:color w:val="auto"/>
        </w:rPr>
      </w:pPr>
      <w:r>
        <w:rPr>
          <w:rFonts w:ascii="Times New Roman" w:cs="Times New Roman" w:eastAsia="Times New Roman" w:hAnsi="Times New Roman"/>
          <w:sz w:val="20"/>
          <w:szCs w:val="20"/>
          <w:color w:val="auto"/>
        </w:rPr>
        <w:t>Name: Denise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-127000</wp:posOffset>
            </wp:positionV>
            <wp:extent cx="1186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1240"/>
          </w:cols>
          <w:pgMar w:left="320" w:top="1399" w:right="33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1</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Subsidiaries, Joint Ventures, Partnerships and Other Equity Investments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260" w:type="dxa"/>
            <w:vAlign w:val="bottom"/>
            <w:tcBorders>
              <w:top w:val="single" w:sz="8" w:color="auto"/>
              <w:left w:val="single" w:sz="8" w:color="auto"/>
              <w:right w:val="single" w:sz="8" w:color="auto"/>
            </w:tcBorders>
            <w:shd w:val="clear" w:color="auto" w:fill="D9D9D9"/>
          </w:tcPr>
          <w:p>
            <w:pPr>
              <w:ind w:left="860"/>
              <w:spacing w:after="0"/>
              <w:rPr>
                <w:sz w:val="20"/>
                <w:szCs w:val="20"/>
                <w:color w:val="auto"/>
              </w:rPr>
            </w:pPr>
            <w:r>
              <w:rPr>
                <w:rFonts w:ascii="Times New Roman" w:cs="Times New Roman" w:eastAsia="Times New Roman" w:hAnsi="Times New Roman"/>
                <w:sz w:val="20"/>
                <w:szCs w:val="20"/>
                <w:color w:val="auto"/>
              </w:rPr>
              <w:t>Owner</w:t>
            </w:r>
          </w:p>
        </w:tc>
        <w:tc>
          <w:tcPr>
            <w:tcW w:w="22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Subsidiary</w:t>
            </w:r>
          </w:p>
        </w:tc>
        <w:tc>
          <w:tcPr>
            <w:tcW w:w="2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Number of Shares of Each</w:t>
            </w:r>
          </w:p>
        </w:tc>
        <w:tc>
          <w:tcPr>
            <w:tcW w:w="22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Number and Percentage of</w:t>
            </w:r>
          </w:p>
        </w:tc>
        <w:tc>
          <w:tcPr>
            <w:tcW w:w="2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Class/Nature of Equity</w:t>
            </w:r>
          </w:p>
        </w:tc>
      </w:tr>
      <w:tr>
        <w:trPr>
          <w:trHeight w:val="268"/>
        </w:trPr>
        <w:tc>
          <w:tcPr>
            <w:tcW w:w="2260" w:type="dxa"/>
            <w:vAlign w:val="bottom"/>
            <w:tcBorders>
              <w:left w:val="single" w:sz="8" w:color="auto"/>
              <w:right w:val="single" w:sz="8" w:color="auto"/>
            </w:tcBorders>
            <w:shd w:val="clear" w:color="auto" w:fill="D9D9D9"/>
          </w:tcPr>
          <w:p>
            <w:pPr>
              <w:spacing w:after="0"/>
              <w:rPr>
                <w:sz w:val="23"/>
                <w:szCs w:val="23"/>
                <w:color w:val="auto"/>
              </w:rPr>
            </w:pPr>
          </w:p>
        </w:tc>
        <w:tc>
          <w:tcPr>
            <w:tcW w:w="2240" w:type="dxa"/>
            <w:vAlign w:val="bottom"/>
            <w:tcBorders>
              <w:right w:val="single" w:sz="8" w:color="auto"/>
            </w:tcBorders>
            <w:shd w:val="clear" w:color="auto" w:fill="D9D9D9"/>
          </w:tcPr>
          <w:p>
            <w:pPr>
              <w:spacing w:after="0"/>
              <w:rPr>
                <w:sz w:val="23"/>
                <w:szCs w:val="23"/>
                <w:color w:val="auto"/>
              </w:rPr>
            </w:pPr>
          </w:p>
        </w:tc>
        <w:tc>
          <w:tcPr>
            <w:tcW w:w="22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Class of Equity Interests in</w:t>
            </w:r>
          </w:p>
        </w:tc>
        <w:tc>
          <w:tcPr>
            <w:tcW w:w="22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Outstanding Shares of Each</w:t>
            </w:r>
          </w:p>
        </w:tc>
        <w:tc>
          <w:tcPr>
            <w:tcW w:w="22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Interests</w:t>
            </w:r>
          </w:p>
        </w:tc>
      </w:tr>
      <w:tr>
        <w:trPr>
          <w:trHeight w:val="258"/>
        </w:trPr>
        <w:tc>
          <w:tcPr>
            <w:tcW w:w="2260" w:type="dxa"/>
            <w:vAlign w:val="bottom"/>
            <w:tcBorders>
              <w:left w:val="single" w:sz="8" w:color="auto"/>
              <w:right w:val="single" w:sz="8" w:color="auto"/>
            </w:tcBorders>
            <w:shd w:val="clear" w:color="auto" w:fill="D9D9D9"/>
          </w:tcPr>
          <w:p>
            <w:pPr>
              <w:spacing w:after="0"/>
              <w:rPr>
                <w:sz w:val="22"/>
                <w:szCs w:val="22"/>
                <w:color w:val="auto"/>
              </w:rPr>
            </w:pPr>
          </w:p>
        </w:tc>
        <w:tc>
          <w:tcPr>
            <w:tcW w:w="2240" w:type="dxa"/>
            <w:vAlign w:val="bottom"/>
            <w:tcBorders>
              <w:right w:val="single" w:sz="8" w:color="auto"/>
            </w:tcBorders>
            <w:shd w:val="clear" w:color="auto" w:fill="D9D9D9"/>
          </w:tcPr>
          <w:p>
            <w:pPr>
              <w:spacing w:after="0"/>
              <w:rPr>
                <w:sz w:val="22"/>
                <w:szCs w:val="22"/>
                <w:color w:val="auto"/>
              </w:rPr>
            </w:pPr>
          </w:p>
        </w:tc>
        <w:tc>
          <w:tcPr>
            <w:tcW w:w="22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Subsidiary Outstanding</w:t>
            </w:r>
          </w:p>
        </w:tc>
        <w:tc>
          <w:tcPr>
            <w:tcW w:w="22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Class of Equity Interests</w:t>
            </w:r>
          </w:p>
        </w:tc>
        <w:tc>
          <w:tcPr>
            <w:tcW w:w="2260" w:type="dxa"/>
            <w:vAlign w:val="bottom"/>
            <w:tcBorders>
              <w:right w:val="single" w:sz="8" w:color="auto"/>
            </w:tcBorders>
            <w:shd w:val="clear" w:color="auto" w:fill="D9D9D9"/>
          </w:tcPr>
          <w:p>
            <w:pPr>
              <w:spacing w:after="0"/>
              <w:rPr>
                <w:sz w:val="22"/>
                <w:szCs w:val="22"/>
                <w:color w:val="auto"/>
              </w:rPr>
            </w:pPr>
          </w:p>
        </w:tc>
      </w:tr>
      <w:tr>
        <w:trPr>
          <w:trHeight w:val="309"/>
        </w:trPr>
        <w:tc>
          <w:tcPr>
            <w:tcW w:w="226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2240" w:type="dxa"/>
            <w:vAlign w:val="bottom"/>
            <w:tcBorders>
              <w:bottom w:val="single" w:sz="8" w:color="D9D9D9"/>
              <w:right w:val="single" w:sz="8" w:color="auto"/>
            </w:tcBorders>
            <w:shd w:val="clear" w:color="auto" w:fill="D9D9D9"/>
          </w:tcPr>
          <w:p>
            <w:pPr>
              <w:spacing w:after="0"/>
              <w:rPr>
                <w:sz w:val="24"/>
                <w:szCs w:val="24"/>
                <w:color w:val="auto"/>
              </w:rPr>
            </w:pPr>
          </w:p>
        </w:tc>
        <w:tc>
          <w:tcPr>
            <w:tcW w:w="2260" w:type="dxa"/>
            <w:vAlign w:val="bottom"/>
            <w:tcBorders>
              <w:bottom w:val="single" w:sz="8" w:color="D9D9D9"/>
              <w:right w:val="single" w:sz="8" w:color="auto"/>
            </w:tcBorders>
            <w:shd w:val="clear" w:color="auto" w:fill="D9D9D9"/>
          </w:tcPr>
          <w:p>
            <w:pPr>
              <w:spacing w:after="0"/>
              <w:rPr>
                <w:sz w:val="24"/>
                <w:szCs w:val="24"/>
                <w:color w:val="auto"/>
              </w:rPr>
            </w:pPr>
          </w:p>
        </w:tc>
        <w:tc>
          <w:tcPr>
            <w:tcW w:w="2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226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70"/>
        </w:trPr>
        <w:tc>
          <w:tcPr>
            <w:tcW w:w="22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N/A</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r>
        <w:trPr>
          <w:trHeight w:val="48"/>
        </w:trPr>
        <w:tc>
          <w:tcPr>
            <w:tcW w:w="226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399" w:right="319" w:bottom="1440" w:gutter="0" w:footer="0" w:header="0"/>
        </w:sectPr>
      </w:pPr>
    </w:p>
    <w:bookmarkStart w:id="42" w:name="page43"/>
    <w:bookmarkEnd w:id="42"/>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2</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Subsidiary Information</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Exact Legal</w:t>
            </w:r>
          </w:p>
        </w:tc>
        <w:tc>
          <w:tcPr>
            <w:tcW w:w="1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Former Legal</w:t>
            </w: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Jurisdiction of</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w w:val="99"/>
              </w:rPr>
              <w:t>Type of</w:t>
            </w:r>
          </w:p>
        </w:tc>
        <w:tc>
          <w:tcPr>
            <w:tcW w:w="1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Jurisdictions</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Chief Executive</w:t>
            </w:r>
          </w:p>
        </w:tc>
        <w:tc>
          <w:tcPr>
            <w:tcW w:w="1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Principal Place</w:t>
            </w:r>
          </w:p>
        </w:tc>
        <w:tc>
          <w:tcPr>
            <w:tcW w:w="14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w w:val="99"/>
              </w:rPr>
              <w:t>U.S. Taxpayer</w:t>
            </w:r>
          </w:p>
        </w:tc>
        <w:tc>
          <w:tcPr>
            <w:tcW w:w="10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OIN</w:t>
            </w:r>
          </w:p>
        </w:tc>
      </w:tr>
      <w:tr>
        <w:trPr>
          <w:trHeight w:val="216"/>
        </w:trPr>
        <w:tc>
          <w:tcPr>
            <w:tcW w:w="11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w w:val="99"/>
              </w:rPr>
              <w:t>Name</w:t>
            </w:r>
          </w:p>
        </w:tc>
        <w:tc>
          <w:tcPr>
            <w:tcW w:w="12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Names in Four</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Incorporation</w:t>
            </w: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Organization</w:t>
            </w:r>
          </w:p>
        </w:tc>
        <w:tc>
          <w:tcPr>
            <w:tcW w:w="13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Qualified to do</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Office Address</w:t>
            </w:r>
          </w:p>
        </w:tc>
        <w:tc>
          <w:tcPr>
            <w:tcW w:w="10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of Business</w:t>
            </w:r>
          </w:p>
        </w:tc>
        <w:tc>
          <w:tcPr>
            <w:tcW w:w="14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Identification</w:t>
            </w:r>
          </w:p>
        </w:tc>
        <w:tc>
          <w:tcPr>
            <w:tcW w:w="1040" w:type="dxa"/>
            <w:vAlign w:val="bottom"/>
            <w:tcBorders>
              <w:right w:val="single" w:sz="8" w:color="auto"/>
            </w:tcBorders>
            <w:shd w:val="clear" w:color="auto" w:fill="D9D9D9"/>
          </w:tcPr>
          <w:p>
            <w:pPr>
              <w:spacing w:after="0"/>
              <w:rPr>
                <w:sz w:val="18"/>
                <w:szCs w:val="18"/>
                <w:color w:val="auto"/>
              </w:rPr>
            </w:pPr>
          </w:p>
        </w:tc>
      </w:tr>
      <w:tr>
        <w:trPr>
          <w:trHeight w:val="267"/>
        </w:trPr>
        <w:tc>
          <w:tcPr>
            <w:tcW w:w="110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12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Months Prior</w:t>
            </w:r>
          </w:p>
        </w:tc>
        <w:tc>
          <w:tcPr>
            <w:tcW w:w="1460" w:type="dxa"/>
            <w:vAlign w:val="bottom"/>
            <w:tcBorders>
              <w:bottom w:val="single" w:sz="8" w:color="D9D9D9"/>
              <w:right w:val="single" w:sz="8" w:color="auto"/>
            </w:tcBorders>
            <w:shd w:val="clear" w:color="auto" w:fill="D9D9D9"/>
          </w:tcPr>
          <w:p>
            <w:pPr>
              <w:spacing w:after="0"/>
              <w:rPr>
                <w:sz w:val="22"/>
                <w:szCs w:val="22"/>
                <w:color w:val="auto"/>
              </w:rPr>
            </w:pPr>
          </w:p>
        </w:tc>
        <w:tc>
          <w:tcPr>
            <w:tcW w:w="1400" w:type="dxa"/>
            <w:vAlign w:val="bottom"/>
            <w:tcBorders>
              <w:bottom w:val="single" w:sz="8" w:color="D9D9D9"/>
              <w:right w:val="single" w:sz="8" w:color="auto"/>
            </w:tcBorders>
            <w:shd w:val="clear" w:color="auto" w:fill="D9D9D9"/>
          </w:tcPr>
          <w:p>
            <w:pPr>
              <w:spacing w:after="0"/>
              <w:rPr>
                <w:sz w:val="22"/>
                <w:szCs w:val="22"/>
                <w:color w:val="auto"/>
              </w:rPr>
            </w:pPr>
          </w:p>
        </w:tc>
        <w:tc>
          <w:tcPr>
            <w:tcW w:w="13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Business</w:t>
            </w:r>
          </w:p>
        </w:tc>
        <w:tc>
          <w:tcPr>
            <w:tcW w:w="1120" w:type="dxa"/>
            <w:vAlign w:val="bottom"/>
            <w:tcBorders>
              <w:bottom w:val="single" w:sz="8" w:color="D9D9D9"/>
              <w:right w:val="single" w:sz="8" w:color="auto"/>
            </w:tcBorders>
            <w:shd w:val="clear" w:color="auto" w:fill="D9D9D9"/>
          </w:tcPr>
          <w:p>
            <w:pPr>
              <w:spacing w:after="0"/>
              <w:rPr>
                <w:sz w:val="22"/>
                <w:szCs w:val="22"/>
                <w:color w:val="auto"/>
              </w:rPr>
            </w:pPr>
          </w:p>
        </w:tc>
        <w:tc>
          <w:tcPr>
            <w:tcW w:w="10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w w:val="99"/>
              </w:rPr>
              <w:t>Address</w:t>
            </w:r>
          </w:p>
        </w:tc>
        <w:tc>
          <w:tcPr>
            <w:tcW w:w="14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1040" w:type="dxa"/>
            <w:vAlign w:val="bottom"/>
            <w:tcBorders>
              <w:bottom w:val="single" w:sz="8" w:color="D9D9D9"/>
              <w:right w:val="single" w:sz="8" w:color="auto"/>
            </w:tcBorders>
            <w:shd w:val="clear" w:color="auto" w:fill="D9D9D9"/>
          </w:tcPr>
          <w:p>
            <w:pPr>
              <w:spacing w:after="0"/>
              <w:rPr>
                <w:sz w:val="22"/>
                <w:szCs w:val="22"/>
                <w:color w:val="auto"/>
              </w:rPr>
            </w:pPr>
          </w:p>
        </w:tc>
      </w:tr>
      <w:tr>
        <w:trPr>
          <w:trHeight w:val="217"/>
        </w:trPr>
        <w:tc>
          <w:tcPr>
            <w:tcW w:w="1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Magnetic Seal</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Magnetic Seal</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Limited Liability</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Rhode Island</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365 Market St.,</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365 Market</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05-0274345</w:t>
            </w:r>
          </w:p>
        </w:tc>
        <w:tc>
          <w:tcPr>
            <w:tcW w:w="1040" w:type="dxa"/>
            <w:vAlign w:val="bottom"/>
            <w:tcBorders>
              <w:top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6469997</w:t>
            </w:r>
          </w:p>
        </w:tc>
      </w:tr>
      <w:tr>
        <w:trPr>
          <w:trHeight w:val="216"/>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LLC</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Corp., a Rhode</w:t>
            </w:r>
          </w:p>
        </w:tc>
        <w:tc>
          <w:tcPr>
            <w:tcW w:w="14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Warren, RI</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St., Warren, RI</w:t>
            </w:r>
          </w:p>
        </w:tc>
        <w:tc>
          <w:tcPr>
            <w:tcW w:w="14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Island corporation</w:t>
            </w:r>
          </w:p>
        </w:tc>
        <w:tc>
          <w:tcPr>
            <w:tcW w:w="14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02885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02885</w:t>
            </w:r>
          </w:p>
        </w:tc>
        <w:tc>
          <w:tcPr>
            <w:tcW w:w="14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47"/>
        </w:trPr>
        <w:tc>
          <w:tcPr>
            <w:tcW w:w="110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440" w:right="319" w:bottom="1440" w:gutter="0" w:footer="0" w:header="0"/>
        </w:sectPr>
      </w:pPr>
    </w:p>
    <w:bookmarkStart w:id="43" w:name="page44"/>
    <w:bookmarkEnd w:id="43"/>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3</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Pending Patent Applications</w:t>
      </w:r>
      <w:r>
        <w:rPr>
          <w:rFonts w:ascii="Times New Roman" w:cs="Times New Roman" w:eastAsia="Times New Roman" w:hAnsi="Times New Roman"/>
          <w:sz w:val="22"/>
          <w:szCs w:val="22"/>
          <w:color w:val="auto"/>
        </w:rPr>
        <w:t>:</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356"/>
        </w:trPr>
        <w:tc>
          <w:tcPr>
            <w:tcW w:w="1100" w:type="dxa"/>
            <w:vAlign w:val="bottom"/>
            <w:tcBorders>
              <w:top w:val="single" w:sz="8" w:color="auto"/>
              <w:left w:val="single" w:sz="8" w:color="auto"/>
              <w:bottom w:val="single" w:sz="8" w:color="F2F2F2"/>
              <w:right w:val="single" w:sz="8" w:color="F2F2F2"/>
            </w:tcBorders>
            <w:gridSpan w:val="2"/>
            <w:shd w:val="clear" w:color="auto" w:fill="F2F2F2"/>
          </w:tcPr>
          <w:p>
            <w:pPr>
              <w:ind w:left="40"/>
              <w:spacing w:after="0"/>
              <w:rPr>
                <w:sz w:val="20"/>
                <w:szCs w:val="20"/>
                <w:color w:val="auto"/>
              </w:rPr>
            </w:pPr>
            <w:r>
              <w:rPr>
                <w:rFonts w:ascii="Times New Roman" w:cs="Times New Roman" w:eastAsia="Times New Roman" w:hAnsi="Times New Roman"/>
                <w:sz w:val="22"/>
                <w:szCs w:val="22"/>
                <w:b w:val="1"/>
                <w:bCs w:val="1"/>
                <w:color w:val="auto"/>
              </w:rPr>
              <w:t>Country</w:t>
            </w:r>
          </w:p>
        </w:tc>
        <w:tc>
          <w:tcPr>
            <w:tcW w:w="220" w:type="dxa"/>
            <w:vAlign w:val="bottom"/>
            <w:tcBorders>
              <w:top w:val="single" w:sz="8" w:color="auto"/>
              <w:bottom w:val="single" w:sz="8" w:color="F2F2F2"/>
              <w:right w:val="single" w:sz="8" w:color="auto"/>
            </w:tcBorders>
            <w:shd w:val="clear" w:color="auto" w:fill="F2F2F2"/>
          </w:tcPr>
          <w:p>
            <w:pPr>
              <w:spacing w:after="0"/>
              <w:rPr>
                <w:sz w:val="24"/>
                <w:szCs w:val="24"/>
                <w:color w:val="auto"/>
              </w:rPr>
            </w:pPr>
          </w:p>
        </w:tc>
        <w:tc>
          <w:tcPr>
            <w:tcW w:w="1560" w:type="dxa"/>
            <w:vAlign w:val="bottom"/>
            <w:tcBorders>
              <w:top w:val="single" w:sz="8" w:color="auto"/>
              <w:bottom w:val="single" w:sz="8" w:color="F2F2F2"/>
              <w:right w:val="single" w:sz="8" w:color="F2F2F2"/>
            </w:tcBorders>
            <w:gridSpan w:val="2"/>
            <w:shd w:val="clear" w:color="auto" w:fill="F2F2F2"/>
          </w:tcPr>
          <w:p>
            <w:pPr>
              <w:ind w:left="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500" w:type="dxa"/>
            <w:vAlign w:val="bottom"/>
            <w:tcBorders>
              <w:top w:val="single" w:sz="8" w:color="auto"/>
              <w:bottom w:val="single" w:sz="8" w:color="F2F2F2"/>
              <w:right w:val="single" w:sz="8" w:color="F2F2F2"/>
            </w:tcBorders>
            <w:shd w:val="clear" w:color="auto" w:fill="F2F2F2"/>
          </w:tcPr>
          <w:p>
            <w:pPr>
              <w:spacing w:after="0"/>
              <w:rPr>
                <w:sz w:val="24"/>
                <w:szCs w:val="24"/>
                <w:color w:val="auto"/>
              </w:rPr>
            </w:pPr>
          </w:p>
        </w:tc>
        <w:tc>
          <w:tcPr>
            <w:tcW w:w="260" w:type="dxa"/>
            <w:vAlign w:val="bottom"/>
            <w:tcBorders>
              <w:top w:val="single" w:sz="8" w:color="auto"/>
              <w:bottom w:val="single" w:sz="8" w:color="F2F2F2"/>
              <w:right w:val="single" w:sz="8" w:color="auto"/>
            </w:tcBorders>
            <w:shd w:val="clear" w:color="auto" w:fill="F2F2F2"/>
          </w:tcPr>
          <w:p>
            <w:pPr>
              <w:spacing w:after="0"/>
              <w:rPr>
                <w:sz w:val="24"/>
                <w:szCs w:val="24"/>
                <w:color w:val="auto"/>
              </w:rPr>
            </w:pPr>
          </w:p>
        </w:tc>
        <w:tc>
          <w:tcPr>
            <w:tcW w:w="1240" w:type="dxa"/>
            <w:vAlign w:val="bottom"/>
            <w:tcBorders>
              <w:top w:val="single" w:sz="8" w:color="auto"/>
              <w:bottom w:val="single" w:sz="8" w:color="F2F2F2"/>
              <w:right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22"/>
                <w:szCs w:val="22"/>
                <w:b w:val="1"/>
                <w:bCs w:val="1"/>
                <w:color w:val="auto"/>
              </w:rPr>
              <w:t>Status</w:t>
            </w:r>
          </w:p>
        </w:tc>
        <w:tc>
          <w:tcPr>
            <w:tcW w:w="1520" w:type="dxa"/>
            <w:vAlign w:val="bottom"/>
            <w:tcBorders>
              <w:top w:val="single" w:sz="8" w:color="auto"/>
              <w:bottom w:val="single" w:sz="8" w:color="F2F2F2"/>
              <w:right w:val="single" w:sz="8" w:color="F2F2F2"/>
            </w:tcBorders>
            <w:shd w:val="clear" w:color="auto" w:fill="F2F2F2"/>
          </w:tcPr>
          <w:p>
            <w:pPr>
              <w:ind w:left="60"/>
              <w:spacing w:after="0"/>
              <w:rPr>
                <w:sz w:val="20"/>
                <w:szCs w:val="20"/>
                <w:color w:val="auto"/>
              </w:rPr>
            </w:pPr>
            <w:r>
              <w:rPr>
                <w:rFonts w:ascii="Times New Roman" w:cs="Times New Roman" w:eastAsia="Times New Roman" w:hAnsi="Times New Roman"/>
                <w:sz w:val="22"/>
                <w:szCs w:val="22"/>
                <w:b w:val="1"/>
                <w:bCs w:val="1"/>
                <w:color w:val="auto"/>
              </w:rPr>
              <w:t>App. No.</w:t>
            </w:r>
          </w:p>
        </w:tc>
        <w:tc>
          <w:tcPr>
            <w:tcW w:w="480" w:type="dxa"/>
            <w:vAlign w:val="bottom"/>
            <w:tcBorders>
              <w:top w:val="single" w:sz="8" w:color="auto"/>
              <w:bottom w:val="single" w:sz="8" w:color="F2F2F2"/>
              <w:right w:val="single" w:sz="8" w:color="auto"/>
            </w:tcBorders>
            <w:shd w:val="clear" w:color="auto" w:fill="F2F2F2"/>
          </w:tcPr>
          <w:p>
            <w:pPr>
              <w:spacing w:after="0"/>
              <w:rPr>
                <w:sz w:val="24"/>
                <w:szCs w:val="24"/>
                <w:color w:val="auto"/>
              </w:rPr>
            </w:pPr>
          </w:p>
        </w:tc>
        <w:tc>
          <w:tcPr>
            <w:tcW w:w="1600" w:type="dxa"/>
            <w:vAlign w:val="bottom"/>
            <w:tcBorders>
              <w:top w:val="single" w:sz="8" w:color="auto"/>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22"/>
                <w:szCs w:val="22"/>
                <w:b w:val="1"/>
                <w:bCs w:val="1"/>
                <w:color w:val="auto"/>
              </w:rPr>
              <w:t>Filing Date</w:t>
            </w:r>
          </w:p>
        </w:tc>
        <w:tc>
          <w:tcPr>
            <w:tcW w:w="1780" w:type="dxa"/>
            <w:vAlign w:val="bottom"/>
            <w:tcBorders>
              <w:top w:val="single" w:sz="8" w:color="auto"/>
              <w:bottom w:val="single" w:sz="8" w:color="F2F2F2"/>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22"/>
                <w:szCs w:val="22"/>
                <w:b w:val="1"/>
                <w:bCs w:val="1"/>
                <w:color w:val="auto"/>
              </w:rPr>
              <w:t>Owner</w:t>
            </w:r>
          </w:p>
        </w:tc>
        <w:tc>
          <w:tcPr>
            <w:tcW w:w="0" w:type="dxa"/>
            <w:vAlign w:val="bottom"/>
          </w:tcPr>
          <w:p>
            <w:pPr>
              <w:spacing w:after="0"/>
              <w:rPr>
                <w:sz w:val="1"/>
                <w:szCs w:val="1"/>
                <w:color w:val="auto"/>
              </w:rPr>
            </w:pPr>
          </w:p>
        </w:tc>
      </w:tr>
      <w:tr>
        <w:trPr>
          <w:trHeight w:val="303"/>
        </w:trPr>
        <w:tc>
          <w:tcPr>
            <w:tcW w:w="110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US</w:t>
            </w:r>
          </w:p>
        </w:tc>
        <w:tc>
          <w:tcPr>
            <w:tcW w:w="220" w:type="dxa"/>
            <w:vAlign w:val="bottom"/>
            <w:tcBorders>
              <w:top w:val="single" w:sz="8" w:color="auto"/>
              <w:right w:val="single" w:sz="8" w:color="auto"/>
            </w:tcBorders>
          </w:tcPr>
          <w:p>
            <w:pPr>
              <w:spacing w:after="0"/>
              <w:rPr>
                <w:sz w:val="24"/>
                <w:szCs w:val="24"/>
                <w:color w:val="auto"/>
              </w:rPr>
            </w:pPr>
          </w:p>
        </w:tc>
        <w:tc>
          <w:tcPr>
            <w:tcW w:w="30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Rotary face seal with magnetic</w:t>
            </w:r>
          </w:p>
        </w:tc>
        <w:tc>
          <w:tcPr>
            <w:tcW w:w="260" w:type="dxa"/>
            <w:vAlign w:val="bottom"/>
            <w:tcBorders>
              <w:top w:val="single" w:sz="8" w:color="auto"/>
              <w:right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Pending</w:t>
            </w:r>
          </w:p>
        </w:tc>
        <w:tc>
          <w:tcPr>
            <w:tcW w:w="1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15/649,246</w:t>
            </w:r>
          </w:p>
        </w:tc>
        <w:tc>
          <w:tcPr>
            <w:tcW w:w="480" w:type="dxa"/>
            <w:vAlign w:val="bottom"/>
            <w:tcBorders>
              <w:top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07/13/17</w:t>
            </w:r>
          </w:p>
        </w:tc>
        <w:tc>
          <w:tcPr>
            <w:tcW w:w="1780" w:type="dxa"/>
            <w:vAlign w:val="bottom"/>
            <w:tcBorders>
              <w:top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Magnetic Seal</w:t>
            </w:r>
          </w:p>
        </w:tc>
        <w:tc>
          <w:tcPr>
            <w:tcW w:w="0" w:type="dxa"/>
            <w:vAlign w:val="bottom"/>
          </w:tcPr>
          <w:p>
            <w:pPr>
              <w:spacing w:after="0"/>
              <w:rPr>
                <w:sz w:val="1"/>
                <w:szCs w:val="1"/>
                <w:color w:val="auto"/>
              </w:rPr>
            </w:pPr>
          </w:p>
        </w:tc>
      </w:tr>
      <w:tr>
        <w:trPr>
          <w:trHeight w:val="29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puller loading</w:t>
            </w:r>
          </w:p>
        </w:tc>
        <w:tc>
          <w:tcPr>
            <w:tcW w:w="15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0" w:type="dxa"/>
            <w:vAlign w:val="bottom"/>
          </w:tcPr>
          <w:p>
            <w:pPr>
              <w:spacing w:after="0"/>
              <w:rPr>
                <w:sz w:val="1"/>
                <w:szCs w:val="1"/>
                <w:color w:val="auto"/>
              </w:rPr>
            </w:pPr>
          </w:p>
        </w:tc>
      </w:tr>
      <w:tr>
        <w:trPr>
          <w:trHeight w:val="28"/>
        </w:trPr>
        <w:tc>
          <w:tcPr>
            <w:tcW w:w="66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US</w:t>
            </w:r>
          </w:p>
        </w:tc>
        <w:tc>
          <w:tcPr>
            <w:tcW w:w="22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Rotary face seal with magnetic</w:t>
            </w: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Pending</w:t>
            </w:r>
          </w:p>
        </w:tc>
        <w:tc>
          <w:tcPr>
            <w:tcW w:w="1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16/054,540</w:t>
            </w: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08/03/18</w:t>
            </w: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Magnetic Seal</w:t>
            </w:r>
          </w:p>
        </w:tc>
        <w:tc>
          <w:tcPr>
            <w:tcW w:w="0" w:type="dxa"/>
            <w:vAlign w:val="bottom"/>
          </w:tcPr>
          <w:p>
            <w:pPr>
              <w:spacing w:after="0"/>
              <w:rPr>
                <w:sz w:val="1"/>
                <w:szCs w:val="1"/>
                <w:color w:val="auto"/>
              </w:rPr>
            </w:pPr>
          </w:p>
        </w:tc>
      </w:tr>
      <w:tr>
        <w:trPr>
          <w:trHeight w:val="29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puller loading with band magnet on</w:t>
            </w: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0" w:type="dxa"/>
            <w:vAlign w:val="bottom"/>
          </w:tcPr>
          <w:p>
            <w:pPr>
              <w:spacing w:after="0"/>
              <w:rPr>
                <w:sz w:val="1"/>
                <w:szCs w:val="1"/>
                <w:color w:val="auto"/>
              </w:rPr>
            </w:pPr>
          </w:p>
        </w:tc>
      </w:tr>
      <w:tr>
        <w:trPr>
          <w:trHeight w:val="283"/>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seal case</w:t>
            </w:r>
          </w:p>
        </w:tc>
        <w:tc>
          <w:tcPr>
            <w:tcW w:w="15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EU</w:t>
            </w:r>
          </w:p>
        </w:tc>
        <w:tc>
          <w:tcPr>
            <w:tcW w:w="22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Rotary face seal with magnetic</w:t>
            </w: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Pending</w:t>
            </w:r>
          </w:p>
        </w:tc>
        <w:tc>
          <w:tcPr>
            <w:tcW w:w="1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17828477.4</w:t>
            </w: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07/13/17</w:t>
            </w: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Magnetic Seal</w:t>
            </w:r>
          </w:p>
        </w:tc>
        <w:tc>
          <w:tcPr>
            <w:tcW w:w="0" w:type="dxa"/>
            <w:vAlign w:val="bottom"/>
          </w:tcPr>
          <w:p>
            <w:pPr>
              <w:spacing w:after="0"/>
              <w:rPr>
                <w:sz w:val="1"/>
                <w:szCs w:val="1"/>
                <w:color w:val="auto"/>
              </w:rPr>
            </w:pPr>
          </w:p>
        </w:tc>
      </w:tr>
      <w:tr>
        <w:trPr>
          <w:trHeight w:val="29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puller loading</w:t>
            </w:r>
          </w:p>
        </w:tc>
        <w:tc>
          <w:tcPr>
            <w:tcW w:w="15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0" w:type="dxa"/>
            <w:vAlign w:val="bottom"/>
          </w:tcPr>
          <w:p>
            <w:pPr>
              <w:spacing w:after="0"/>
              <w:rPr>
                <w:sz w:val="1"/>
                <w:szCs w:val="1"/>
                <w:color w:val="auto"/>
              </w:rPr>
            </w:pPr>
          </w:p>
        </w:tc>
      </w:tr>
      <w:tr>
        <w:trPr>
          <w:trHeight w:val="28"/>
        </w:trPr>
        <w:tc>
          <w:tcPr>
            <w:tcW w:w="66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US</w:t>
            </w:r>
          </w:p>
        </w:tc>
        <w:tc>
          <w:tcPr>
            <w:tcW w:w="220" w:type="dxa"/>
            <w:vAlign w:val="bottom"/>
            <w:tcBorders>
              <w:right w:val="single" w:sz="8" w:color="auto"/>
            </w:tcBorders>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Thermodynamic Magnetic Seal</w:t>
            </w: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Pending</w:t>
            </w:r>
          </w:p>
        </w:tc>
        <w:tc>
          <w:tcPr>
            <w:tcW w:w="1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63/091,836</w:t>
            </w: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10/14/20</w:t>
            </w: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Magnetic Seal</w:t>
            </w:r>
          </w:p>
        </w:tc>
        <w:tc>
          <w:tcPr>
            <w:tcW w:w="0" w:type="dxa"/>
            <w:vAlign w:val="bottom"/>
          </w:tcPr>
          <w:p>
            <w:pPr>
              <w:spacing w:after="0"/>
              <w:rPr>
                <w:sz w:val="1"/>
                <w:szCs w:val="1"/>
                <w:color w:val="auto"/>
              </w:rPr>
            </w:pPr>
          </w:p>
        </w:tc>
      </w:tr>
      <w:tr>
        <w:trPr>
          <w:trHeight w:val="29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Corp.</w:t>
            </w:r>
          </w:p>
        </w:tc>
        <w:tc>
          <w:tcPr>
            <w:tcW w:w="0" w:type="dxa"/>
            <w:vAlign w:val="bottom"/>
          </w:tcPr>
          <w:p>
            <w:pPr>
              <w:spacing w:after="0"/>
              <w:rPr>
                <w:sz w:val="1"/>
                <w:szCs w:val="1"/>
                <w:color w:val="auto"/>
              </w:rPr>
            </w:pPr>
          </w:p>
        </w:tc>
      </w:tr>
      <w:tr>
        <w:trPr>
          <w:trHeight w:val="29"/>
        </w:trPr>
        <w:tc>
          <w:tcPr>
            <w:tcW w:w="66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60" w:type="dxa"/>
            <w:vAlign w:val="bottom"/>
          </w:tcPr>
          <w:p>
            <w:pPr>
              <w:spacing w:after="0"/>
              <w:rPr>
                <w:sz w:val="24"/>
                <w:szCs w:val="24"/>
                <w:color w:val="auto"/>
              </w:rPr>
            </w:pPr>
          </w:p>
        </w:tc>
        <w:tc>
          <w:tcPr>
            <w:tcW w:w="22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Registered Marks</w:t>
            </w:r>
            <w:r>
              <w:rPr>
                <w:rFonts w:ascii="Times New Roman" w:cs="Times New Roman" w:eastAsia="Times New Roman" w:hAnsi="Times New Roman"/>
                <w:sz w:val="22"/>
                <w:szCs w:val="22"/>
                <w:color w:val="auto"/>
              </w:rPr>
              <w:t>:</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2"/>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right w:val="single" w:sz="8" w:color="auto"/>
            </w:tcBorders>
            <w:gridSpan w:val="2"/>
            <w:shd w:val="clear" w:color="auto" w:fill="F2F2F2"/>
          </w:tcPr>
          <w:p>
            <w:pPr>
              <w:ind w:left="40"/>
              <w:spacing w:after="0" w:line="237" w:lineRule="exact"/>
              <w:rPr>
                <w:sz w:val="20"/>
                <w:szCs w:val="20"/>
                <w:color w:val="auto"/>
              </w:rPr>
            </w:pPr>
            <w:r>
              <w:rPr>
                <w:rFonts w:ascii="Times New Roman" w:cs="Times New Roman" w:eastAsia="Times New Roman" w:hAnsi="Times New Roman"/>
                <w:sz w:val="22"/>
                <w:szCs w:val="22"/>
                <w:b w:val="1"/>
                <w:bCs w:val="1"/>
                <w:color w:val="auto"/>
              </w:rPr>
              <w:t>Country</w:t>
            </w:r>
          </w:p>
        </w:tc>
        <w:tc>
          <w:tcPr>
            <w:tcW w:w="1780" w:type="dxa"/>
            <w:vAlign w:val="bottom"/>
            <w:tcBorders>
              <w:right w:val="single" w:sz="8" w:color="auto"/>
            </w:tcBorders>
            <w:gridSpan w:val="3"/>
            <w:shd w:val="clear" w:color="auto" w:fill="F2F2F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Trademark</w:t>
            </w:r>
          </w:p>
        </w:tc>
        <w:tc>
          <w:tcPr>
            <w:tcW w:w="1500" w:type="dxa"/>
            <w:vAlign w:val="bottom"/>
            <w:tcBorders>
              <w:right w:val="single" w:sz="8" w:color="auto"/>
            </w:tcBorders>
            <w:shd w:val="clear" w:color="auto" w:fill="F2F2F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Status</w:t>
            </w:r>
          </w:p>
        </w:tc>
        <w:tc>
          <w:tcPr>
            <w:tcW w:w="1500" w:type="dxa"/>
            <w:vAlign w:val="bottom"/>
            <w:tcBorders>
              <w:right w:val="single" w:sz="8" w:color="auto"/>
            </w:tcBorders>
            <w:gridSpan w:val="2"/>
            <w:shd w:val="clear" w:color="auto" w:fill="F2F2F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Reg. No.</w:t>
            </w:r>
          </w:p>
        </w:tc>
        <w:tc>
          <w:tcPr>
            <w:tcW w:w="1520" w:type="dxa"/>
            <w:vAlign w:val="bottom"/>
            <w:tcBorders>
              <w:right w:val="single" w:sz="8" w:color="auto"/>
            </w:tcBorders>
            <w:shd w:val="clear" w:color="auto" w:fill="F2F2F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Reg. Date</w:t>
            </w:r>
          </w:p>
        </w:tc>
        <w:tc>
          <w:tcPr>
            <w:tcW w:w="2080" w:type="dxa"/>
            <w:vAlign w:val="bottom"/>
            <w:tcBorders>
              <w:right w:val="single" w:sz="8" w:color="F2F2F2"/>
            </w:tcBorders>
            <w:gridSpan w:val="2"/>
            <w:shd w:val="clear" w:color="auto" w:fill="F2F2F2"/>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Owner</w:t>
            </w:r>
          </w:p>
        </w:tc>
        <w:tc>
          <w:tcPr>
            <w:tcW w:w="640" w:type="dxa"/>
            <w:vAlign w:val="bottom"/>
            <w:tcBorders>
              <w:right w:val="single" w:sz="8" w:color="auto"/>
            </w:tcBorders>
            <w:shd w:val="clear" w:color="auto" w:fill="F2F2F2"/>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Borders>
              <w:left w:val="single" w:sz="8" w:color="auto"/>
              <w:bottom w:val="single" w:sz="8" w:color="auto"/>
            </w:tcBorders>
            <w:shd w:val="clear" w:color="auto" w:fill="F2F2F2"/>
          </w:tcPr>
          <w:p>
            <w:pPr>
              <w:spacing w:after="0"/>
              <w:rPr>
                <w:sz w:val="21"/>
                <w:szCs w:val="21"/>
                <w:color w:val="auto"/>
              </w:rPr>
            </w:pPr>
          </w:p>
        </w:tc>
        <w:tc>
          <w:tcPr>
            <w:tcW w:w="440" w:type="dxa"/>
            <w:vAlign w:val="bottom"/>
            <w:tcBorders>
              <w:bottom w:val="single" w:sz="8" w:color="auto"/>
              <w:right w:val="single" w:sz="8" w:color="auto"/>
            </w:tcBorders>
            <w:shd w:val="clear" w:color="auto" w:fill="F2F2F2"/>
          </w:tcPr>
          <w:p>
            <w:pPr>
              <w:spacing w:after="0"/>
              <w:rPr>
                <w:sz w:val="21"/>
                <w:szCs w:val="21"/>
                <w:color w:val="auto"/>
              </w:rPr>
            </w:pPr>
          </w:p>
        </w:tc>
        <w:tc>
          <w:tcPr>
            <w:tcW w:w="220" w:type="dxa"/>
            <w:vAlign w:val="bottom"/>
            <w:tcBorders>
              <w:bottom w:val="single" w:sz="8" w:color="auto"/>
              <w:right w:val="single" w:sz="8" w:color="F2F2F2"/>
            </w:tcBorders>
            <w:shd w:val="clear" w:color="auto" w:fill="F2F2F2"/>
          </w:tcPr>
          <w:p>
            <w:pPr>
              <w:spacing w:after="0"/>
              <w:rPr>
                <w:sz w:val="21"/>
                <w:szCs w:val="21"/>
                <w:color w:val="auto"/>
              </w:rPr>
            </w:pPr>
          </w:p>
        </w:tc>
        <w:tc>
          <w:tcPr>
            <w:tcW w:w="980" w:type="dxa"/>
            <w:vAlign w:val="bottom"/>
            <w:tcBorders>
              <w:bottom w:val="single" w:sz="8" w:color="auto"/>
            </w:tcBorders>
            <w:shd w:val="clear" w:color="auto" w:fill="F2F2F2"/>
          </w:tcPr>
          <w:p>
            <w:pPr>
              <w:spacing w:after="0"/>
              <w:rPr>
                <w:sz w:val="21"/>
                <w:szCs w:val="21"/>
                <w:color w:val="auto"/>
              </w:rPr>
            </w:pPr>
          </w:p>
        </w:tc>
        <w:tc>
          <w:tcPr>
            <w:tcW w:w="580" w:type="dxa"/>
            <w:vAlign w:val="bottom"/>
            <w:tcBorders>
              <w:bottom w:val="single" w:sz="8" w:color="auto"/>
              <w:right w:val="single" w:sz="8" w:color="auto"/>
            </w:tcBorders>
            <w:shd w:val="clear" w:color="auto" w:fill="F2F2F2"/>
          </w:tcPr>
          <w:p>
            <w:pPr>
              <w:spacing w:after="0"/>
              <w:rPr>
                <w:sz w:val="21"/>
                <w:szCs w:val="21"/>
                <w:color w:val="auto"/>
              </w:rPr>
            </w:pPr>
          </w:p>
        </w:tc>
        <w:tc>
          <w:tcPr>
            <w:tcW w:w="1500" w:type="dxa"/>
            <w:vAlign w:val="bottom"/>
            <w:tcBorders>
              <w:bottom w:val="single" w:sz="8" w:color="auto"/>
              <w:right w:val="single" w:sz="8" w:color="auto"/>
            </w:tcBorders>
            <w:shd w:val="clear" w:color="auto" w:fill="F2F2F2"/>
          </w:tcPr>
          <w:p>
            <w:pPr>
              <w:spacing w:after="0"/>
              <w:rPr>
                <w:sz w:val="21"/>
                <w:szCs w:val="21"/>
                <w:color w:val="auto"/>
              </w:rPr>
            </w:pPr>
          </w:p>
        </w:tc>
        <w:tc>
          <w:tcPr>
            <w:tcW w:w="1500" w:type="dxa"/>
            <w:vAlign w:val="bottom"/>
            <w:tcBorders>
              <w:bottom w:val="single" w:sz="8" w:color="auto"/>
              <w:right w:val="single" w:sz="8" w:color="auto"/>
            </w:tcBorders>
            <w:gridSpan w:val="2"/>
            <w:shd w:val="clear" w:color="auto" w:fill="F2F2F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App. No.</w:t>
            </w:r>
          </w:p>
        </w:tc>
        <w:tc>
          <w:tcPr>
            <w:tcW w:w="1520" w:type="dxa"/>
            <w:vAlign w:val="bottom"/>
            <w:tcBorders>
              <w:bottom w:val="single" w:sz="8" w:color="auto"/>
              <w:right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App. Date</w:t>
            </w:r>
          </w:p>
        </w:tc>
        <w:tc>
          <w:tcPr>
            <w:tcW w:w="480" w:type="dxa"/>
            <w:vAlign w:val="bottom"/>
            <w:tcBorders>
              <w:bottom w:val="single" w:sz="8" w:color="auto"/>
              <w:right w:val="single" w:sz="8" w:color="F2F2F2"/>
            </w:tcBorders>
            <w:shd w:val="clear" w:color="auto" w:fill="F2F2F2"/>
          </w:tcPr>
          <w:p>
            <w:pPr>
              <w:spacing w:after="0"/>
              <w:rPr>
                <w:sz w:val="21"/>
                <w:szCs w:val="21"/>
                <w:color w:val="auto"/>
              </w:rPr>
            </w:pPr>
          </w:p>
        </w:tc>
        <w:tc>
          <w:tcPr>
            <w:tcW w:w="1600" w:type="dxa"/>
            <w:vAlign w:val="bottom"/>
            <w:tcBorders>
              <w:bottom w:val="single" w:sz="8" w:color="auto"/>
              <w:right w:val="single" w:sz="8" w:color="F2F2F2"/>
            </w:tcBorders>
            <w:shd w:val="clear" w:color="auto" w:fill="F2F2F2"/>
          </w:tcPr>
          <w:p>
            <w:pPr>
              <w:spacing w:after="0"/>
              <w:rPr>
                <w:sz w:val="21"/>
                <w:szCs w:val="21"/>
                <w:color w:val="auto"/>
              </w:rPr>
            </w:pPr>
          </w:p>
        </w:tc>
        <w:tc>
          <w:tcPr>
            <w:tcW w:w="640" w:type="dxa"/>
            <w:vAlign w:val="bottom"/>
            <w:tcBorders>
              <w:bottom w:val="single" w:sz="8" w:color="auto"/>
              <w:right w:val="single" w:sz="8" w:color="auto"/>
            </w:tcBorders>
            <w:shd w:val="clear" w:color="auto" w:fill="F2F2F2"/>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right w:val="single" w:sz="8" w:color="auto"/>
            </w:tcBorders>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1780" w:type="dxa"/>
            <w:vAlign w:val="bottom"/>
            <w:tcBorders>
              <w:right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rPr>
              <w:t>MAG2SEAL</w:t>
            </w:r>
          </w:p>
        </w:tc>
        <w:tc>
          <w:tcPr>
            <w:tcW w:w="150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Registered</w:t>
            </w:r>
          </w:p>
        </w:tc>
        <w:tc>
          <w:tcPr>
            <w:tcW w:w="1500" w:type="dxa"/>
            <w:vAlign w:val="bottom"/>
            <w:tcBorders>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5541809</w:t>
            </w:r>
          </w:p>
        </w:tc>
        <w:tc>
          <w:tcPr>
            <w:tcW w:w="152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08/14/2018</w:t>
            </w:r>
          </w:p>
        </w:tc>
        <w:tc>
          <w:tcPr>
            <w:tcW w:w="208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22"/>
                <w:szCs w:val="22"/>
                <w:color w:val="auto"/>
              </w:rPr>
              <w:t>Magnetic Seal Corp.</w:t>
            </w:r>
          </w:p>
        </w:tc>
        <w:tc>
          <w:tcPr>
            <w:tcW w:w="64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87281596</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12/27/2016</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60" w:type="dxa"/>
            <w:vAlign w:val="bottom"/>
            <w:tcBorders>
              <w:lef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bottom w:val="single" w:sz="8" w:color="auto"/>
              <w:right w:val="single" w:sz="8" w:color="auto"/>
            </w:tcBorders>
            <w:gridSpan w:val="2"/>
          </w:tcPr>
          <w:p>
            <w:pPr>
              <w:spacing w:after="0"/>
              <w:rPr>
                <w:sz w:val="3"/>
                <w:szCs w:val="3"/>
                <w:color w:val="auto"/>
              </w:rPr>
            </w:pPr>
          </w:p>
        </w:tc>
        <w:tc>
          <w:tcPr>
            <w:tcW w:w="1780" w:type="dxa"/>
            <w:vAlign w:val="bottom"/>
            <w:tcBorders>
              <w:bottom w:val="single" w:sz="8" w:color="auto"/>
              <w:right w:val="single" w:sz="8" w:color="auto"/>
            </w:tcBorders>
            <w:gridSpan w:val="3"/>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gridSpan w:val="2"/>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right w:val="single" w:sz="8" w:color="auto"/>
            </w:tcBorders>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1780" w:type="dxa"/>
            <w:vAlign w:val="bottom"/>
            <w:tcBorders>
              <w:right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rPr>
              <w:t>MACHSEAL</w:t>
            </w:r>
          </w:p>
        </w:tc>
        <w:tc>
          <w:tcPr>
            <w:tcW w:w="150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Registered</w:t>
            </w:r>
          </w:p>
        </w:tc>
        <w:tc>
          <w:tcPr>
            <w:tcW w:w="1500" w:type="dxa"/>
            <w:vAlign w:val="bottom"/>
            <w:tcBorders>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4908453</w:t>
            </w:r>
          </w:p>
        </w:tc>
        <w:tc>
          <w:tcPr>
            <w:tcW w:w="152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03/01/2016</w:t>
            </w:r>
          </w:p>
        </w:tc>
        <w:tc>
          <w:tcPr>
            <w:tcW w:w="208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22"/>
                <w:szCs w:val="22"/>
                <w:color w:val="auto"/>
              </w:rPr>
              <w:t>Magnetic Seal Corp.</w:t>
            </w:r>
          </w:p>
        </w:tc>
        <w:tc>
          <w:tcPr>
            <w:tcW w:w="64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86705214</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07/27/2015</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60" w:type="dxa"/>
            <w:vAlign w:val="bottom"/>
            <w:tcBorders>
              <w:lef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100" w:type="dxa"/>
            <w:vAlign w:val="bottom"/>
            <w:tcBorders>
              <w:left w:val="single" w:sz="8" w:color="auto"/>
              <w:bottom w:val="single" w:sz="8" w:color="auto"/>
              <w:right w:val="single" w:sz="8" w:color="auto"/>
            </w:tcBorders>
            <w:gridSpan w:val="2"/>
          </w:tcPr>
          <w:p>
            <w:pPr>
              <w:spacing w:after="0"/>
              <w:rPr>
                <w:sz w:val="3"/>
                <w:szCs w:val="3"/>
                <w:color w:val="auto"/>
              </w:rPr>
            </w:pPr>
          </w:p>
        </w:tc>
        <w:tc>
          <w:tcPr>
            <w:tcW w:w="1780" w:type="dxa"/>
            <w:vAlign w:val="bottom"/>
            <w:tcBorders>
              <w:bottom w:val="single" w:sz="8" w:color="auto"/>
              <w:right w:val="single" w:sz="8" w:color="auto"/>
            </w:tcBorders>
            <w:gridSpan w:val="3"/>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gridSpan w:val="2"/>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100" w:type="dxa"/>
            <w:vAlign w:val="bottom"/>
            <w:tcBorders>
              <w:left w:val="single" w:sz="8" w:color="auto"/>
              <w:right w:val="single" w:sz="8" w:color="auto"/>
            </w:tcBorders>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rPr>
              <w:t>US</w:t>
            </w:r>
          </w:p>
        </w:tc>
        <w:tc>
          <w:tcPr>
            <w:tcW w:w="1780" w:type="dxa"/>
            <w:vAlign w:val="bottom"/>
            <w:tcBorders>
              <w:right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rPr>
              <w:t>MAGSEAL</w:t>
            </w:r>
          </w:p>
        </w:tc>
        <w:tc>
          <w:tcPr>
            <w:tcW w:w="150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Renewed</w:t>
            </w:r>
          </w:p>
        </w:tc>
        <w:tc>
          <w:tcPr>
            <w:tcW w:w="1500" w:type="dxa"/>
            <w:vAlign w:val="bottom"/>
            <w:tcBorders>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color w:val="auto"/>
              </w:rPr>
              <w:t>1238021</w:t>
            </w:r>
          </w:p>
        </w:tc>
        <w:tc>
          <w:tcPr>
            <w:tcW w:w="1520" w:type="dxa"/>
            <w:vAlign w:val="bottom"/>
            <w:tcBorders>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05/17/1983</w:t>
            </w:r>
          </w:p>
        </w:tc>
        <w:tc>
          <w:tcPr>
            <w:tcW w:w="2080" w:type="dxa"/>
            <w:vAlign w:val="bottom"/>
            <w:gridSpan w:val="2"/>
          </w:tcPr>
          <w:p>
            <w:pPr>
              <w:ind w:left="20"/>
              <w:spacing w:after="0" w:line="237" w:lineRule="exact"/>
              <w:rPr>
                <w:sz w:val="20"/>
                <w:szCs w:val="20"/>
                <w:color w:val="auto"/>
              </w:rPr>
            </w:pPr>
            <w:r>
              <w:rPr>
                <w:rFonts w:ascii="Times New Roman" w:cs="Times New Roman" w:eastAsia="Times New Roman" w:hAnsi="Times New Roman"/>
                <w:sz w:val="22"/>
                <w:szCs w:val="22"/>
                <w:color w:val="auto"/>
              </w:rPr>
              <w:t>Magnetic Seal Corp.</w:t>
            </w:r>
          </w:p>
        </w:tc>
        <w:tc>
          <w:tcPr>
            <w:tcW w:w="640" w:type="dxa"/>
            <w:vAlign w:val="bottom"/>
            <w:tcBorders>
              <w:righ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2"/>
                <w:szCs w:val="22"/>
                <w:color w:val="auto"/>
              </w:rPr>
              <w:t>73307387</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04/24/1981</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660" w:type="dxa"/>
            <w:vAlign w:val="bottom"/>
            <w:tcBorders>
              <w:lef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660" w:type="dxa"/>
            <w:vAlign w:val="bottom"/>
            <w:tcBorders>
              <w:left w:val="single" w:sz="8" w:color="auto"/>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44" w:name="page45"/>
    <w:bookmarkEnd w:id="44"/>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4</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Deposit Accounts and Securities Accounts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Deposit Accounts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18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Subsidiary</w:t>
            </w:r>
          </w:p>
        </w:tc>
        <w:tc>
          <w:tcPr>
            <w:tcW w:w="2460" w:type="dxa"/>
            <w:vAlign w:val="bottom"/>
            <w:tcBorders>
              <w:top w:val="single" w:sz="8" w:color="auto"/>
              <w:right w:val="single" w:sz="8" w:color="auto"/>
            </w:tcBorders>
            <w:shd w:val="clear" w:color="auto" w:fill="D9D9D9"/>
          </w:tcPr>
          <w:p>
            <w:pPr>
              <w:ind w:left="460"/>
              <w:spacing w:after="0"/>
              <w:rPr>
                <w:sz w:val="20"/>
                <w:szCs w:val="20"/>
                <w:color w:val="auto"/>
              </w:rPr>
            </w:pPr>
            <w:r>
              <w:rPr>
                <w:rFonts w:ascii="Times New Roman" w:cs="Times New Roman" w:eastAsia="Times New Roman" w:hAnsi="Times New Roman"/>
                <w:sz w:val="22"/>
                <w:szCs w:val="22"/>
                <w:color w:val="auto"/>
              </w:rPr>
              <w:t>Account Number</w:t>
            </w:r>
          </w:p>
        </w:tc>
        <w:tc>
          <w:tcPr>
            <w:tcW w:w="2200" w:type="dxa"/>
            <w:vAlign w:val="bottom"/>
            <w:tcBorders>
              <w:top w:val="single" w:sz="8" w:color="auto"/>
              <w:right w:val="single" w:sz="8" w:color="auto"/>
            </w:tcBorders>
            <w:shd w:val="clear" w:color="auto" w:fill="D9D9D9"/>
          </w:tcPr>
          <w:p>
            <w:pPr>
              <w:ind w:left="360"/>
              <w:spacing w:after="0"/>
              <w:rPr>
                <w:sz w:val="20"/>
                <w:szCs w:val="20"/>
                <w:color w:val="auto"/>
              </w:rPr>
            </w:pPr>
            <w:r>
              <w:rPr>
                <w:rFonts w:ascii="Times New Roman" w:cs="Times New Roman" w:eastAsia="Times New Roman" w:hAnsi="Times New Roman"/>
                <w:sz w:val="22"/>
                <w:szCs w:val="22"/>
                <w:color w:val="auto"/>
              </w:rPr>
              <w:t>Type of Account</w:t>
            </w:r>
          </w:p>
        </w:tc>
        <w:tc>
          <w:tcPr>
            <w:tcW w:w="2420" w:type="dxa"/>
            <w:vAlign w:val="bottom"/>
            <w:tcBorders>
              <w:top w:val="single" w:sz="8" w:color="auto"/>
              <w:right w:val="single" w:sz="8" w:color="auto"/>
            </w:tcBorders>
            <w:shd w:val="clear" w:color="auto" w:fill="D9D9D9"/>
          </w:tcPr>
          <w:p>
            <w:pPr>
              <w:ind w:left="240"/>
              <w:spacing w:after="0"/>
              <w:rPr>
                <w:sz w:val="20"/>
                <w:szCs w:val="20"/>
                <w:color w:val="auto"/>
              </w:rPr>
            </w:pPr>
            <w:r>
              <w:rPr>
                <w:rFonts w:ascii="Times New Roman" w:cs="Times New Roman" w:eastAsia="Times New Roman" w:hAnsi="Times New Roman"/>
                <w:sz w:val="22"/>
                <w:szCs w:val="22"/>
                <w:color w:val="auto"/>
              </w:rPr>
              <w:t>Depository Institution</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Excluded Deposit</w:t>
            </w:r>
          </w:p>
        </w:tc>
      </w:tr>
      <w:tr>
        <w:trPr>
          <w:trHeight w:val="331"/>
        </w:trPr>
        <w:tc>
          <w:tcPr>
            <w:tcW w:w="18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Guarantor</w:t>
            </w:r>
          </w:p>
        </w:tc>
        <w:tc>
          <w:tcPr>
            <w:tcW w:w="2460" w:type="dxa"/>
            <w:vAlign w:val="bottom"/>
            <w:tcBorders>
              <w:bottom w:val="single" w:sz="8" w:color="D9D9D9"/>
              <w:right w:val="single" w:sz="8" w:color="auto"/>
            </w:tcBorders>
            <w:shd w:val="clear" w:color="auto" w:fill="D9D9D9"/>
          </w:tcPr>
          <w:p>
            <w:pPr>
              <w:spacing w:after="0"/>
              <w:rPr>
                <w:sz w:val="24"/>
                <w:szCs w:val="24"/>
                <w:color w:val="auto"/>
              </w:rPr>
            </w:pPr>
          </w:p>
        </w:tc>
        <w:tc>
          <w:tcPr>
            <w:tcW w:w="2200" w:type="dxa"/>
            <w:vAlign w:val="bottom"/>
            <w:tcBorders>
              <w:bottom w:val="single" w:sz="8" w:color="D9D9D9"/>
              <w:right w:val="single" w:sz="8" w:color="auto"/>
            </w:tcBorders>
            <w:shd w:val="clear" w:color="auto" w:fill="D9D9D9"/>
          </w:tcPr>
          <w:p>
            <w:pPr>
              <w:spacing w:after="0"/>
              <w:rPr>
                <w:sz w:val="24"/>
                <w:szCs w:val="24"/>
                <w:color w:val="auto"/>
              </w:rPr>
            </w:pPr>
          </w:p>
        </w:tc>
        <w:tc>
          <w:tcPr>
            <w:tcW w:w="2420" w:type="dxa"/>
            <w:vAlign w:val="bottom"/>
            <w:tcBorders>
              <w:bottom w:val="single" w:sz="8" w:color="D9D9D9"/>
              <w:right w:val="single" w:sz="8" w:color="auto"/>
            </w:tcBorders>
            <w:shd w:val="clear" w:color="auto" w:fill="D9D9D9"/>
          </w:tcPr>
          <w:p>
            <w:pPr>
              <w:spacing w:after="0"/>
              <w:rPr>
                <w:sz w:val="24"/>
                <w:szCs w:val="24"/>
                <w:color w:val="auto"/>
              </w:rPr>
            </w:pPr>
          </w:p>
        </w:tc>
        <w:tc>
          <w:tcPr>
            <w:tcW w:w="23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Account? Y/N</w:t>
            </w:r>
          </w:p>
        </w:tc>
      </w:tr>
      <w:tr>
        <w:trPr>
          <w:trHeight w:val="303"/>
        </w:trPr>
        <w:tc>
          <w:tcPr>
            <w:tcW w:w="1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841249502</w:t>
            </w:r>
          </w:p>
        </w:tc>
        <w:tc>
          <w:tcPr>
            <w:tcW w:w="22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PPP Loan Account</w:t>
            </w:r>
          </w:p>
        </w:tc>
        <w:tc>
          <w:tcPr>
            <w:tcW w:w="24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841292056</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Secured Savings</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841293301</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Deposit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841293327</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Payroll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841293343</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Operating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N</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2"/>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841260110</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SBA PPP</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841333074</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Comm RE ARM Loan</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BayCoast Bank</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150000046376</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Payroll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Bank Newport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8"/>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3"/>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150000046375</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Operating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Bank Newport</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302"/>
        </w:trPr>
        <w:tc>
          <w:tcPr>
            <w:tcW w:w="1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000050886485</w:t>
            </w:r>
          </w:p>
        </w:tc>
        <w:tc>
          <w:tcPr>
            <w:tcW w:w="2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Payroll Account</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Bank of America</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Accounts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18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Subsidiary</w:t>
            </w:r>
          </w:p>
        </w:tc>
        <w:tc>
          <w:tcPr>
            <w:tcW w:w="2180" w:type="dxa"/>
            <w:vAlign w:val="bottom"/>
            <w:tcBorders>
              <w:top w:val="single" w:sz="8" w:color="auto"/>
              <w:right w:val="single" w:sz="8" w:color="auto"/>
            </w:tcBorders>
            <w:shd w:val="clear" w:color="auto" w:fill="D9D9D9"/>
          </w:tcPr>
          <w:p>
            <w:pPr>
              <w:jc w:val="right"/>
              <w:ind w:right="261"/>
              <w:spacing w:after="0"/>
              <w:rPr>
                <w:sz w:val="20"/>
                <w:szCs w:val="20"/>
                <w:color w:val="auto"/>
              </w:rPr>
            </w:pPr>
            <w:r>
              <w:rPr>
                <w:rFonts w:ascii="Times New Roman" w:cs="Times New Roman" w:eastAsia="Times New Roman" w:hAnsi="Times New Roman"/>
                <w:sz w:val="22"/>
                <w:szCs w:val="22"/>
                <w:color w:val="auto"/>
              </w:rPr>
              <w:t>Account Number</w:t>
            </w:r>
          </w:p>
        </w:tc>
        <w:tc>
          <w:tcPr>
            <w:tcW w:w="2280" w:type="dxa"/>
            <w:vAlign w:val="bottom"/>
            <w:tcBorders>
              <w:top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22"/>
                <w:szCs w:val="22"/>
                <w:color w:val="auto"/>
              </w:rPr>
              <w:t>Type of Account</w:t>
            </w:r>
          </w:p>
        </w:tc>
        <w:tc>
          <w:tcPr>
            <w:tcW w:w="2500" w:type="dxa"/>
            <w:vAlign w:val="bottom"/>
            <w:tcBorders>
              <w:top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22"/>
                <w:szCs w:val="22"/>
                <w:color w:val="auto"/>
              </w:rPr>
              <w:t>Depository Institution</w:t>
            </w:r>
          </w:p>
        </w:tc>
        <w:tc>
          <w:tcPr>
            <w:tcW w:w="2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Excluded Deposit</w:t>
            </w:r>
          </w:p>
        </w:tc>
      </w:tr>
      <w:tr>
        <w:trPr>
          <w:trHeight w:val="331"/>
        </w:trPr>
        <w:tc>
          <w:tcPr>
            <w:tcW w:w="18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Guarantor</w:t>
            </w:r>
          </w:p>
        </w:tc>
        <w:tc>
          <w:tcPr>
            <w:tcW w:w="2180" w:type="dxa"/>
            <w:vAlign w:val="bottom"/>
            <w:tcBorders>
              <w:bottom w:val="single" w:sz="8" w:color="D9D9D9"/>
              <w:right w:val="single" w:sz="8" w:color="auto"/>
            </w:tcBorders>
            <w:shd w:val="clear" w:color="auto" w:fill="D9D9D9"/>
          </w:tcPr>
          <w:p>
            <w:pPr>
              <w:spacing w:after="0"/>
              <w:rPr>
                <w:sz w:val="24"/>
                <w:szCs w:val="24"/>
                <w:color w:val="auto"/>
              </w:rPr>
            </w:pPr>
          </w:p>
        </w:tc>
        <w:tc>
          <w:tcPr>
            <w:tcW w:w="2280" w:type="dxa"/>
            <w:vAlign w:val="bottom"/>
            <w:tcBorders>
              <w:bottom w:val="single" w:sz="8" w:color="D9D9D9"/>
              <w:right w:val="single" w:sz="8" w:color="auto"/>
            </w:tcBorders>
            <w:shd w:val="clear" w:color="auto" w:fill="D9D9D9"/>
          </w:tcPr>
          <w:p>
            <w:pPr>
              <w:spacing w:after="0"/>
              <w:rPr>
                <w:sz w:val="24"/>
                <w:szCs w:val="24"/>
                <w:color w:val="auto"/>
              </w:rPr>
            </w:pPr>
          </w:p>
        </w:tc>
        <w:tc>
          <w:tcPr>
            <w:tcW w:w="2500" w:type="dxa"/>
            <w:vAlign w:val="bottom"/>
            <w:tcBorders>
              <w:bottom w:val="single" w:sz="8" w:color="D9D9D9"/>
              <w:right w:val="single" w:sz="8" w:color="auto"/>
            </w:tcBorders>
            <w:shd w:val="clear" w:color="auto" w:fill="D9D9D9"/>
          </w:tcPr>
          <w:p>
            <w:pPr>
              <w:spacing w:after="0"/>
              <w:rPr>
                <w:sz w:val="24"/>
                <w:szCs w:val="24"/>
                <w:color w:val="auto"/>
              </w:rPr>
            </w:pPr>
          </w:p>
        </w:tc>
        <w:tc>
          <w:tcPr>
            <w:tcW w:w="24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Account? Y/N</w:t>
            </w:r>
          </w:p>
        </w:tc>
      </w:tr>
      <w:tr>
        <w:trPr>
          <w:trHeight w:val="302"/>
        </w:trPr>
        <w:tc>
          <w:tcPr>
            <w:tcW w:w="1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Magnetic Seal LLC</w:t>
            </w:r>
          </w:p>
        </w:tc>
        <w:tc>
          <w:tcPr>
            <w:tcW w:w="2180" w:type="dxa"/>
            <w:vAlign w:val="bottom"/>
            <w:tcBorders>
              <w:top w:val="single" w:sz="8" w:color="auto"/>
              <w:right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rPr>
              <w:t>359-21563-1-3</w:t>
            </w:r>
          </w:p>
        </w:tc>
        <w:tc>
          <w:tcPr>
            <w:tcW w:w="2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Investment Account</w:t>
            </w:r>
          </w:p>
        </w:tc>
        <w:tc>
          <w:tcPr>
            <w:tcW w:w="2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Edward Jones Investment Bank</w:t>
            </w:r>
          </w:p>
        </w:tc>
        <w:tc>
          <w:tcPr>
            <w:tcW w:w="2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Y</w:t>
            </w:r>
          </w:p>
        </w:tc>
      </w:tr>
      <w:tr>
        <w:trPr>
          <w:trHeight w:val="29"/>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Schedule 5</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Real Properties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Owned Property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gridSpan w:val="4"/>
            <w:shd w:val="clear" w:color="auto" w:fill="D9D9D9"/>
          </w:tcPr>
          <w:p>
            <w:pPr>
              <w:ind w:left="500"/>
              <w:spacing w:after="0"/>
              <w:rPr>
                <w:sz w:val="20"/>
                <w:szCs w:val="20"/>
                <w:color w:val="auto"/>
              </w:rPr>
            </w:pPr>
            <w:r>
              <w:rPr>
                <w:rFonts w:ascii="Times New Roman" w:cs="Times New Roman" w:eastAsia="Times New Roman" w:hAnsi="Times New Roman"/>
                <w:sz w:val="22"/>
                <w:szCs w:val="22"/>
                <w:color w:val="auto"/>
              </w:rPr>
              <w:t>Subsidiary Guarantor</w:t>
            </w:r>
          </w:p>
        </w:tc>
        <w:tc>
          <w:tcPr>
            <w:tcW w:w="100" w:type="dxa"/>
            <w:vAlign w:val="bottom"/>
            <w:tcBorders>
              <w:top w:val="single" w:sz="8" w:color="auto"/>
            </w:tcBorders>
            <w:shd w:val="clear" w:color="auto" w:fill="D9D9D9"/>
          </w:tcPr>
          <w:p>
            <w:pPr>
              <w:spacing w:after="0"/>
              <w:rPr>
                <w:sz w:val="23"/>
                <w:szCs w:val="23"/>
                <w:color w:val="auto"/>
              </w:rPr>
            </w:pPr>
          </w:p>
        </w:tc>
        <w:tc>
          <w:tcPr>
            <w:tcW w:w="2700" w:type="dxa"/>
            <w:vAlign w:val="bottom"/>
            <w:tcBorders>
              <w:top w:val="single" w:sz="8" w:color="auto"/>
              <w:right w:val="single" w:sz="8" w:color="auto"/>
            </w:tcBorders>
            <w:gridSpan w:val="4"/>
            <w:shd w:val="clear" w:color="auto" w:fill="D9D9D9"/>
          </w:tcPr>
          <w:p>
            <w:pPr>
              <w:jc w:val="center"/>
              <w:ind w:right="120"/>
              <w:spacing w:after="0"/>
              <w:rPr>
                <w:sz w:val="20"/>
                <w:szCs w:val="20"/>
                <w:color w:val="auto"/>
              </w:rPr>
            </w:pPr>
            <w:r>
              <w:rPr>
                <w:rFonts w:ascii="Times New Roman" w:cs="Times New Roman" w:eastAsia="Times New Roman" w:hAnsi="Times New Roman"/>
                <w:sz w:val="22"/>
                <w:szCs w:val="22"/>
                <w:color w:val="auto"/>
                <w:w w:val="97"/>
              </w:rPr>
              <w:t>Number of Buildings Located</w:t>
            </w:r>
          </w:p>
        </w:tc>
        <w:tc>
          <w:tcPr>
            <w:tcW w:w="1040" w:type="dxa"/>
            <w:vAlign w:val="bottom"/>
            <w:tcBorders>
              <w:top w:val="single" w:sz="8" w:color="auto"/>
            </w:tcBorders>
            <w:shd w:val="clear" w:color="auto" w:fill="D9D9D9"/>
          </w:tcPr>
          <w:p>
            <w:pPr>
              <w:spacing w:after="0"/>
              <w:rPr>
                <w:sz w:val="23"/>
                <w:szCs w:val="23"/>
                <w:color w:val="auto"/>
              </w:rPr>
            </w:pPr>
          </w:p>
        </w:tc>
        <w:tc>
          <w:tcPr>
            <w:tcW w:w="1780" w:type="dxa"/>
            <w:vAlign w:val="bottom"/>
            <w:tcBorders>
              <w:top w:val="single" w:sz="8" w:color="auto"/>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22"/>
                <w:szCs w:val="22"/>
                <w:color w:val="auto"/>
              </w:rPr>
              <w:t>Address</w:t>
            </w:r>
          </w:p>
        </w:tc>
        <w:tc>
          <w:tcPr>
            <w:tcW w:w="2800" w:type="dxa"/>
            <w:vAlign w:val="bottom"/>
            <w:tcBorders>
              <w:top w:val="single" w:sz="8" w:color="auto"/>
              <w:right w:val="single" w:sz="8" w:color="auto"/>
            </w:tcBorders>
            <w:gridSpan w:val="5"/>
            <w:shd w:val="clear" w:color="auto" w:fill="D9D9D9"/>
          </w:tcPr>
          <w:p>
            <w:pPr>
              <w:jc w:val="center"/>
              <w:ind w:right="40"/>
              <w:spacing w:after="0"/>
              <w:rPr>
                <w:sz w:val="20"/>
                <w:szCs w:val="20"/>
                <w:color w:val="auto"/>
              </w:rPr>
            </w:pPr>
            <w:r>
              <w:rPr>
                <w:rFonts w:ascii="Times New Roman" w:cs="Times New Roman" w:eastAsia="Times New Roman" w:hAnsi="Times New Roman"/>
                <w:sz w:val="22"/>
                <w:szCs w:val="22"/>
                <w:color w:val="auto"/>
                <w:w w:val="97"/>
              </w:rPr>
              <w:t>City, County, State and Zip</w:t>
            </w:r>
          </w:p>
        </w:tc>
      </w:tr>
      <w:tr>
        <w:trPr>
          <w:trHeight w:val="263"/>
        </w:trPr>
        <w:tc>
          <w:tcPr>
            <w:tcW w:w="500" w:type="dxa"/>
            <w:vAlign w:val="bottom"/>
            <w:tcBorders>
              <w:top w:val="single" w:sz="8" w:color="D9D9D9"/>
              <w:left w:val="single" w:sz="8" w:color="auto"/>
            </w:tcBorders>
            <w:shd w:val="clear" w:color="auto" w:fill="D9D9D9"/>
          </w:tcPr>
          <w:p>
            <w:pPr>
              <w:spacing w:after="0"/>
              <w:rPr>
                <w:sz w:val="22"/>
                <w:szCs w:val="22"/>
                <w:color w:val="auto"/>
              </w:rPr>
            </w:pPr>
          </w:p>
        </w:tc>
        <w:tc>
          <w:tcPr>
            <w:tcW w:w="920" w:type="dxa"/>
            <w:vAlign w:val="bottom"/>
            <w:tcBorders>
              <w:top w:val="single" w:sz="8" w:color="auto"/>
            </w:tcBorders>
            <w:shd w:val="clear" w:color="auto" w:fill="D9D9D9"/>
          </w:tcPr>
          <w:p>
            <w:pPr>
              <w:spacing w:after="0"/>
              <w:rPr>
                <w:sz w:val="22"/>
                <w:szCs w:val="22"/>
                <w:color w:val="auto"/>
              </w:rPr>
            </w:pPr>
          </w:p>
        </w:tc>
        <w:tc>
          <w:tcPr>
            <w:tcW w:w="920" w:type="dxa"/>
            <w:vAlign w:val="bottom"/>
            <w:tcBorders>
              <w:top w:val="single" w:sz="8" w:color="auto"/>
            </w:tcBorders>
            <w:shd w:val="clear" w:color="auto" w:fill="D9D9D9"/>
          </w:tcPr>
          <w:p>
            <w:pPr>
              <w:spacing w:after="0"/>
              <w:rPr>
                <w:sz w:val="22"/>
                <w:szCs w:val="22"/>
                <w:color w:val="auto"/>
              </w:rPr>
            </w:pPr>
          </w:p>
        </w:tc>
        <w:tc>
          <w:tcPr>
            <w:tcW w:w="500" w:type="dxa"/>
            <w:vAlign w:val="bottom"/>
            <w:tcBorders>
              <w:top w:val="single" w:sz="8" w:color="D9D9D9"/>
              <w:right w:val="single" w:sz="8" w:color="auto"/>
            </w:tcBorders>
            <w:shd w:val="clear" w:color="auto" w:fill="D9D9D9"/>
          </w:tcPr>
          <w:p>
            <w:pPr>
              <w:spacing w:after="0"/>
              <w:rPr>
                <w:sz w:val="22"/>
                <w:szCs w:val="22"/>
                <w:color w:val="auto"/>
              </w:rPr>
            </w:pPr>
          </w:p>
        </w:tc>
        <w:tc>
          <w:tcPr>
            <w:tcW w:w="100" w:type="dxa"/>
            <w:vAlign w:val="bottom"/>
            <w:tcBorders>
              <w:top w:val="single" w:sz="8" w:color="D9D9D9"/>
            </w:tcBorders>
            <w:shd w:val="clear" w:color="auto" w:fill="D9D9D9"/>
          </w:tcPr>
          <w:p>
            <w:pPr>
              <w:spacing w:after="0"/>
              <w:rPr>
                <w:sz w:val="22"/>
                <w:szCs w:val="22"/>
                <w:color w:val="auto"/>
              </w:rPr>
            </w:pPr>
          </w:p>
        </w:tc>
        <w:tc>
          <w:tcPr>
            <w:tcW w:w="2580" w:type="dxa"/>
            <w:vAlign w:val="bottom"/>
            <w:tcBorders>
              <w:top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on Such Property</w:t>
            </w:r>
          </w:p>
        </w:tc>
        <w:tc>
          <w:tcPr>
            <w:tcW w:w="120" w:type="dxa"/>
            <w:vAlign w:val="bottom"/>
            <w:tcBorders>
              <w:top w:val="single" w:sz="8" w:color="D9D9D9"/>
              <w:right w:val="single" w:sz="8" w:color="auto"/>
            </w:tcBorders>
            <w:shd w:val="clear" w:color="auto" w:fill="D9D9D9"/>
          </w:tcPr>
          <w:p>
            <w:pPr>
              <w:spacing w:after="0"/>
              <w:rPr>
                <w:sz w:val="22"/>
                <w:szCs w:val="22"/>
                <w:color w:val="auto"/>
              </w:rPr>
            </w:pPr>
          </w:p>
        </w:tc>
        <w:tc>
          <w:tcPr>
            <w:tcW w:w="1040" w:type="dxa"/>
            <w:vAlign w:val="bottom"/>
            <w:tcBorders>
              <w:top w:val="single" w:sz="8" w:color="D9D9D9"/>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spacing w:after="0"/>
              <w:rPr>
                <w:sz w:val="22"/>
                <w:szCs w:val="22"/>
                <w:color w:val="auto"/>
              </w:rPr>
            </w:pPr>
          </w:p>
        </w:tc>
        <w:tc>
          <w:tcPr>
            <w:tcW w:w="1080" w:type="dxa"/>
            <w:vAlign w:val="bottom"/>
            <w:tcBorders>
              <w:top w:val="single" w:sz="8" w:color="D9D9D9"/>
              <w:right w:val="single" w:sz="8" w:color="auto"/>
            </w:tcBorders>
            <w:shd w:val="clear" w:color="auto" w:fill="D9D9D9"/>
          </w:tcPr>
          <w:p>
            <w:pPr>
              <w:spacing w:after="0"/>
              <w:rPr>
                <w:sz w:val="22"/>
                <w:szCs w:val="22"/>
                <w:color w:val="auto"/>
              </w:rPr>
            </w:pPr>
          </w:p>
        </w:tc>
        <w:tc>
          <w:tcPr>
            <w:tcW w:w="200" w:type="dxa"/>
            <w:vAlign w:val="bottom"/>
            <w:tcBorders>
              <w:top w:val="single" w:sz="8" w:color="D9D9D9"/>
            </w:tcBorders>
            <w:shd w:val="clear" w:color="auto" w:fill="D9D9D9"/>
          </w:tcPr>
          <w:p>
            <w:pPr>
              <w:spacing w:after="0"/>
              <w:rPr>
                <w:sz w:val="22"/>
                <w:szCs w:val="22"/>
                <w:color w:val="auto"/>
              </w:rPr>
            </w:pPr>
          </w:p>
        </w:tc>
        <w:tc>
          <w:tcPr>
            <w:tcW w:w="960" w:type="dxa"/>
            <w:vAlign w:val="bottom"/>
            <w:tcBorders>
              <w:top w:val="single" w:sz="8" w:color="auto"/>
            </w:tcBorders>
            <w:shd w:val="clear" w:color="auto" w:fill="D9D9D9"/>
          </w:tcPr>
          <w:p>
            <w:pPr>
              <w:spacing w:after="0"/>
              <w:rPr>
                <w:sz w:val="22"/>
                <w:szCs w:val="22"/>
                <w:color w:val="auto"/>
              </w:rPr>
            </w:pPr>
          </w:p>
        </w:tc>
        <w:tc>
          <w:tcPr>
            <w:tcW w:w="1400" w:type="dxa"/>
            <w:vAlign w:val="bottom"/>
            <w:tcBorders>
              <w:top w:val="single" w:sz="8" w:color="auto"/>
            </w:tcBorders>
            <w:gridSpan w:val="2"/>
            <w:shd w:val="clear" w:color="auto" w:fill="D9D9D9"/>
          </w:tcPr>
          <w:p>
            <w:pPr>
              <w:jc w:val="center"/>
              <w:ind w:right="940"/>
              <w:spacing w:after="0"/>
              <w:rPr>
                <w:sz w:val="20"/>
                <w:szCs w:val="20"/>
                <w:color w:val="auto"/>
              </w:rPr>
            </w:pPr>
            <w:r>
              <w:rPr>
                <w:rFonts w:ascii="Times New Roman" w:cs="Times New Roman" w:eastAsia="Times New Roman" w:hAnsi="Times New Roman"/>
                <w:sz w:val="22"/>
                <w:szCs w:val="22"/>
                <w:color w:val="auto"/>
                <w:w w:val="98"/>
              </w:rPr>
              <w:t>Code</w:t>
            </w:r>
          </w:p>
        </w:tc>
        <w:tc>
          <w:tcPr>
            <w:tcW w:w="240" w:type="dxa"/>
            <w:vAlign w:val="bottom"/>
            <w:tcBorders>
              <w:top w:val="single" w:sz="8" w:color="D9D9D9"/>
              <w:right w:val="single" w:sz="8" w:color="auto"/>
            </w:tcBorders>
            <w:shd w:val="clear" w:color="auto" w:fill="D9D9D9"/>
          </w:tcPr>
          <w:p>
            <w:pPr>
              <w:spacing w:after="0"/>
              <w:rPr>
                <w:sz w:val="22"/>
                <w:szCs w:val="22"/>
                <w:color w:val="auto"/>
              </w:rPr>
            </w:pPr>
          </w:p>
        </w:tc>
      </w:tr>
      <w:tr>
        <w:trPr>
          <w:trHeight w:val="74"/>
        </w:trPr>
        <w:tc>
          <w:tcPr>
            <w:tcW w:w="500" w:type="dxa"/>
            <w:vAlign w:val="bottom"/>
            <w:tcBorders>
              <w:top w:val="single" w:sz="8" w:color="D9D9D9"/>
              <w:left w:val="single" w:sz="8" w:color="auto"/>
              <w:bottom w:val="single" w:sz="8" w:color="auto"/>
            </w:tcBorders>
            <w:shd w:val="clear" w:color="auto" w:fill="D9D9D9"/>
          </w:tcPr>
          <w:p>
            <w:pPr>
              <w:spacing w:after="0"/>
              <w:rPr>
                <w:sz w:val="6"/>
                <w:szCs w:val="6"/>
                <w:color w:val="auto"/>
              </w:rPr>
            </w:pPr>
          </w:p>
        </w:tc>
        <w:tc>
          <w:tcPr>
            <w:tcW w:w="920" w:type="dxa"/>
            <w:vAlign w:val="bottom"/>
            <w:tcBorders>
              <w:top w:val="single" w:sz="8" w:color="D9D9D9"/>
              <w:bottom w:val="single" w:sz="8" w:color="auto"/>
            </w:tcBorders>
            <w:shd w:val="clear" w:color="auto" w:fill="D9D9D9"/>
          </w:tcPr>
          <w:p>
            <w:pPr>
              <w:spacing w:after="0"/>
              <w:rPr>
                <w:sz w:val="6"/>
                <w:szCs w:val="6"/>
                <w:color w:val="auto"/>
              </w:rPr>
            </w:pPr>
          </w:p>
        </w:tc>
        <w:tc>
          <w:tcPr>
            <w:tcW w:w="920" w:type="dxa"/>
            <w:vAlign w:val="bottom"/>
            <w:tcBorders>
              <w:top w:val="single" w:sz="8" w:color="D9D9D9"/>
              <w:bottom w:val="single" w:sz="8" w:color="auto"/>
            </w:tcBorders>
            <w:shd w:val="clear" w:color="auto" w:fill="D9D9D9"/>
          </w:tcPr>
          <w:p>
            <w:pPr>
              <w:spacing w:after="0"/>
              <w:rPr>
                <w:sz w:val="6"/>
                <w:szCs w:val="6"/>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00" w:type="dxa"/>
            <w:vAlign w:val="bottom"/>
            <w:tcBorders>
              <w:top w:val="single" w:sz="8" w:color="D9D9D9"/>
              <w:bottom w:val="single" w:sz="8" w:color="auto"/>
            </w:tcBorders>
            <w:shd w:val="clear" w:color="auto" w:fill="D9D9D9"/>
          </w:tcPr>
          <w:p>
            <w:pPr>
              <w:spacing w:after="0"/>
              <w:rPr>
                <w:sz w:val="6"/>
                <w:szCs w:val="6"/>
                <w:color w:val="auto"/>
              </w:rPr>
            </w:pPr>
          </w:p>
        </w:tc>
        <w:tc>
          <w:tcPr>
            <w:tcW w:w="540" w:type="dxa"/>
            <w:vAlign w:val="bottom"/>
            <w:tcBorders>
              <w:top w:val="single" w:sz="8" w:color="D9D9D9"/>
              <w:bottom w:val="single" w:sz="8" w:color="auto"/>
            </w:tcBorders>
            <w:shd w:val="clear" w:color="auto" w:fill="D9D9D9"/>
          </w:tcPr>
          <w:p>
            <w:pPr>
              <w:spacing w:after="0"/>
              <w:rPr>
                <w:sz w:val="6"/>
                <w:szCs w:val="6"/>
                <w:color w:val="auto"/>
              </w:rPr>
            </w:pPr>
          </w:p>
        </w:tc>
        <w:tc>
          <w:tcPr>
            <w:tcW w:w="1500" w:type="dxa"/>
            <w:vAlign w:val="bottom"/>
            <w:tcBorders>
              <w:top w:val="single" w:sz="8" w:color="auto"/>
              <w:bottom w:val="single" w:sz="8" w:color="auto"/>
            </w:tcBorders>
            <w:shd w:val="clear" w:color="auto" w:fill="D9D9D9"/>
          </w:tcPr>
          <w:p>
            <w:pPr>
              <w:spacing w:after="0"/>
              <w:rPr>
                <w:sz w:val="6"/>
                <w:szCs w:val="6"/>
                <w:color w:val="auto"/>
              </w:rPr>
            </w:pPr>
          </w:p>
        </w:tc>
        <w:tc>
          <w:tcPr>
            <w:tcW w:w="540" w:type="dxa"/>
            <w:vAlign w:val="bottom"/>
            <w:tcBorders>
              <w:top w:val="single" w:sz="8" w:color="D9D9D9"/>
              <w:bottom w:val="single" w:sz="8" w:color="auto"/>
            </w:tcBorders>
            <w:shd w:val="clear" w:color="auto" w:fill="D9D9D9"/>
          </w:tcPr>
          <w:p>
            <w:pPr>
              <w:spacing w:after="0"/>
              <w:rPr>
                <w:sz w:val="6"/>
                <w:szCs w:val="6"/>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040" w:type="dxa"/>
            <w:vAlign w:val="bottom"/>
            <w:tcBorders>
              <w:top w:val="single" w:sz="8" w:color="D9D9D9"/>
              <w:bottom w:val="single" w:sz="8" w:color="auto"/>
            </w:tcBorders>
            <w:shd w:val="clear" w:color="auto" w:fill="D9D9D9"/>
          </w:tcPr>
          <w:p>
            <w:pPr>
              <w:spacing w:after="0"/>
              <w:rPr>
                <w:sz w:val="6"/>
                <w:szCs w:val="6"/>
                <w:color w:val="auto"/>
              </w:rPr>
            </w:pPr>
          </w:p>
        </w:tc>
        <w:tc>
          <w:tcPr>
            <w:tcW w:w="700" w:type="dxa"/>
            <w:vAlign w:val="bottom"/>
            <w:tcBorders>
              <w:top w:val="single" w:sz="8" w:color="D9D9D9"/>
              <w:bottom w:val="single" w:sz="8" w:color="auto"/>
            </w:tcBorders>
            <w:shd w:val="clear" w:color="auto" w:fill="D9D9D9"/>
          </w:tcPr>
          <w:p>
            <w:pPr>
              <w:spacing w:after="0"/>
              <w:rPr>
                <w:sz w:val="6"/>
                <w:szCs w:val="6"/>
                <w:color w:val="auto"/>
              </w:rPr>
            </w:pPr>
          </w:p>
        </w:tc>
        <w:tc>
          <w:tcPr>
            <w:tcW w:w="108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200" w:type="dxa"/>
            <w:vAlign w:val="bottom"/>
            <w:tcBorders>
              <w:top w:val="single" w:sz="8" w:color="D9D9D9"/>
              <w:bottom w:val="single" w:sz="8" w:color="auto"/>
            </w:tcBorders>
            <w:shd w:val="clear" w:color="auto" w:fill="D9D9D9"/>
          </w:tcPr>
          <w:p>
            <w:pPr>
              <w:spacing w:after="0"/>
              <w:rPr>
                <w:sz w:val="6"/>
                <w:szCs w:val="6"/>
                <w:color w:val="auto"/>
              </w:rPr>
            </w:pPr>
          </w:p>
        </w:tc>
        <w:tc>
          <w:tcPr>
            <w:tcW w:w="960" w:type="dxa"/>
            <w:vAlign w:val="bottom"/>
            <w:tcBorders>
              <w:top w:val="single" w:sz="8" w:color="D9D9D9"/>
              <w:bottom w:val="single" w:sz="8" w:color="auto"/>
            </w:tcBorders>
            <w:shd w:val="clear" w:color="auto" w:fill="D9D9D9"/>
          </w:tcPr>
          <w:p>
            <w:pPr>
              <w:spacing w:after="0"/>
              <w:rPr>
                <w:sz w:val="6"/>
                <w:szCs w:val="6"/>
                <w:color w:val="auto"/>
              </w:rPr>
            </w:pPr>
          </w:p>
        </w:tc>
        <w:tc>
          <w:tcPr>
            <w:tcW w:w="460" w:type="dxa"/>
            <w:vAlign w:val="bottom"/>
            <w:tcBorders>
              <w:top w:val="single" w:sz="8" w:color="auto"/>
              <w:bottom w:val="single" w:sz="8" w:color="auto"/>
            </w:tcBorders>
            <w:shd w:val="clear" w:color="auto" w:fill="D9D9D9"/>
          </w:tcPr>
          <w:p>
            <w:pPr>
              <w:spacing w:after="0"/>
              <w:rPr>
                <w:sz w:val="6"/>
                <w:szCs w:val="6"/>
                <w:color w:val="auto"/>
              </w:rPr>
            </w:pPr>
          </w:p>
        </w:tc>
        <w:tc>
          <w:tcPr>
            <w:tcW w:w="940" w:type="dxa"/>
            <w:vAlign w:val="bottom"/>
            <w:tcBorders>
              <w:top w:val="single" w:sz="8" w:color="D9D9D9"/>
              <w:bottom w:val="single" w:sz="8" w:color="auto"/>
            </w:tcBorders>
            <w:shd w:val="clear" w:color="auto" w:fill="D9D9D9"/>
          </w:tcPr>
          <w:p>
            <w:pPr>
              <w:spacing w:after="0"/>
              <w:rPr>
                <w:sz w:val="6"/>
                <w:szCs w:val="6"/>
                <w:color w:val="auto"/>
              </w:rPr>
            </w:pPr>
          </w:p>
        </w:tc>
        <w:tc>
          <w:tcPr>
            <w:tcW w:w="24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r>
      <w:tr>
        <w:trPr>
          <w:trHeight w:val="303"/>
        </w:trPr>
        <w:tc>
          <w:tcPr>
            <w:tcW w:w="284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28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28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28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N/A</w:t>
            </w:r>
          </w:p>
        </w:tc>
      </w:tr>
      <w:tr>
        <w:trPr>
          <w:trHeight w:val="29"/>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763"/>
        </w:trPr>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7"/>
              </w:rPr>
              <w:t>Leased Property</w:t>
            </w:r>
          </w:p>
        </w:tc>
        <w:tc>
          <w:tcPr>
            <w:tcW w:w="1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7"/>
        </w:trPr>
        <w:tc>
          <w:tcPr>
            <w:tcW w:w="28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2800" w:type="dxa"/>
            <w:vAlign w:val="bottom"/>
            <w:tcBorders>
              <w:bottom w:val="single" w:sz="8" w:color="auto"/>
            </w:tcBorders>
            <w:gridSpan w:val="5"/>
          </w:tcPr>
          <w:p>
            <w:pPr>
              <w:spacing w:after="0"/>
              <w:rPr>
                <w:sz w:val="24"/>
                <w:szCs w:val="24"/>
                <w:color w:val="auto"/>
              </w:rPr>
            </w:pPr>
          </w:p>
        </w:tc>
      </w:tr>
      <w:tr>
        <w:trPr>
          <w:trHeight w:val="250"/>
        </w:trPr>
        <w:tc>
          <w:tcPr>
            <w:tcW w:w="2840" w:type="dxa"/>
            <w:vAlign w:val="bottom"/>
            <w:tcBorders>
              <w:left w:val="single" w:sz="8" w:color="auto"/>
              <w:right w:val="single" w:sz="8" w:color="auto"/>
            </w:tcBorders>
            <w:gridSpan w:val="4"/>
            <w:shd w:val="clear" w:color="auto" w:fill="D9D9D9"/>
          </w:tcPr>
          <w:p>
            <w:pPr>
              <w:ind w:left="500"/>
              <w:spacing w:after="0" w:line="250" w:lineRule="exact"/>
              <w:rPr>
                <w:sz w:val="20"/>
                <w:szCs w:val="20"/>
                <w:color w:val="auto"/>
              </w:rPr>
            </w:pPr>
            <w:r>
              <w:rPr>
                <w:rFonts w:ascii="Times New Roman" w:cs="Times New Roman" w:eastAsia="Times New Roman" w:hAnsi="Times New Roman"/>
                <w:sz w:val="22"/>
                <w:szCs w:val="22"/>
                <w:color w:val="auto"/>
              </w:rPr>
              <w:t>Subsidiary Guarantor</w:t>
            </w:r>
          </w:p>
        </w:tc>
        <w:tc>
          <w:tcPr>
            <w:tcW w:w="100" w:type="dxa"/>
            <w:vAlign w:val="bottom"/>
            <w:shd w:val="clear" w:color="auto" w:fill="D9D9D9"/>
          </w:tcPr>
          <w:p>
            <w:pPr>
              <w:spacing w:after="0"/>
              <w:rPr>
                <w:sz w:val="21"/>
                <w:szCs w:val="21"/>
                <w:color w:val="auto"/>
              </w:rPr>
            </w:pPr>
          </w:p>
        </w:tc>
        <w:tc>
          <w:tcPr>
            <w:tcW w:w="2700" w:type="dxa"/>
            <w:vAlign w:val="bottom"/>
            <w:tcBorders>
              <w:right w:val="single" w:sz="8" w:color="auto"/>
            </w:tcBorders>
            <w:gridSpan w:val="4"/>
            <w:shd w:val="clear" w:color="auto" w:fill="D9D9D9"/>
          </w:tcPr>
          <w:p>
            <w:pPr>
              <w:jc w:val="center"/>
              <w:ind w:right="120"/>
              <w:spacing w:after="0" w:line="250" w:lineRule="exact"/>
              <w:rPr>
                <w:sz w:val="20"/>
                <w:szCs w:val="20"/>
                <w:color w:val="auto"/>
              </w:rPr>
            </w:pPr>
            <w:r>
              <w:rPr>
                <w:rFonts w:ascii="Times New Roman" w:cs="Times New Roman" w:eastAsia="Times New Roman" w:hAnsi="Times New Roman"/>
                <w:sz w:val="22"/>
                <w:szCs w:val="22"/>
                <w:color w:val="auto"/>
                <w:w w:val="97"/>
              </w:rPr>
              <w:t>Number of Buildings Located</w:t>
            </w:r>
          </w:p>
        </w:tc>
        <w:tc>
          <w:tcPr>
            <w:tcW w:w="1040" w:type="dxa"/>
            <w:vAlign w:val="bottom"/>
            <w:shd w:val="clear" w:color="auto" w:fill="D9D9D9"/>
          </w:tcPr>
          <w:p>
            <w:pPr>
              <w:spacing w:after="0"/>
              <w:rPr>
                <w:sz w:val="21"/>
                <w:szCs w:val="21"/>
                <w:color w:val="auto"/>
              </w:rPr>
            </w:pPr>
          </w:p>
        </w:tc>
        <w:tc>
          <w:tcPr>
            <w:tcW w:w="1780" w:type="dxa"/>
            <w:vAlign w:val="bottom"/>
            <w:tcBorders>
              <w:right w:val="single" w:sz="8" w:color="auto"/>
            </w:tcBorders>
            <w:gridSpan w:val="2"/>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auto"/>
              </w:rPr>
              <w:t>Address</w:t>
            </w:r>
          </w:p>
        </w:tc>
        <w:tc>
          <w:tcPr>
            <w:tcW w:w="2800" w:type="dxa"/>
            <w:vAlign w:val="bottom"/>
            <w:tcBorders>
              <w:right w:val="single" w:sz="8" w:color="auto"/>
            </w:tcBorders>
            <w:gridSpan w:val="5"/>
            <w:shd w:val="clear" w:color="auto" w:fill="D9D9D9"/>
          </w:tcPr>
          <w:p>
            <w:pPr>
              <w:jc w:val="center"/>
              <w:ind w:right="40"/>
              <w:spacing w:after="0" w:line="250" w:lineRule="exact"/>
              <w:rPr>
                <w:sz w:val="20"/>
                <w:szCs w:val="20"/>
                <w:color w:val="auto"/>
              </w:rPr>
            </w:pPr>
            <w:r>
              <w:rPr>
                <w:rFonts w:ascii="Times New Roman" w:cs="Times New Roman" w:eastAsia="Times New Roman" w:hAnsi="Times New Roman"/>
                <w:sz w:val="22"/>
                <w:szCs w:val="22"/>
                <w:color w:val="auto"/>
                <w:w w:val="97"/>
              </w:rPr>
              <w:t>City, County, State and Zip</w:t>
            </w:r>
          </w:p>
        </w:tc>
      </w:tr>
      <w:tr>
        <w:trPr>
          <w:trHeight w:val="264"/>
        </w:trPr>
        <w:tc>
          <w:tcPr>
            <w:tcW w:w="500" w:type="dxa"/>
            <w:vAlign w:val="bottom"/>
            <w:tcBorders>
              <w:top w:val="single" w:sz="8" w:color="D9D9D9"/>
              <w:left w:val="single" w:sz="8" w:color="auto"/>
            </w:tcBorders>
            <w:shd w:val="clear" w:color="auto" w:fill="D9D9D9"/>
          </w:tcPr>
          <w:p>
            <w:pPr>
              <w:spacing w:after="0"/>
              <w:rPr>
                <w:sz w:val="22"/>
                <w:szCs w:val="22"/>
                <w:color w:val="auto"/>
              </w:rPr>
            </w:pPr>
          </w:p>
        </w:tc>
        <w:tc>
          <w:tcPr>
            <w:tcW w:w="920" w:type="dxa"/>
            <w:vAlign w:val="bottom"/>
            <w:tcBorders>
              <w:top w:val="single" w:sz="8" w:color="auto"/>
            </w:tcBorders>
            <w:shd w:val="clear" w:color="auto" w:fill="D9D9D9"/>
          </w:tcPr>
          <w:p>
            <w:pPr>
              <w:spacing w:after="0"/>
              <w:rPr>
                <w:sz w:val="22"/>
                <w:szCs w:val="22"/>
                <w:color w:val="auto"/>
              </w:rPr>
            </w:pPr>
          </w:p>
        </w:tc>
        <w:tc>
          <w:tcPr>
            <w:tcW w:w="920" w:type="dxa"/>
            <w:vAlign w:val="bottom"/>
            <w:tcBorders>
              <w:top w:val="single" w:sz="8" w:color="auto"/>
            </w:tcBorders>
            <w:shd w:val="clear" w:color="auto" w:fill="D9D9D9"/>
          </w:tcPr>
          <w:p>
            <w:pPr>
              <w:spacing w:after="0"/>
              <w:rPr>
                <w:sz w:val="22"/>
                <w:szCs w:val="22"/>
                <w:color w:val="auto"/>
              </w:rPr>
            </w:pPr>
          </w:p>
        </w:tc>
        <w:tc>
          <w:tcPr>
            <w:tcW w:w="500" w:type="dxa"/>
            <w:vAlign w:val="bottom"/>
            <w:tcBorders>
              <w:top w:val="single" w:sz="8" w:color="D9D9D9"/>
              <w:right w:val="single" w:sz="8" w:color="auto"/>
            </w:tcBorders>
            <w:shd w:val="clear" w:color="auto" w:fill="D9D9D9"/>
          </w:tcPr>
          <w:p>
            <w:pPr>
              <w:spacing w:after="0"/>
              <w:rPr>
                <w:sz w:val="22"/>
                <w:szCs w:val="22"/>
                <w:color w:val="auto"/>
              </w:rPr>
            </w:pPr>
          </w:p>
        </w:tc>
        <w:tc>
          <w:tcPr>
            <w:tcW w:w="100" w:type="dxa"/>
            <w:vAlign w:val="bottom"/>
            <w:tcBorders>
              <w:top w:val="single" w:sz="8" w:color="D9D9D9"/>
            </w:tcBorders>
            <w:shd w:val="clear" w:color="auto" w:fill="D9D9D9"/>
          </w:tcPr>
          <w:p>
            <w:pPr>
              <w:spacing w:after="0"/>
              <w:rPr>
                <w:sz w:val="22"/>
                <w:szCs w:val="22"/>
                <w:color w:val="auto"/>
              </w:rPr>
            </w:pPr>
          </w:p>
        </w:tc>
        <w:tc>
          <w:tcPr>
            <w:tcW w:w="2580" w:type="dxa"/>
            <w:vAlign w:val="bottom"/>
            <w:tcBorders>
              <w:top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on Such Property</w:t>
            </w:r>
          </w:p>
        </w:tc>
        <w:tc>
          <w:tcPr>
            <w:tcW w:w="120" w:type="dxa"/>
            <w:vAlign w:val="bottom"/>
            <w:tcBorders>
              <w:top w:val="single" w:sz="8" w:color="D9D9D9"/>
              <w:right w:val="single" w:sz="8" w:color="auto"/>
            </w:tcBorders>
            <w:shd w:val="clear" w:color="auto" w:fill="D9D9D9"/>
          </w:tcPr>
          <w:p>
            <w:pPr>
              <w:spacing w:after="0"/>
              <w:rPr>
                <w:sz w:val="22"/>
                <w:szCs w:val="22"/>
                <w:color w:val="auto"/>
              </w:rPr>
            </w:pPr>
          </w:p>
        </w:tc>
        <w:tc>
          <w:tcPr>
            <w:tcW w:w="1040" w:type="dxa"/>
            <w:vAlign w:val="bottom"/>
            <w:tcBorders>
              <w:top w:val="single" w:sz="8" w:color="D9D9D9"/>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spacing w:after="0"/>
              <w:rPr>
                <w:sz w:val="22"/>
                <w:szCs w:val="22"/>
                <w:color w:val="auto"/>
              </w:rPr>
            </w:pPr>
          </w:p>
        </w:tc>
        <w:tc>
          <w:tcPr>
            <w:tcW w:w="1080" w:type="dxa"/>
            <w:vAlign w:val="bottom"/>
            <w:tcBorders>
              <w:top w:val="single" w:sz="8" w:color="D9D9D9"/>
              <w:right w:val="single" w:sz="8" w:color="auto"/>
            </w:tcBorders>
            <w:shd w:val="clear" w:color="auto" w:fill="D9D9D9"/>
          </w:tcPr>
          <w:p>
            <w:pPr>
              <w:spacing w:after="0"/>
              <w:rPr>
                <w:sz w:val="22"/>
                <w:szCs w:val="22"/>
                <w:color w:val="auto"/>
              </w:rPr>
            </w:pPr>
          </w:p>
        </w:tc>
        <w:tc>
          <w:tcPr>
            <w:tcW w:w="200" w:type="dxa"/>
            <w:vAlign w:val="bottom"/>
            <w:tcBorders>
              <w:top w:val="single" w:sz="8" w:color="D9D9D9"/>
            </w:tcBorders>
            <w:shd w:val="clear" w:color="auto" w:fill="D9D9D9"/>
          </w:tcPr>
          <w:p>
            <w:pPr>
              <w:spacing w:after="0"/>
              <w:rPr>
                <w:sz w:val="22"/>
                <w:szCs w:val="22"/>
                <w:color w:val="auto"/>
              </w:rPr>
            </w:pPr>
          </w:p>
        </w:tc>
        <w:tc>
          <w:tcPr>
            <w:tcW w:w="960" w:type="dxa"/>
            <w:vAlign w:val="bottom"/>
            <w:tcBorders>
              <w:top w:val="single" w:sz="8" w:color="auto"/>
            </w:tcBorders>
            <w:shd w:val="clear" w:color="auto" w:fill="D9D9D9"/>
          </w:tcPr>
          <w:p>
            <w:pPr>
              <w:spacing w:after="0"/>
              <w:rPr>
                <w:sz w:val="22"/>
                <w:szCs w:val="22"/>
                <w:color w:val="auto"/>
              </w:rPr>
            </w:pPr>
          </w:p>
        </w:tc>
        <w:tc>
          <w:tcPr>
            <w:tcW w:w="1400" w:type="dxa"/>
            <w:vAlign w:val="bottom"/>
            <w:tcBorders>
              <w:top w:val="single" w:sz="8" w:color="auto"/>
            </w:tcBorders>
            <w:gridSpan w:val="2"/>
            <w:shd w:val="clear" w:color="auto" w:fill="D9D9D9"/>
          </w:tcPr>
          <w:p>
            <w:pPr>
              <w:jc w:val="center"/>
              <w:ind w:right="940"/>
              <w:spacing w:after="0"/>
              <w:rPr>
                <w:sz w:val="20"/>
                <w:szCs w:val="20"/>
                <w:color w:val="auto"/>
              </w:rPr>
            </w:pPr>
            <w:r>
              <w:rPr>
                <w:rFonts w:ascii="Times New Roman" w:cs="Times New Roman" w:eastAsia="Times New Roman" w:hAnsi="Times New Roman"/>
                <w:sz w:val="22"/>
                <w:szCs w:val="22"/>
                <w:color w:val="auto"/>
                <w:w w:val="98"/>
              </w:rPr>
              <w:t>Code</w:t>
            </w:r>
          </w:p>
        </w:tc>
        <w:tc>
          <w:tcPr>
            <w:tcW w:w="240" w:type="dxa"/>
            <w:vAlign w:val="bottom"/>
            <w:tcBorders>
              <w:top w:val="single" w:sz="8" w:color="D9D9D9"/>
              <w:right w:val="single" w:sz="8" w:color="auto"/>
            </w:tcBorders>
            <w:shd w:val="clear" w:color="auto" w:fill="D9D9D9"/>
          </w:tcPr>
          <w:p>
            <w:pPr>
              <w:spacing w:after="0"/>
              <w:rPr>
                <w:sz w:val="22"/>
                <w:szCs w:val="22"/>
                <w:color w:val="auto"/>
              </w:rPr>
            </w:pPr>
          </w:p>
        </w:tc>
      </w:tr>
      <w:tr>
        <w:trPr>
          <w:trHeight w:val="74"/>
        </w:trPr>
        <w:tc>
          <w:tcPr>
            <w:tcW w:w="500" w:type="dxa"/>
            <w:vAlign w:val="bottom"/>
            <w:tcBorders>
              <w:top w:val="single" w:sz="8" w:color="D9D9D9"/>
              <w:left w:val="single" w:sz="8" w:color="auto"/>
              <w:bottom w:val="single" w:sz="8" w:color="auto"/>
            </w:tcBorders>
            <w:shd w:val="clear" w:color="auto" w:fill="D9D9D9"/>
          </w:tcPr>
          <w:p>
            <w:pPr>
              <w:spacing w:after="0"/>
              <w:rPr>
                <w:sz w:val="6"/>
                <w:szCs w:val="6"/>
                <w:color w:val="auto"/>
              </w:rPr>
            </w:pPr>
          </w:p>
        </w:tc>
        <w:tc>
          <w:tcPr>
            <w:tcW w:w="920" w:type="dxa"/>
            <w:vAlign w:val="bottom"/>
            <w:tcBorders>
              <w:top w:val="single" w:sz="8" w:color="D9D9D9"/>
              <w:bottom w:val="single" w:sz="8" w:color="auto"/>
            </w:tcBorders>
            <w:shd w:val="clear" w:color="auto" w:fill="D9D9D9"/>
          </w:tcPr>
          <w:p>
            <w:pPr>
              <w:spacing w:after="0"/>
              <w:rPr>
                <w:sz w:val="6"/>
                <w:szCs w:val="6"/>
                <w:color w:val="auto"/>
              </w:rPr>
            </w:pPr>
          </w:p>
        </w:tc>
        <w:tc>
          <w:tcPr>
            <w:tcW w:w="920" w:type="dxa"/>
            <w:vAlign w:val="bottom"/>
            <w:tcBorders>
              <w:top w:val="single" w:sz="8" w:color="D9D9D9"/>
              <w:bottom w:val="single" w:sz="8" w:color="auto"/>
            </w:tcBorders>
            <w:shd w:val="clear" w:color="auto" w:fill="D9D9D9"/>
          </w:tcPr>
          <w:p>
            <w:pPr>
              <w:spacing w:after="0"/>
              <w:rPr>
                <w:sz w:val="6"/>
                <w:szCs w:val="6"/>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00" w:type="dxa"/>
            <w:vAlign w:val="bottom"/>
            <w:tcBorders>
              <w:top w:val="single" w:sz="8" w:color="D9D9D9"/>
              <w:bottom w:val="single" w:sz="8" w:color="auto"/>
            </w:tcBorders>
            <w:shd w:val="clear" w:color="auto" w:fill="D9D9D9"/>
          </w:tcPr>
          <w:p>
            <w:pPr>
              <w:spacing w:after="0"/>
              <w:rPr>
                <w:sz w:val="6"/>
                <w:szCs w:val="6"/>
                <w:color w:val="auto"/>
              </w:rPr>
            </w:pPr>
          </w:p>
        </w:tc>
        <w:tc>
          <w:tcPr>
            <w:tcW w:w="540" w:type="dxa"/>
            <w:vAlign w:val="bottom"/>
            <w:tcBorders>
              <w:top w:val="single" w:sz="8" w:color="D9D9D9"/>
              <w:bottom w:val="single" w:sz="8" w:color="auto"/>
            </w:tcBorders>
            <w:shd w:val="clear" w:color="auto" w:fill="D9D9D9"/>
          </w:tcPr>
          <w:p>
            <w:pPr>
              <w:spacing w:after="0"/>
              <w:rPr>
                <w:sz w:val="6"/>
                <w:szCs w:val="6"/>
                <w:color w:val="auto"/>
              </w:rPr>
            </w:pPr>
          </w:p>
        </w:tc>
        <w:tc>
          <w:tcPr>
            <w:tcW w:w="1500" w:type="dxa"/>
            <w:vAlign w:val="bottom"/>
            <w:tcBorders>
              <w:top w:val="single" w:sz="8" w:color="auto"/>
              <w:bottom w:val="single" w:sz="8" w:color="auto"/>
            </w:tcBorders>
            <w:shd w:val="clear" w:color="auto" w:fill="D9D9D9"/>
          </w:tcPr>
          <w:p>
            <w:pPr>
              <w:spacing w:after="0"/>
              <w:rPr>
                <w:sz w:val="6"/>
                <w:szCs w:val="6"/>
                <w:color w:val="auto"/>
              </w:rPr>
            </w:pPr>
          </w:p>
        </w:tc>
        <w:tc>
          <w:tcPr>
            <w:tcW w:w="540" w:type="dxa"/>
            <w:vAlign w:val="bottom"/>
            <w:tcBorders>
              <w:top w:val="single" w:sz="8" w:color="D9D9D9"/>
              <w:bottom w:val="single" w:sz="8" w:color="auto"/>
            </w:tcBorders>
            <w:shd w:val="clear" w:color="auto" w:fill="D9D9D9"/>
          </w:tcPr>
          <w:p>
            <w:pPr>
              <w:spacing w:after="0"/>
              <w:rPr>
                <w:sz w:val="6"/>
                <w:szCs w:val="6"/>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040" w:type="dxa"/>
            <w:vAlign w:val="bottom"/>
            <w:tcBorders>
              <w:top w:val="single" w:sz="8" w:color="D9D9D9"/>
              <w:bottom w:val="single" w:sz="8" w:color="auto"/>
            </w:tcBorders>
            <w:shd w:val="clear" w:color="auto" w:fill="D9D9D9"/>
          </w:tcPr>
          <w:p>
            <w:pPr>
              <w:spacing w:after="0"/>
              <w:rPr>
                <w:sz w:val="6"/>
                <w:szCs w:val="6"/>
                <w:color w:val="auto"/>
              </w:rPr>
            </w:pPr>
          </w:p>
        </w:tc>
        <w:tc>
          <w:tcPr>
            <w:tcW w:w="700" w:type="dxa"/>
            <w:vAlign w:val="bottom"/>
            <w:tcBorders>
              <w:top w:val="single" w:sz="8" w:color="D9D9D9"/>
              <w:bottom w:val="single" w:sz="8" w:color="auto"/>
            </w:tcBorders>
            <w:shd w:val="clear" w:color="auto" w:fill="D9D9D9"/>
          </w:tcPr>
          <w:p>
            <w:pPr>
              <w:spacing w:after="0"/>
              <w:rPr>
                <w:sz w:val="6"/>
                <w:szCs w:val="6"/>
                <w:color w:val="auto"/>
              </w:rPr>
            </w:pPr>
          </w:p>
        </w:tc>
        <w:tc>
          <w:tcPr>
            <w:tcW w:w="108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200" w:type="dxa"/>
            <w:vAlign w:val="bottom"/>
            <w:tcBorders>
              <w:top w:val="single" w:sz="8" w:color="D9D9D9"/>
              <w:bottom w:val="single" w:sz="8" w:color="auto"/>
            </w:tcBorders>
            <w:shd w:val="clear" w:color="auto" w:fill="D9D9D9"/>
          </w:tcPr>
          <w:p>
            <w:pPr>
              <w:spacing w:after="0"/>
              <w:rPr>
                <w:sz w:val="6"/>
                <w:szCs w:val="6"/>
                <w:color w:val="auto"/>
              </w:rPr>
            </w:pPr>
          </w:p>
        </w:tc>
        <w:tc>
          <w:tcPr>
            <w:tcW w:w="960" w:type="dxa"/>
            <w:vAlign w:val="bottom"/>
            <w:tcBorders>
              <w:top w:val="single" w:sz="8" w:color="D9D9D9"/>
              <w:bottom w:val="single" w:sz="8" w:color="auto"/>
            </w:tcBorders>
            <w:shd w:val="clear" w:color="auto" w:fill="D9D9D9"/>
          </w:tcPr>
          <w:p>
            <w:pPr>
              <w:spacing w:after="0"/>
              <w:rPr>
                <w:sz w:val="6"/>
                <w:szCs w:val="6"/>
                <w:color w:val="auto"/>
              </w:rPr>
            </w:pPr>
          </w:p>
        </w:tc>
        <w:tc>
          <w:tcPr>
            <w:tcW w:w="460" w:type="dxa"/>
            <w:vAlign w:val="bottom"/>
            <w:tcBorders>
              <w:top w:val="single" w:sz="8" w:color="auto"/>
              <w:bottom w:val="single" w:sz="8" w:color="auto"/>
            </w:tcBorders>
            <w:shd w:val="clear" w:color="auto" w:fill="D9D9D9"/>
          </w:tcPr>
          <w:p>
            <w:pPr>
              <w:spacing w:after="0"/>
              <w:rPr>
                <w:sz w:val="6"/>
                <w:szCs w:val="6"/>
                <w:color w:val="auto"/>
              </w:rPr>
            </w:pPr>
          </w:p>
        </w:tc>
        <w:tc>
          <w:tcPr>
            <w:tcW w:w="940" w:type="dxa"/>
            <w:vAlign w:val="bottom"/>
            <w:tcBorders>
              <w:top w:val="single" w:sz="8" w:color="D9D9D9"/>
              <w:bottom w:val="single" w:sz="8" w:color="auto"/>
            </w:tcBorders>
            <w:shd w:val="clear" w:color="auto" w:fill="D9D9D9"/>
          </w:tcPr>
          <w:p>
            <w:pPr>
              <w:spacing w:after="0"/>
              <w:rPr>
                <w:sz w:val="6"/>
                <w:szCs w:val="6"/>
                <w:color w:val="auto"/>
              </w:rPr>
            </w:pPr>
          </w:p>
        </w:tc>
        <w:tc>
          <w:tcPr>
            <w:tcW w:w="24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r>
      <w:tr>
        <w:trPr>
          <w:trHeight w:val="303"/>
        </w:trPr>
        <w:tc>
          <w:tcPr>
            <w:tcW w:w="284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Magnetic Seal LLC</w:t>
            </w:r>
          </w:p>
        </w:tc>
        <w:tc>
          <w:tcPr>
            <w:tcW w:w="28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One (1)</w:t>
            </w:r>
          </w:p>
        </w:tc>
        <w:tc>
          <w:tcPr>
            <w:tcW w:w="28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365 Market St.</w:t>
            </w:r>
          </w:p>
        </w:tc>
        <w:tc>
          <w:tcPr>
            <w:tcW w:w="28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2"/>
                <w:szCs w:val="22"/>
                <w:color w:val="auto"/>
              </w:rPr>
              <w:t>Warren, RI 02885</w:t>
            </w:r>
          </w:p>
        </w:tc>
      </w:tr>
      <w:tr>
        <w:trPr>
          <w:trHeight w:val="28"/>
        </w:trPr>
        <w:tc>
          <w:tcPr>
            <w:tcW w:w="5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399"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April 2, 2022;</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April 2, 2022;</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April 2, 2022,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April 2, 2022,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D. Wampler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Vice President, Chief Financial Officer, Controller and Treasurer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5"/>
    </w:lvl>
    <w:lvl w:ilvl="1">
      <w:lvlJc w:val="left"/>
      <w:lvlText w:val="(%2)"/>
      <w:numFmt w:val="lowerLetter"/>
      <w:start w:val="1"/>
    </w:lvl>
  </w:abstractNum>
  <w:abstractNum w:abstractNumId="15">
    <w:nsid w:val="431BD7B7"/>
    <w:multiLevelType w:val="hybridMultilevel"/>
    <w:lvl w:ilvl="0">
      <w:lvlJc w:val="left"/>
      <w:lvlText w:val="%1."/>
      <w:numFmt w:val="decimal"/>
      <w:start w:val="6"/>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50" Type="http://schemas.openxmlformats.org/officeDocument/2006/relationships/hyperlink" Target="http://www.sec.gov/Archives/edgar/data/30305/000119312517281838/d414212dex21.htm" TargetMode="External"/><Relationship Id="rId51" Type="http://schemas.openxmlformats.org/officeDocument/2006/relationships/hyperlink" Target="http://www.sec.gov/Archives/edgar/data/30305/000119312519264787/d817718dex21.htm" TargetMode="External"/><Relationship Id="rId52" Type="http://schemas.openxmlformats.org/officeDocument/2006/relationships/hyperlink" Target="http://www.sec.gov/Archives/edgar/data/30305/000119312521358659/d203605dex21.htm" TargetMode="External"/><Relationship Id="rId53" Type="http://schemas.openxmlformats.org/officeDocument/2006/relationships/hyperlink" Target="http://www.sec.gov/Archives/edgar/data/30305/000119312521361798/d273590dex21.htm" TargetMode="External"/><Relationship Id="rId54" Type="http://schemas.openxmlformats.org/officeDocument/2006/relationships/hyperlink" Target="http://www.sec.gov/Archives/edgar/data/30305/0000892569-99-000620-index.html" TargetMode="External"/><Relationship Id="rId55" Type="http://schemas.openxmlformats.org/officeDocument/2006/relationships/hyperlink" Target="http://www.sec.gov/Archives/edgar/data/30305/000119312513121993/d505045dex991.htm" TargetMode="External"/><Relationship Id="rId56" Type="http://schemas.openxmlformats.org/officeDocument/2006/relationships/hyperlink" Target="http://www.sec.gov/Archives/edgar/data/30305/000119312517005088/d321215dex992.htm" TargetMode="External"/><Relationship Id="rId57" Type="http://schemas.openxmlformats.org/officeDocument/2006/relationships/hyperlink" Target="http://www.sec.gov/Archives/edgar/data/30305/000119312518058275/0001193125-18-058275-index.htm" TargetMode="External"/><Relationship Id="rId58" Type="http://schemas.openxmlformats.org/officeDocument/2006/relationships/hyperlink" Target="http://www.sec.gov/Archives/edgar/data/30305/000119312521073228/0001193125-21-073228-index.htm" TargetMode="External"/><Relationship Id="rId59" Type="http://schemas.openxmlformats.org/officeDocument/2006/relationships/hyperlink" Target="http://www.sec.gov/Archives/edgar/data/30305/000162828020001898/dco10-k2019exhibit4_1.htm" TargetMode="External"/><Relationship Id="rId60" Type="http://schemas.openxmlformats.org/officeDocument/2006/relationships/hyperlink" Target="http://www.sec.gov/Archives/edgar/data/30305/000162828021021193/dco-q3202110xqxex10_1x2nda.htm" TargetMode="External"/><Relationship Id="rId61" Type="http://schemas.openxmlformats.org/officeDocument/2006/relationships/hyperlink" Target="http://www.sec.gov/Archives/edgar/data/30305/000119312519321137/d834392dex101.htm" TargetMode="External"/><Relationship Id="rId62" Type="http://schemas.openxmlformats.org/officeDocument/2006/relationships/hyperlink" Target="http://www.sec.gov/Archives/edgar/data/30305/000119312518333904/0001193125-18-333904-index.htm" TargetMode="External"/><Relationship Id="rId63" Type="http://schemas.openxmlformats.org/officeDocument/2006/relationships/hyperlink" Target="http://www.sec.gov/Archives/edgar/data/30305/000119312518093774/d536991ddef14a.htm" TargetMode="External"/><Relationship Id="rId64" Type="http://schemas.openxmlformats.org/officeDocument/2006/relationships/hyperlink" Target="http://www.sec.gov/Archives/edgar/data/30305/000119312520080692/d859194ddef14a.htm" TargetMode="External"/><Relationship Id="rId67" Type="http://schemas.openxmlformats.org/officeDocument/2006/relationships/hyperlink" Target="http://www.sec.gov/Archives/edgar/data/30305/000119312504034525/dex108.htm" TargetMode="External"/><Relationship Id="rId68" Type="http://schemas.openxmlformats.org/officeDocument/2006/relationships/hyperlink" Target="http://www.sec.gov/Archives/edgar/data/30305/000162828017002221/dco10-k2016_ex105.htm" TargetMode="External"/><Relationship Id="rId69" Type="http://schemas.openxmlformats.org/officeDocument/2006/relationships/hyperlink" Target="http://www.sec.gov/Archives/edgar/data/30305/000119312518159343/d596690dex47.htm" TargetMode="External"/><Relationship Id="rId70" Type="http://schemas.openxmlformats.org/officeDocument/2006/relationships/hyperlink" Target="http://www.sec.gov/Archives/edgar/data/30305/000162828017002221/dco10-k2016_ex109.htm" TargetMode="External"/><Relationship Id="rId71" Type="http://schemas.openxmlformats.org/officeDocument/2006/relationships/hyperlink" Target="http://www.sec.gov/Archives/edgar/data/30305/000162828017002221/dco10-k2016_ex1011.htm" TargetMode="External"/><Relationship Id="rId72" Type="http://schemas.openxmlformats.org/officeDocument/2006/relationships/hyperlink" Target="http://www.sec.gov/Archives/edgar/data/30305/000162828020011005/dco-q2202010xqex1018.htm" TargetMode="External"/><Relationship Id="rId73" Type="http://schemas.openxmlformats.org/officeDocument/2006/relationships/hyperlink" Target="http://www.sec.gov/Archives/edgar/data/30305/000162828020011005/dco-q2202010xqex1019.htm" TargetMode="External"/><Relationship Id="rId74" Type="http://schemas.openxmlformats.org/officeDocument/2006/relationships/hyperlink" Target="http://www.sec.gov/Archives/edgar/data/30305/000162828020011005/dco-q2202010xqex1020.htm" TargetMode="External"/><Relationship Id="rId75" Type="http://schemas.openxmlformats.org/officeDocument/2006/relationships/hyperlink" Target="http://www.sec.gov/Archives/edgar/data/30305/000162828020011005/dco-q2202010xqex1021.htm" TargetMode="External"/><Relationship Id="rId76" Type="http://schemas.openxmlformats.org/officeDocument/2006/relationships/hyperlink" Target="http://www.sec.gov/Archives/edgar/data/30305/000162828020011005/dco-q2202010xqex1022.htm" TargetMode="External"/><Relationship Id="rId77" Type="http://schemas.openxmlformats.org/officeDocument/2006/relationships/hyperlink" Target="http://www.sec.gov/Archives/edgar/data/30305/000119312510036507/dex1015.htm" TargetMode="External"/><Relationship Id="rId78" Type="http://schemas.openxmlformats.org/officeDocument/2006/relationships/hyperlink" Target="http://www.sec.gov/Archives/edgar/data/30305/000119312519301183/0001193125-19-301183-index.htm" TargetMode="External"/><Relationship Id="rId79" Type="http://schemas.openxmlformats.org/officeDocument/2006/relationships/hyperlink" Target="http://www.sec.gov/Archives/edgar/data/30305/000119312517020975/d284517dex991.htm" TargetMode="External"/><Relationship Id="rId80" Type="http://schemas.openxmlformats.org/officeDocument/2006/relationships/hyperlink" Target="http://www.sec.gov/Archives/edgar/data/30305/000119312517020975/d284517dex992.htm" TargetMode="External"/><Relationship Id="rId81" Type="http://schemas.openxmlformats.org/officeDocument/2006/relationships/hyperlink" Target="http://www.sec.gov/Archives/edgar/data/30305/000119312517005088/d321215dex991.htm" TargetMode="External"/><Relationship Id="rId82" Type="http://schemas.openxmlformats.org/officeDocument/2006/relationships/hyperlink" Target="http://www.sec.gov/Archives/edgar/data/30305/000162828022003518/ex10_24xrroger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2022-05-03T15:40:18Z</dcterms:created>
  <dcterms:modified xsi:type="dcterms:W3CDTF">2022-05-03T15:40:18Z</dcterms:modified>
</cp:coreProperties>
</file>