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7, 2025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DUCOMMUN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____________________________</w:t>
      </w:r>
    </w:p>
    <w:tbl>
      <w:tblPr>
        <w:tblW w:w="8859" w:type="dxa"/>
        <w:jc w:val="center"/>
        <w:tblInd w:w="0" w:type="dxa"/>
        <w:tblLayout w:type="fixed"/>
        <w:tblCellMar>
          <w:top w:w="28" w:type="dxa"/>
          <w:left w:w="28" w:type="dxa"/>
          <w:bottom w:w="28" w:type="dxa"/>
          <w:right w:w="28" w:type="dxa"/>
        </w:tblCellMar>
      </w:tblPr>
      <w:tblGrid>
        <w:gridCol w:w="748"/>
        <w:gridCol w:w="656"/>
        <w:gridCol w:w="665"/>
        <w:gridCol w:w="1652"/>
        <w:gridCol w:w="1652"/>
        <w:gridCol w:w="1675"/>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001-08174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95-0693330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600 Anton Boulevard, Suite 1100 , Costa Mesa, 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92626-7100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(657) 335-3665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pPr>
      <w:r>
        <w:rPr>
          <w:rFonts w:ascii="Times New Roman;serif" w:hAnsi="Times New Roman;serif"/>
          <w:b/>
          <w:color w:val="000000"/>
          <w:sz w:val="16"/>
        </w:rPr>
        <w:t>____________________________</w:t>
      </w:r>
      <w:r>
        <w:rPr>
          <w:color w:val="000000"/>
        </w:rPr>
        <w:t>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2" w:type="dxa"/>
        <w:jc w:val="left"/>
        <w:tblInd w:w="0" w:type="dxa"/>
        <w:tblLayout w:type="fixed"/>
        <w:tblCellMar>
          <w:top w:w="28" w:type="dxa"/>
          <w:left w:w="28" w:type="dxa"/>
          <w:bottom w:w="28" w:type="dxa"/>
          <w:right w:w="28" w:type="dxa"/>
        </w:tblCellMar>
      </w:tblPr>
      <w:tblGrid>
        <w:gridCol w:w="1226"/>
        <w:gridCol w:w="1075"/>
        <w:gridCol w:w="1089"/>
        <w:gridCol w:w="109"/>
        <w:gridCol w:w="109"/>
        <w:gridCol w:w="109"/>
        <w:gridCol w:w="484"/>
        <w:gridCol w:w="484"/>
        <w:gridCol w:w="486"/>
        <w:gridCol w:w="109"/>
        <w:gridCol w:w="109"/>
        <w:gridCol w:w="109"/>
        <w:gridCol w:w="970"/>
        <w:gridCol w:w="970"/>
        <w:gridCol w:w="1374"/>
      </w:tblGrid>
      <w:tr>
        <w:trPr/>
        <w:tc>
          <w:tcPr>
            <w:tcW w:w="122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40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3440"/>
        <w:gridCol w:w="3027"/>
        <w:gridCol w:w="3037"/>
        <w:gridCol w:w="109"/>
        <w:gridCol w:w="109"/>
        <w:gridCol w:w="109"/>
        <w:gridCol w:w="109"/>
        <w:gridCol w:w="109"/>
        <w:gridCol w:w="156"/>
      </w:tblGrid>
      <w:tr>
        <w:trPr/>
        <w:tc>
          <w:tcPr>
            <w:tcW w:w="3440"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10" w:type="dxa"/>
        <w:jc w:val="center"/>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 issued a press release on August 7, 2025 in the form attached hereto as Exhibit 99.1.</w:t>
      </w:r>
    </w:p>
    <w:p>
      <w:pPr>
        <w:pStyle w:val="TextBody"/>
        <w:bidi w:val="0"/>
        <w:spacing w:lineRule="auto" w:line="288" w:before="0" w:after="0"/>
        <w:jc w:val="left"/>
        <w:rPr>
          <w:color w:val="000000"/>
        </w:rPr>
      </w:pPr>
      <w:r>
        <w:rPr>
          <w:color w:val="000000"/>
        </w:rPr>
        <w:t>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1451" w:type="dxa"/>
        <w:jc w:val="left"/>
        <w:tblInd w:w="0" w:type="dxa"/>
        <w:tblLayout w:type="fixed"/>
        <w:tblCellMar>
          <w:top w:w="28" w:type="dxa"/>
          <w:left w:w="28" w:type="dxa"/>
          <w:bottom w:w="28" w:type="dxa"/>
          <w:right w:w="28" w:type="dxa"/>
        </w:tblCellMar>
      </w:tblPr>
      <w:tblGrid>
        <w:gridCol w:w="390"/>
        <w:gridCol w:w="343"/>
        <w:gridCol w:w="346"/>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0"/>
        <w:gridCol w:w="1940"/>
        <w:gridCol w:w="276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Title or 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coex99_1q22025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coex99_1q22025earningsrel.htm">
              <w:r>
                <w:rPr>
                  <w:rStyle w:val="InternetLink"/>
                  <w:rFonts w:ascii="Times New Roman;serif" w:hAnsi="Times New Roman;serif"/>
                  <w:b w:val="false"/>
                  <w:color w:val="0000FF"/>
                  <w:sz w:val="20"/>
                  <w:u w:val="single"/>
                </w:rPr>
                <w:t>Ducommun Incorporated press release issued on August 7,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34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44"/>
        <w:gridCol w:w="444"/>
        <w:gridCol w:w="444"/>
        <w:gridCol w:w="1123"/>
        <w:gridCol w:w="1123"/>
        <w:gridCol w:w="15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DUCOMMUN INCORPORATED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center"/>
        <w:rPr/>
      </w:pPr>
      <w:r>
        <w:rPr/>
        <w:drawing>
          <wp:inline distT="0" distB="0" distL="0" distR="0">
            <wp:extent cx="6629400"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629400" cy="561975"/>
                    </a:xfrm>
                    <a:prstGeom prst="rect">
                      <a:avLst/>
                    </a:prstGeom>
                  </pic:spPr>
                </pic:pic>
              </a:graphicData>
            </a:graphic>
          </wp:inline>
        </w:drawing>
      </w:r>
    </w:p>
    <w:p>
      <w:pPr>
        <w:pStyle w:val="TextBody"/>
        <w:bidi w:val="0"/>
        <w:spacing w:lineRule="auto" w:line="288" w:before="240" w:after="283"/>
        <w:jc w:val="left"/>
        <w:rPr>
          <w:rFonts w:ascii="Arial;sans-serif" w:hAnsi="Arial;sans-serif"/>
          <w:b/>
          <w:color w:val="000000"/>
          <w:sz w:val="32"/>
        </w:rPr>
      </w:pPr>
      <w:r>
        <w:rPr>
          <w:rFonts w:ascii="Arial;sans-serif" w:hAnsi="Arial;sans-serif"/>
          <w:b/>
          <w:color w:val="000000"/>
          <w:sz w:val="32"/>
        </w:rPr>
        <w:t>NEWS RELEASE</w: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Ducommun Incorporated Reports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Second Quarter 2025 Results</w:t>
      </w:r>
    </w:p>
    <w:p>
      <w:pPr>
        <w:pStyle w:val="TextBody"/>
        <w:bidi w:val="0"/>
        <w:spacing w:lineRule="auto" w:line="288" w:before="120" w:after="283"/>
        <w:jc w:val="center"/>
        <w:rPr>
          <w:rFonts w:ascii="Arial;sans-serif" w:hAnsi="Arial;sans-serif"/>
          <w:b w:val="false"/>
          <w:i/>
          <w:color w:val="000000"/>
          <w:sz w:val="24"/>
        </w:rPr>
      </w:pPr>
      <w:r>
        <w:rPr>
          <w:rFonts w:ascii="Arial;sans-serif" w:hAnsi="Arial;sans-serif"/>
          <w:b w:val="false"/>
          <w:i/>
          <w:color w:val="000000"/>
          <w:sz w:val="24"/>
        </w:rPr>
        <w:t>Quarterly Revenue Tops $200M; Record Quarterly Gross Margin;</w:t>
      </w:r>
    </w:p>
    <w:p>
      <w:pPr>
        <w:pStyle w:val="TextBody"/>
        <w:bidi w:val="0"/>
        <w:spacing w:lineRule="auto" w:line="288" w:before="120" w:after="283"/>
        <w:jc w:val="center"/>
        <w:rPr>
          <w:rFonts w:ascii="Arial;sans-serif" w:hAnsi="Arial;sans-serif"/>
          <w:b w:val="false"/>
          <w:i/>
          <w:color w:val="000000"/>
          <w:sz w:val="24"/>
        </w:rPr>
      </w:pPr>
      <w:r>
        <w:rPr>
          <w:rFonts w:ascii="Arial;sans-serif" w:hAnsi="Arial;sans-serif"/>
          <w:b w:val="false"/>
          <w:i/>
          <w:color w:val="000000"/>
          <w:sz w:val="24"/>
        </w:rPr>
        <w:t>Net Income Increase of 63% Year-over-Year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COSTA MESA, CALIFORNIA (August 7, 2025) – Ducommun Incorporated (NYSE: DCO) (“Ducommun” or the “Company”) today reported results for its second quarter ended June 28,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Second Quarter 2025 Recap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Net revenue was $202.3 million, an increase of 3% over Q2 2024</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Gross margin of 26.6%, year-over-year growth of 60 bps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income of $12.6 million (increase of 63% year-over-year), or $0.82 per diluted share, or 6.2% of revenue, up 230 bps year-over-year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Non-GAAP adjusted net income of $13.4 million (increase of 8% year-over-year), or $0.88 per diluted share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Adjusted EBITDA of $32.4 million (increase of 8% year-over-year), or 16.0% of revenue, up 80 bps year-over-year</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 xml:space="preserve">Another excellent quarter for Ducommun as we continue to make solid progress towards our VISION 2027 goals with both gross margin and Adjusted EBITDA margin and dollars at record levels. Net revenue grew 3% to $202.3 million as anticipated, led by strength in our defense business which offset the continued headwinds in commercial aerospace OEM demand,” said Stephen G. Oswald, chairman, president and chief executive officer. “Defense in Q2 saw strong demand across several missile programs as well as radar, military rotary-wing aircraft platforms and a classified program. While there was continued weakness in revenues from Boeing during the quarter, I am increasingly confident that their recent performance in 2025 is a sign of much better days ahead both in single aisle and wide-body aircraft. </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 xml:space="preserve">The Company continues to make strong progress in its margin expansion journey as well with gross margins expanding 60 bps year-over-year from 26.0% to 26.6%, which is an excellent achievement. Adjusted EBITDA exceeded $30 million for the second consecutive quarter, expanding 80 bps year-over-year from 15.2% to 16.0% as we build a consistent track record. The continued growth in Adjusted EBITDA margins in Q2 keeps us on pace to meet the VISION 2027 financial goal of 18% Adjusted EBITDA. </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The tariff environment continues to evolve and we currently do not expect it to have any material impact on our financial outlook. As a reminder we are largely a U.S. manufacturer with U.S. workers and our domestic facilities generate more than 95% of Ducommun’s revenue. With the recent EU agreement this also clears the way, tariff free with DCO's Airbus business. In addition, we are making progress in putting in plans to largely mitigate raw materials tariff exposures through either duty exemptions on military products or by passing through to our customers under the terms of our contracts.</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In summary, Q2 was another strong performance and along with Q1, we have had an excellent first half. We are also very optimistic for greater revenue growth year-over-year in second half of 2025 as market demand increases.”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Second Quarter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revenue for the second quarter of 2025 was $202.3 million compared to $197.0 million for the second quarter of 2024. The year-over-year increase was primarily due to the following in the Company's key end-use markets: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$16.5 million higher revenue in the Company’s military and space end-use markets due to higher rates on selected missile, rotary-wing aircraft, and radar platforms and a classified program;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$9.0 million lower revenue in the Company’s commercial aerospace end-use markets due to lower revenues from Boeing and lower rates on rotary-wing aircraft platforms.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revenue for the Company’s industrial end-use markets for the second quarter of 2025 decreased $2.3 million compared to the second quarter of 2024 mainly due to the Company’s selective pruning of non-core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Net income for the second quarter of 2025 was $12.6 million, or 6.2% of revenue, or $0.82 per diluted share, compared to $7.7 million, or 3.9% revenue, or $0.52 per diluted share, for the second quarter of 2024. This reflects higher gross profit of $2.5 million, higher other income of $1.7 million, and lower restructuring charges of $1.5 million (prior year included $0.9 million recorded as cost of sales), partially offset by higher income tax expense of $1.1 million.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Gross profit for the second quarter of 2025 was $53.7 million, or 26.6% of revenue, compared to gross profit of $51.2 million, or 26.0% of revenue, for the second quarter of 2024. The increase in gross profit as a percentage of net revenue year-over-year was primarily due to lower other manufacturing costs and lower restructuring charges as a result of nearing the completion of the wind down of the Monrovia performance center, partially offset by unfavorable product mix and lower manufacturing volume.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for the second quarter of 2025 was $17.2 million, or 8.5% of revenue, compared to $13.9 million, or 7.1% of revenue, in the comparable period last year. The year-over-year increase of $3.2 million was primarily due to higher gross profit and lower restructuring charges. Non-GAAP adjusted operating income for the second quarter of 2025 was $20.0 million, or 9.9% of revenue, compared to $19.9 million, or 10.1% of revenue, in the comparable period last year. The year-over-year increase was primarily due to higher GAAP operating income, partially offset by lower add backs of restructuring charges and professional fees related to unsolicited non-binding acquisition offer.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for the second quarter of 2025 was $32.4 million, or 16.0% of revenue, compared to $30.0 million, or 15.2% of revenue, for the comparable period in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Interest expense for the second quarter of 2025 was $3.0 million compared to $4.0 million in the comparable period of 2024. The year-over-year decrease was primarily due lower interest rates along with a lower debt balance.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second quarter of 2025, the net cash provided by operations was $22.4 million compared to $3.5 million during the second quarter of 2024. The higher net cash provided by operations during the second quarter of 2025 was primarily due to higher net income, higher accounts payable, and a smaller increase in contract assets.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Segment Information</w:t>
      </w:r>
    </w:p>
    <w:p>
      <w:pPr>
        <w:pStyle w:val="TextBody"/>
        <w:bidi w:val="0"/>
        <w:spacing w:lineRule="auto" w:line="288" w:before="240" w:after="283"/>
        <w:jc w:val="both"/>
        <w:rPr>
          <w:rFonts w:ascii="Arial;sans-serif" w:hAnsi="Arial;sans-serif"/>
          <w:b w:val="false"/>
          <w:color w:val="000000"/>
          <w:sz w:val="20"/>
          <w:u w:val="single"/>
        </w:rPr>
      </w:pPr>
      <w:r>
        <w:rPr>
          <w:rFonts w:ascii="Arial;sans-serif" w:hAnsi="Arial;sans-serif"/>
          <w:b w:val="false"/>
          <w:color w:val="000000"/>
          <w:sz w:val="20"/>
          <w:u w:val="single"/>
        </w:rPr>
        <w:t>Electronic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Electronic Systems segment net revenue for the quarter ended June 28, 2025 was $110.2 million, compared to $101.4 million for the second quarter of 2024. The year-over-year increase was primarily due to the following in the Company's key end-use markets: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$13.8 million higher revenue within the Company’s military and space end-use markets due to higher rates on selected missiles, radar, fixed-wing aircraft platforms, and a classified program, partially offset by lower rates on electronic warfare platforms;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$2.7 million lower revenue in the Company’s commercial aerospace end-use markets due to lower in-flight entertainment revenues and lower rates on large aircraft platforms.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revenue for the Company’s industrial end-use markets for the second quarter of 2025 decreased $2.3 million compared to the second quarter of 2024 mainly due to the Company’s selective pruning of non-core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Electronic Systems segment operating income for the quarter ended June 28, 2025 was $21.0 million, or 19.0% of revenue, compared to $16.8 million, or 16.6% of revenue, for the comparable quarter in 2024. The year-over-year increase of $4.2 million was primarily due to favorable product mix, higher manufacturing volume, and lower other manufacturing costs. Non-GAAP adjusted operating income for the second quarter of 2025 was $21.4 million, or 19.4% of revenue, compared to $17.2 million, or 16.9% of revenue, in the comparable period last year.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Structural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Structural Systems segment net revenue for the quarter ended June 28, 2025 was $92.0 million, compared to $95.6 million for the second quarter of 2024. The year-over-year decrease was primarily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$6.2 million lower revenue within the Company’s commercial aerospace end-use markets due to lower revenues from Boeing;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$2.7 million higher revenue within the Company’s military and space end-use markets due to higher rates on selected rotary-wing aircraft platforms, partially offset by lower rates on selected fixed-wing aircraft platforms.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Structural Systems segment operating income for the quarter ended June 28, 2025 was $9.5 million, or 10.4% of revenue, compared to $10.6 million, or 11.0% of revenue, for the comparable quarter in 2024. The year-over-year decrease of $1.0 million was primarily due to unfavorable product mix and lower manufacturing volume, partially offset by lower other manufacturing costs and lower restructuring charges as a result of nearing the completion of the wind down of the Monrovia performance center. Non-GAAP adjusted operating income for the second quarter of 2025 was $11.9 million, or 13.0% of revenue, compared to $14.7 million, or 15.4% of revenue, in the comparable period last year.</w:t>
      </w:r>
    </w:p>
    <w:p>
      <w:pPr>
        <w:pStyle w:val="TextBody"/>
        <w:bidi w:val="0"/>
        <w:spacing w:lineRule="auto" w:line="288" w:before="240" w:after="283"/>
        <w:jc w:val="both"/>
        <w:rPr>
          <w:rFonts w:ascii="Arial;sans-serif" w:hAnsi="Arial;sans-serif"/>
          <w:b w:val="false"/>
          <w:color w:val="000000"/>
          <w:sz w:val="20"/>
          <w:u w:val="single"/>
        </w:rPr>
      </w:pPr>
      <w:r>
        <w:rPr>
          <w:rFonts w:ascii="Arial;sans-serif" w:hAnsi="Arial;sans-serif"/>
          <w:b w:val="false"/>
          <w:color w:val="000000"/>
          <w:sz w:val="20"/>
          <w:u w:val="single"/>
        </w:rPr>
        <w:t>Corporate General and Administrative (“CG&amp;A”)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CG&amp;A expenses for the second quarter of 2025 were $13.3 million, or 6.6% of total Company revenue, compared to 13.4 million, or 6.8% of total Company revenue, for the comparable quarter in the prior year. The year-over-year decrease in CG&amp;A expenses was primarily due to lower professional services fees of $1.0 million, partially offset by higher compensation and benefits costs of $0.6 million.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teleconference hosted by Stephen G. Oswald, the Company’s chairman, president and chief executive officer, and Suman B. Mookerji, the Company’s senior vice president, chief financial officer will be held today, August 7, 2025 at 10:00 a.m. PT (1:00 p.m. ET) to review these financial results. To access the conference call, please pre-register using the following registration link: </w:t>
      </w:r>
    </w:p>
    <w:p>
      <w:pPr>
        <w:pStyle w:val="TextBody"/>
        <w:bidi w:val="0"/>
        <w:spacing w:lineRule="auto" w:line="288" w:before="120" w:after="283"/>
        <w:jc w:val="both"/>
        <w:rPr>
          <w:rFonts w:ascii="Arial;sans-serif" w:hAnsi="Arial;sans-serif"/>
          <w:b w:val="false"/>
          <w:color w:val="0000FF"/>
          <w:sz w:val="20"/>
          <w:u w:val="single"/>
        </w:rPr>
      </w:pPr>
      <w:r>
        <w:rPr>
          <w:rFonts w:ascii="Arial;sans-serif" w:hAnsi="Arial;sans-serif"/>
          <w:b w:val="false"/>
          <w:color w:val="0000FF"/>
          <w:sz w:val="20"/>
          <w:u w:val="single"/>
        </w:rPr>
        <w:t>https://register-conf.media-server.com/register/BI46d4e87fa387494a9f8901443dd7195c</w:t>
      </w:r>
    </w:p>
    <w:p>
      <w:pPr>
        <w:pStyle w:val="TextBody"/>
        <w:bidi w:val="0"/>
        <w:spacing w:lineRule="auto" w:line="288" w:before="120" w:after="283"/>
        <w:jc w:val="both"/>
        <w:rPr/>
      </w:pPr>
      <w:r>
        <w:rPr>
          <w:rFonts w:ascii="Arial;sans-serif" w:hAnsi="Arial;sans-serif"/>
          <w:b w:val="false"/>
          <w:color w:val="000000"/>
          <w:sz w:val="20"/>
        </w:rPr>
        <w:t xml:space="preserve">Registrants will receive a confirmation with dial-in details. Mr. Oswald and Mr. Mookerji will be speaking on behalf of the Company and anticipate the call (including Q&amp;A) to last approximately 45 minutes. A live webcast of the event can be accessed using the link above. A replay of the webcast will be available on the Ducommun website at </w:t>
      </w:r>
      <w:r>
        <w:rPr>
          <w:rFonts w:ascii="Arial;sans-serif" w:hAnsi="Arial;sans-serif"/>
          <w:b w:val="false"/>
          <w:color w:val="0000FF"/>
          <w:sz w:val="20"/>
          <w:u w:val="single"/>
        </w:rPr>
        <w:t>Ducommun.com</w:t>
      </w:r>
      <w:r>
        <w:rPr>
          <w:rFonts w:ascii="Arial;sans-serif" w:hAnsi="Arial;sans-serif"/>
          <w:b w:val="false"/>
          <w:color w:val="000000"/>
          <w:sz w:val="20"/>
        </w:rPr>
        <w:t xml:space="preserve">. </w:t>
      </w:r>
    </w:p>
    <w:p>
      <w:pPr>
        <w:pStyle w:val="TextBody"/>
        <w:bidi w:val="0"/>
        <w:spacing w:lineRule="auto" w:line="288" w:before="120" w:after="283"/>
        <w:jc w:val="both"/>
        <w:rPr/>
      </w:pPr>
      <w:r>
        <w:rPr>
          <w:rFonts w:ascii="Arial;sans-serif" w:hAnsi="Arial;sans-serif"/>
          <w:b w:val="false"/>
          <w:color w:val="000000"/>
          <w:sz w:val="20"/>
        </w:rPr>
        <w:t xml:space="preserve">Additional information regarding Ducommun's results can be found in the Q2 2025 Earnings Presentation available at </w:t>
      </w:r>
      <w:r>
        <w:rPr>
          <w:rFonts w:ascii="Arial;sans-serif" w:hAnsi="Arial;sans-serif"/>
          <w:b w:val="false"/>
          <w:color w:val="0000FF"/>
          <w:sz w:val="20"/>
          <w:u w:val="single"/>
        </w:rPr>
        <w:t>Ducommun.com</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About Ducommun Incorporated</w:t>
      </w:r>
    </w:p>
    <w:p>
      <w:pPr>
        <w:pStyle w:val="TextBody"/>
        <w:bidi w:val="0"/>
        <w:spacing w:lineRule="auto" w:line="288" w:before="120" w:after="283"/>
        <w:jc w:val="both"/>
        <w:rPr/>
      </w:pPr>
      <w:r>
        <w:rPr>
          <w:rFonts w:ascii="Arial;sans-serif" w:hAnsi="Arial;sans-serif"/>
          <w:b w:val="false"/>
          <w:color w:val="000000"/>
          <w:sz w:val="20"/>
        </w:rPr>
        <w:t xml:space="preserve">Ducommun Incorporated delivers value-added innovative manufacturing solutions to customers in the aerospace, defense and industrial markets. Founded in 1849, the Company specializes in two core areas - Electronic Systems and Structural Systems - to produce complex products and components for commercial aircraft platforms, mission-critical military and space programs, and sophisticated industrial applications. For more information, visit </w:t>
      </w:r>
      <w:r>
        <w:rPr>
          <w:rFonts w:ascii="Arial;sans-serif" w:hAnsi="Arial;sans-serif"/>
          <w:b w:val="false"/>
          <w:color w:val="0000FF"/>
          <w:sz w:val="20"/>
          <w:u w:val="single"/>
        </w:rPr>
        <w:t>Ducommun.com</w:t>
      </w:r>
      <w:r>
        <w:rPr>
          <w:rFonts w:ascii="Arial;sans-serif" w:hAnsi="Arial;sans-serif"/>
          <w:b w:val="false"/>
          <w:color w:val="000000"/>
          <w:sz w:val="20"/>
        </w:rPr>
        <w:t xml:space="preserve">. </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Forward Looking Statements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 xml:space="preserve">This press release and any attachments include “forward-looking statements,” within the meaning of Section 27A of the Securities Act of 1933, as amended, and Section 21E of the Securities Exchange Act of 1934, as amended, including, in particular, expectations relating to increased demand in the single aisle and wide-body commercial aerospace market, any statements about the Company's VISION 2027 Strategy and its progress towards the financial goals stated therein, as well as expectations relating to the impact of the current tariff environment on the Company's financial outlook. The Company generally uses the words “may,” “will,” “could,” “expect,” “anticipate,” “believe,” “estimate,” “plan,” “intend,” “continue” and similar expressions in this press release and any attachments to identify forward-looking statements. The Company bases these forward-looking statements on its current views with respect to future events and financial performance. Actual results could differ materially from those projected in the forward-looking statements. These forward-looking statements are subject to risks, uncertainties and assumptions,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jc w:val="both"/>
        <w:rPr/>
      </w:pPr>
      <w:r>
        <w:rPr>
          <w:rFonts w:ascii="Arial;sans-serif" w:hAnsi="Arial;sans-serif"/>
          <w:b w:val="false"/>
          <w:i/>
          <w:color w:val="000000"/>
          <w:sz w:val="20"/>
        </w:rPr>
        <w:t xml:space="preserve">among other things: whether the anticipated pre-tax restructuring charges will be sufficient to address all anticipated restructuring costs, including related to employee separation, facilities consolidation, inventory write-down and other asset impairments; whether the expected cost savings from the restructuring will ultimately be obtained in the amount and during the period anticipated; whether the restructuring in the affected areas will be sufficient to build a more cost efficient, focused, higher margin enterprise with higher returns for the Company's shareholders; the strength of the real estate market, the duration of any lease entered into as part of any sale-leaseback transaction, the amount of commissions owed to brokers, and applicable tax rates; the impact of the Company’s debt service obligations and restrictive debt covenants; our ability to overcome headwinds in pending litigation matters which may become material, including with respect to the Guaymas performance center fire; the Company’s end-use markets are cyclical; the Company depends upon a selected base of industries and customers; a significant portion of the Company’s business depends upon U.S. Government defense spending; the Company is subject to extensive regulation and audit by the Defense Contract Audit Agency; contracts with some of the Company’s customers contain provisions which give the its customers a variety of rights that are unfavorable to the Company; further consolidation in the aerospace industry could adversely affect the Company’s business and financial results; the Company’s ability to successfully make acquisitions, including its ability to successfully integrate, operate or realize the projected benefits of such businesses; the possibility of labor disruptions adversely affecting our business; the Company relies on its suppliers to meet the quality and delivery expectations of its customers; the Company uses estimates when bidding on fixed-price contracts which estimates could change and result in adverse effects on its financial results; the impact of existing and future laws and regulations; the impact of existing and future accounting standards and tax rules and regulations; environmental liabilities could adversely affect the Company’s financial results; cyber security attacks, internal system or service failures may adversely impact the Company’s business and operations; the ultimate geographic spread, duration and severity of the coronavirus (COVID-19) outbreak, and the effectiveness of actions taken, or actions that may be taken, by governmental authorities to contain the outbreak or treat its impact, and other risks and uncertainties, including those detailed from time to time in the Company’s periodic reports filed with the Securities and Exchange Commission. You should not put undue reliance on any forward-looking statements. You should understand that many important factors, including those discussed herein, could cause the Company’s results to differ materially from those expressed or suggested in any forward-looking statement. Except as required by law, the Company does not undertake any obligation to update or revise these forward-looking statements to reflect new information or events or circumstances that occur after the date of this news release, August 7, 2025, or to reflect the occurrence of unanticipated events or otherwise. Readers are advised to review the Company’s filings with the Securities and Exchange Commission (which are available from the SEC’s EDGAR database at </w:t>
      </w:r>
      <w:r>
        <w:rPr>
          <w:rFonts w:ascii="Arial;sans-serif" w:hAnsi="Arial;sans-serif"/>
          <w:b w:val="false"/>
          <w:color w:val="0000FF"/>
          <w:sz w:val="20"/>
          <w:u w:val="single"/>
        </w:rPr>
        <w:t>www.sec.gov</w:t>
      </w:r>
      <w:r>
        <w:rPr>
          <w:rFonts w:ascii="Arial;sans-serif" w:hAnsi="Arial;sans-serif"/>
          <w:b w:val="false"/>
          <w:i/>
          <w:color w:val="000000"/>
          <w:sz w:val="20"/>
        </w:rPr>
        <w:t>).</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Note Regarding Non-GAAP Financial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release contains non-GAAP financial measures, including Adjusted EBITDA (which excludes interest expense, income tax expense, depreciation, amortization, stock-based compensation expense, restructuring charges, professional fees related to unsolicited non-binding acquisition offer, inventory purchase accounting adjustments, and gain on sale of property and other assets), including as a percentage of revenue, non-GAAP operating income, including as a percentage of net revenues, non-GAAP net income, non-GAAP earnings per share, and backlog. In addition, certain other prior period amounts have been reclassified to conform to current year’s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believes the presentation of these non-GAAP measures provide important supplemental information to management and investors regarding financial and business trends relating to its financial condition and results of operations. The Company’s management uses these non-GAAP financial measures along with the most directly comparable GAAP financial measures in evaluating the Company’s actual and forecasted operating performance, capital resources and cash flow. The non-GAAP financial information presented herein should be considered supplemental to, and not as a substitute for, or superior to, financial measures calculated in accordance with GAAP. The Company discloses different non-GAAP financial measures in order to provide greater transparency and to help the Company’s investors to more meaningfully evaluate and compare Ducommun’s results to its previously reported results. The non-GAAP financial measures that the Company uses may not be comparable to similarly titled financial measures used by other companies. </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jc w:val="left"/>
        <w:rPr/>
      </w:pPr>
      <w:r>
        <w:rPr>
          <w:rFonts w:ascii="Arial;sans-serif" w:hAnsi="Arial;sans-serif"/>
          <w:b w:val="false"/>
          <w:color w:val="000000"/>
          <w:sz w:val="20"/>
        </w:rPr>
        <w:t>The Company defines backlog as customer placed purchase orders and long-term agreements (“LTAs”) with firm fixed price and expected delivery dates of 24 months or less</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The majority of the LTAs do not meet the definition of a contract under ASC 606 and thus, the backlog amount disclosed herein may or may not be greater than the remaining performance obligations disclosed under ASC 606. Backlog is subject to delivery delays or program cancellations, which are beyond the Company’s control. Backlog is affected by timing differences in the placement of customer orders and tends to be concentrated in some of the Company’s programs.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CONTACT:</w:t>
      </w:r>
    </w:p>
    <w:tbl>
      <w:tblPr>
        <w:tblW w:w="6918" w:type="dxa"/>
        <w:jc w:val="left"/>
        <w:tblInd w:w="0" w:type="dxa"/>
        <w:tblLayout w:type="fixed"/>
        <w:tblCellMar>
          <w:top w:w="28" w:type="dxa"/>
          <w:left w:w="28" w:type="dxa"/>
          <w:bottom w:w="28" w:type="dxa"/>
          <w:right w:w="28" w:type="dxa"/>
        </w:tblCellMar>
      </w:tblPr>
      <w:tblGrid>
        <w:gridCol w:w="365"/>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454"/>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691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Suman Mookerji, Senior Vice President, Chief Financial Officer, 657.335.3665</w:t>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5911" w:type="dxa"/>
            <w:gridSpan w:val="18"/>
            <w:tcBorders/>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5911" w:type="dxa"/>
            <w:gridSpan w:val="18"/>
            <w:tcBorders/>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59" w:type="dxa"/>
            <w:gridSpan w:val="6"/>
            <w:tcBorders/>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59"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[Financial Tables Follow]</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lineRule="auto" w:line="288" w:before="0" w:after="0"/>
        <w:jc w:val="left"/>
        <w:rPr>
          <w:color w:val="000000"/>
        </w:rPr>
      </w:pPr>
      <w:r>
        <w:rPr>
          <w:color w:val="000000"/>
        </w:rPr>
        <w:t> </w:t>
      </w:r>
    </w:p>
    <w:tbl>
      <w:tblPr>
        <w:tblW w:w="7370" w:type="dxa"/>
        <w:jc w:val="left"/>
        <w:tblInd w:w="0" w:type="dxa"/>
        <w:tblLayout w:type="fixed"/>
        <w:tblCellMar>
          <w:top w:w="28" w:type="dxa"/>
          <w:left w:w="28" w:type="dxa"/>
          <w:bottom w:w="28" w:type="dxa"/>
          <w:right w:w="28" w:type="dxa"/>
        </w:tblCellMar>
      </w:tblPr>
      <w:tblGrid>
        <w:gridCol w:w="1440"/>
        <w:gridCol w:w="1263"/>
        <w:gridCol w:w="1286"/>
        <w:gridCol w:w="109"/>
        <w:gridCol w:w="109"/>
        <w:gridCol w:w="109"/>
        <w:gridCol w:w="211"/>
        <w:gridCol w:w="1021"/>
        <w:gridCol w:w="109"/>
        <w:gridCol w:w="109"/>
        <w:gridCol w:w="109"/>
        <w:gridCol w:w="109"/>
        <w:gridCol w:w="211"/>
        <w:gridCol w:w="10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443,571 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 except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57"/>
        <w:gridCol w:w="1036"/>
        <w:gridCol w:w="1046"/>
        <w:gridCol w:w="109"/>
        <w:gridCol w:w="109"/>
        <w:gridCol w:w="10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35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396,374 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387,847 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291,039 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289,665 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53,738 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98,182 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69,012 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26,546 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18,688 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TO NON-GAAP NET INCOME TO ADJUSTED EBITDA RECONCILIATION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3"/>
        <w:gridCol w:w="1198"/>
        <w:gridCol w:w="1147"/>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3"/>
      </w:tblGrid>
      <w:tr>
        <w:trPr/>
        <w:tc>
          <w:tcPr>
            <w:tcW w:w="151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Restructuring charges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 related to unsolicited non-binding acquisition offer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63,342 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57,367 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 xml:space="preserve">(1) The three and six months ended June 28, 2025 included $0.6 million and $1.4 million, respectively, of stock-based compensation expense for awards with both performance and market conditions that will be settled in cash. The three and six months ended June 29, 2024 included $0.5 million and $1.9 million, respectively, of stock-based compensation expense for awards with both performance and market conditions that will be settled in cash. The three and six months ended June 28, 2025 each included $0.2 million of stock-based compensation expense recorded as cost of sales. The three and six months ended June 29, 2024 each included $0.1 million of stock-based compensation expense recorded as cost of sales. </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(2) Restructuring charges for the three and six months ended June 29, 2024 each included $0.9 million recorded as cost of sales.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BUSINESS SEGMENT PERFORMANCE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tbl>
      <w:tblPr>
        <w:tblW w:w="12138" w:type="dxa"/>
        <w:jc w:val="left"/>
        <w:tblInd w:w="0" w:type="dxa"/>
        <w:tblLayout w:type="fixed"/>
        <w:tblCellMar>
          <w:top w:w="28" w:type="dxa"/>
          <w:left w:w="28" w:type="dxa"/>
          <w:bottom w:w="28" w:type="dxa"/>
          <w:right w:w="28" w:type="dxa"/>
        </w:tblCellMar>
      </w:tblPr>
      <w:tblGrid>
        <w:gridCol w:w="521"/>
        <w:gridCol w:w="234"/>
        <w:gridCol w:w="236"/>
        <w:gridCol w:w="109"/>
        <w:gridCol w:w="109"/>
        <w:gridCol w:w="109"/>
        <w:gridCol w:w="173"/>
        <w:gridCol w:w="173"/>
        <w:gridCol w:w="254"/>
        <w:gridCol w:w="109"/>
        <w:gridCol w:w="109"/>
        <w:gridCol w:w="109"/>
        <w:gridCol w:w="181"/>
        <w:gridCol w:w="646"/>
        <w:gridCol w:w="109"/>
        <w:gridCol w:w="109"/>
        <w:gridCol w:w="109"/>
        <w:gridCol w:w="109"/>
        <w:gridCol w:w="181"/>
        <w:gridCol w:w="646"/>
        <w:gridCol w:w="109"/>
        <w:gridCol w:w="109"/>
        <w:gridCol w:w="109"/>
        <w:gridCol w:w="109"/>
        <w:gridCol w:w="281"/>
        <w:gridCol w:w="215"/>
        <w:gridCol w:w="226"/>
        <w:gridCol w:w="109"/>
        <w:gridCol w:w="109"/>
        <w:gridCol w:w="109"/>
        <w:gridCol w:w="281"/>
        <w:gridCol w:w="215"/>
        <w:gridCol w:w="226"/>
        <w:gridCol w:w="109"/>
        <w:gridCol w:w="109"/>
        <w:gridCol w:w="109"/>
        <w:gridCol w:w="173"/>
        <w:gridCol w:w="173"/>
        <w:gridCol w:w="254"/>
        <w:gridCol w:w="109"/>
        <w:gridCol w:w="109"/>
        <w:gridCol w:w="109"/>
        <w:gridCol w:w="181"/>
        <w:gridCol w:w="646"/>
        <w:gridCol w:w="109"/>
        <w:gridCol w:w="109"/>
        <w:gridCol w:w="109"/>
        <w:gridCol w:w="109"/>
        <w:gridCol w:w="181"/>
        <w:gridCol w:w="646"/>
        <w:gridCol w:w="109"/>
        <w:gridCol w:w="109"/>
        <w:gridCol w:w="109"/>
        <w:gridCol w:w="109"/>
        <w:gridCol w:w="281"/>
        <w:gridCol w:w="215"/>
        <w:gridCol w:w="226"/>
        <w:gridCol w:w="109"/>
        <w:gridCol w:w="109"/>
        <w:gridCol w:w="109"/>
        <w:gridCol w:w="267"/>
        <w:gridCol w:w="229"/>
        <w:gridCol w:w="271"/>
      </w:tblGrid>
      <w:tr>
        <w:trPr/>
        <w:tc>
          <w:tcPr>
            <w:tcW w:w="5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Six Months Ended</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29,</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2024</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Structural Systems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Corporate General and Administrative Expenses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Stock-Based Compensation Expense </w:t>
            </w:r>
            <w:r>
              <w:rPr>
                <w:rFonts w:ascii="Arial;sans-serif" w:hAnsi="Arial;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Stock-Based Compensation Expense </w:t>
            </w:r>
            <w:r>
              <w:rPr>
                <w:rFonts w:ascii="Arial;sans-serif" w:hAnsi="Arial;sans-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Corporate General and Administrative Expenses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Stock-Based Compensation Expense </w:t>
            </w:r>
            <w:r>
              <w:rPr>
                <w:rFonts w:ascii="Arial;sans-serif" w:hAnsi="Arial;sans-serif"/>
                <w:b w:val="false"/>
                <w:color w:val="000000"/>
                <w:sz w:val="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Fees Related to Unsolicited Non-Binding Acquisition Offer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Arial;sans-serif" w:hAnsi="Arial;sans-serif"/>
                <w:b w:val="false"/>
                <w:color w:val="000000"/>
                <w:sz w:val="14"/>
              </w:rPr>
            </w:pPr>
            <w:r>
              <w:rPr>
                <w:rFonts w:ascii="Arial;sans-serif" w:hAnsi="Arial;sans-serif"/>
                <w:b w:val="false"/>
                <w:color w:val="000000"/>
                <w:sz w:val="14"/>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Corporate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(1)Includes costs not allocated to either the Electronic Systems or Structural Systems operating segments.</w: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(2)The three and six months ended June 28, 2025 each included $0.1 million of stock-based compensation expense recorded as cost of sales. The three and six months ended June 29, 2024 each included less than $0.1 million of stock-based compensation expense recorded as cost of sales.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(3)The three and six months ended June 28, 2025 each included $0.1 million of stock-based compensation expense recorded as cost of sales. The three and six months ended June 29, 2024 included less than $0.1 million and $0.1 million, respectively, of stock-based compensation expense recorded as cost of sales. </w: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three and six months ended June 28, 2025 included $0.6 million and $1.4 million, respectively, of stock-based compensation expense for awards with both performance and market conditions that will be settled in cash. The three and six months ended June 29, 2024 included $0.5 million and $1.9 million, respectively, of stock-based compensation expense for awards with both performance and market conditions that will be settled in cash.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TO NON-GAAP OPERATING INCOME RECONCILIATION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797"/>
        <w:gridCol w:w="316"/>
        <w:gridCol w:w="318"/>
        <w:gridCol w:w="109"/>
        <w:gridCol w:w="109"/>
        <w:gridCol w:w="109"/>
        <w:gridCol w:w="181"/>
        <w:gridCol w:w="571"/>
        <w:gridCol w:w="109"/>
        <w:gridCol w:w="109"/>
        <w:gridCol w:w="109"/>
        <w:gridCol w:w="109"/>
        <w:gridCol w:w="181"/>
        <w:gridCol w:w="571"/>
        <w:gridCol w:w="109"/>
        <w:gridCol w:w="109"/>
        <w:gridCol w:w="109"/>
        <w:gridCol w:w="109"/>
        <w:gridCol w:w="239"/>
        <w:gridCol w:w="185"/>
        <w:gridCol w:w="242"/>
        <w:gridCol w:w="109"/>
        <w:gridCol w:w="109"/>
        <w:gridCol w:w="109"/>
        <w:gridCol w:w="239"/>
        <w:gridCol w:w="185"/>
        <w:gridCol w:w="242"/>
        <w:gridCol w:w="109"/>
        <w:gridCol w:w="109"/>
        <w:gridCol w:w="109"/>
        <w:gridCol w:w="181"/>
        <w:gridCol w:w="571"/>
        <w:gridCol w:w="109"/>
        <w:gridCol w:w="109"/>
        <w:gridCol w:w="109"/>
        <w:gridCol w:w="109"/>
        <w:gridCol w:w="181"/>
        <w:gridCol w:w="571"/>
        <w:gridCol w:w="109"/>
        <w:gridCol w:w="109"/>
        <w:gridCol w:w="109"/>
        <w:gridCol w:w="109"/>
        <w:gridCol w:w="239"/>
        <w:gridCol w:w="185"/>
        <w:gridCol w:w="242"/>
        <w:gridCol w:w="109"/>
        <w:gridCol w:w="109"/>
        <w:gridCol w:w="109"/>
        <w:gridCol w:w="227"/>
        <w:gridCol w:w="196"/>
        <w:gridCol w:w="293"/>
      </w:tblGrid>
      <w:tr>
        <w:trPr/>
        <w:tc>
          <w:tcPr>
            <w:tcW w:w="7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Six Months Ended</w:t>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GAAP To Non-GAAP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2024</w:t>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GAAP operating income - 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GAAP operating income - 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to GAAP operating income - 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Non-GAAP adjusted operating income - 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GAAP operating income - 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GAAP operating income - 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to GAAP operating income - 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Non-GAAP adjusted operating income - 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GAAP operating loss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Adjustments to GAAP Operating Income -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fees related to unsolicited non-binding acquisition offer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to GAAP Operating Income -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Non-GAAP adjusted operating loss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Total non-GAAP adjustments to 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Non-GAAP adjusted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TO NON-GAAP NET INCOME AND EARNINGS PER SHARE RECONCILIATION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1802"/>
        <w:gridCol w:w="1380"/>
        <w:gridCol w:w="1385"/>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180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To Non-GAAP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 related to unsolicited non-binding acquisition offer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adjustments to GAAP net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effect on non-GAAP adjustments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045"/>
        <w:gridCol w:w="1679"/>
        <w:gridCol w:w="1683"/>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Earnings Per Share To Non-GAAP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29,</w:t>
              <w:br/>
              <w:t>2024</w:t>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earnings per share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GAAP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 related to unsolicited non-binding acquisition offer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adjustments to GAAP diluted EPS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effect on non-GAAP adjustments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for non-GAAP 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(1) Effective tax rate of 20.0% used for both 2025 and 2024 adjustments.</w:t>
      </w:r>
    </w:p>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NON-GAAP BACKLOG* BY REPORTING SEGMENT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lineRule="auto" w:line="288" w:before="0" w:after="0"/>
        <w:jc w:val="left"/>
        <w:rPr>
          <w:color w:val="000000"/>
        </w:rPr>
      </w:pPr>
      <w:r>
        <w:rPr>
          <w:color w:val="000000"/>
        </w:rPr>
        <w:t> </w:t>
      </w:r>
    </w:p>
    <w:tbl>
      <w:tblPr>
        <w:tblW w:w="5870" w:type="dxa"/>
        <w:jc w:val="left"/>
        <w:tblInd w:w="0" w:type="dxa"/>
        <w:tblLayout w:type="fixed"/>
        <w:tblCellMar>
          <w:top w:w="28" w:type="dxa"/>
          <w:left w:w="28" w:type="dxa"/>
          <w:bottom w:w="28" w:type="dxa"/>
          <w:right w:w="28" w:type="dxa"/>
        </w:tblCellMar>
      </w:tblPr>
      <w:tblGrid>
        <w:gridCol w:w="901"/>
        <w:gridCol w:w="792"/>
        <w:gridCol w:w="796"/>
        <w:gridCol w:w="109"/>
        <w:gridCol w:w="109"/>
        <w:gridCol w:w="109"/>
        <w:gridCol w:w="211"/>
        <w:gridCol w:w="1021"/>
        <w:gridCol w:w="109"/>
        <w:gridCol w:w="109"/>
        <w:gridCol w:w="109"/>
        <w:gridCol w:w="109"/>
        <w:gridCol w:w="211"/>
        <w:gridCol w:w="10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713"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504,853 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 Under ASC 606, the Company defines performance obligations as customer placed purchase orders with firm fixed price and firm delivery dates. The remaining performance obligations disclosed under ASC 606 as of June 28, 2025 were $906.0 million. The Company defines backlog as customer placed purchase orders and long-term agreements (“LTAs”) with firm fixed price and expected delivery dates of 24 months or less</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Backlog as of June 28, 2025 was $1,017.9 million compared to $1,060.8 million as of December 31, 2024.</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5110</Words>
  <Characters>28641</Characters>
  <CharactersWithSpaces>33209</CharactersWithSpaces>
  <Paragraphs>1149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