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345440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311150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ind w:left="940"/>
        <w:spacing w:after="0" w:line="217" w:lineRule="auto"/>
        <w:rPr>
          <w:sz w:val="20"/>
          <w:szCs w:val="20"/>
          <w:color w:val="auto"/>
        </w:rPr>
      </w:pPr>
      <w:r>
        <w:rPr>
          <w:rFonts w:ascii="Times New Roman" w:cs="Times New Roman" w:eastAsia="Times New Roman" w:hAnsi="Times New Roman"/>
          <w:sz w:val="22"/>
          <w:szCs w:val="22"/>
          <w:b w:val="1"/>
          <w:bCs w:val="1"/>
          <w:color w:val="auto"/>
        </w:rPr>
        <w:t>ANNUAL REPORT PURSUANT TO SECTION 13 OR 15(d) OF THE SECURITIES EXCHANGE ACT</w:t>
      </w:r>
    </w:p>
    <w:p>
      <w:pPr>
        <w:ind w:left="940" w:hanging="624"/>
        <w:spacing w:after="0" w:line="184" w:lineRule="auto"/>
        <w:tabs>
          <w:tab w:leader="none" w:pos="940" w:val="left"/>
        </w:tabs>
        <w:numPr>
          <w:ilvl w:val="0"/>
          <w:numId w:val="1"/>
        </w:numPr>
        <w:rPr>
          <w:rFonts w:ascii="Wingdings" w:cs="Wingdings" w:eastAsia="Wingdings" w:hAnsi="Wingdings"/>
          <w:sz w:val="37"/>
          <w:szCs w:val="37"/>
          <w:b w:val="1"/>
          <w:bCs w:val="1"/>
          <w:color w:val="auto"/>
          <w:vertAlign w:val="superscript"/>
        </w:rPr>
      </w:pPr>
      <w:r>
        <w:rPr>
          <w:rFonts w:ascii="Times New Roman" w:cs="Times New Roman" w:eastAsia="Times New Roman" w:hAnsi="Times New Roman"/>
          <w:sz w:val="19"/>
          <w:szCs w:val="19"/>
          <w:b w:val="1"/>
          <w:bCs w:val="1"/>
          <w:color w:val="auto"/>
        </w:rPr>
        <w:t>OF 1934</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93" w:lineRule="exact"/>
        <w:rPr>
          <w:sz w:val="24"/>
          <w:szCs w:val="24"/>
          <w:color w:val="auto"/>
        </w:rPr>
      </w:pPr>
    </w:p>
    <w:p>
      <w:pPr>
        <w:ind w:left="1080" w:hanging="629"/>
        <w:spacing w:after="0"/>
        <w:tabs>
          <w:tab w:leader="none" w:pos="10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w:t>
      </w:r>
    </w:p>
    <w:tbl>
      <w:tblPr>
        <w:tblLayout w:type="fixed"/>
        <w:tblInd w:w="160" w:type="dxa"/>
        <w:tblCellMar>
          <w:top w:w="0" w:type="dxa"/>
          <w:left w:w="0" w:type="dxa"/>
          <w:bottom w:w="0" w:type="dxa"/>
          <w:right w:w="0" w:type="dxa"/>
        </w:tblCellMar>
      </w:tblPr>
      <w:tr>
        <w:trPr>
          <w:trHeight w:val="286"/>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OR</w:t>
            </w:r>
          </w:p>
        </w:tc>
        <w:tc>
          <w:tcPr>
            <w:tcW w:w="54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ACT OF 1934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vMerge w:val="continue"/>
          </w:tcPr>
          <w:p>
            <w:pPr>
              <w:spacing w:after="0"/>
              <w:rPr>
                <w:sz w:val="5"/>
                <w:szCs w:val="5"/>
                <w:color w:val="auto"/>
              </w:rPr>
            </w:pPr>
          </w:p>
        </w:tc>
        <w:tc>
          <w:tcPr>
            <w:tcW w:w="5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54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79"/>
              </w:rPr>
              <w: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-25400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 w:lineRule="exact"/>
        <w:rPr>
          <w:sz w:val="24"/>
          <w:szCs w:val="24"/>
          <w:color w:val="auto"/>
        </w:rPr>
      </w:pPr>
    </w:p>
    <w:tbl>
      <w:tblPr>
        <w:tblLayout w:type="fixed"/>
        <w:tblInd w:w="2000" w:type="dxa"/>
        <w:tblCellMar>
          <w:top w:w="0" w:type="dxa"/>
          <w:left w:w="0" w:type="dxa"/>
          <w:bottom w:w="0" w:type="dxa"/>
          <w:right w:w="0" w:type="dxa"/>
        </w:tblCellMar>
      </w:tblPr>
      <w:tr>
        <w:trPr>
          <w:trHeight w:val="210"/>
        </w:trPr>
        <w:tc>
          <w:tcPr>
            <w:tcW w:w="6980" w:type="dxa"/>
            <w:vAlign w:val="bottom"/>
            <w:gridSpan w:val="2"/>
          </w:tcPr>
          <w:p>
            <w:pPr>
              <w:jc w:val="right"/>
              <w:ind w:right="942"/>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r>
      <w:tr>
        <w:trPr>
          <w:trHeight w:val="251"/>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6"/>
        </w:trPr>
        <w:tc>
          <w:tcPr>
            <w:tcW w:w="3860" w:type="dxa"/>
            <w:vAlign w:val="bottom"/>
          </w:tcPr>
          <w:p>
            <w:pPr>
              <w:jc w:val="center"/>
              <w:ind w:right="1921"/>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100" w:type="dxa"/>
            <w:vAlign w:val="bottom"/>
            <w:gridSpan w:val="2"/>
          </w:tcPr>
          <w:p>
            <w:pPr>
              <w:jc w:val="center"/>
              <w:ind w:right="1159"/>
              <w:spacing w:after="0"/>
              <w:rPr>
                <w:sz w:val="20"/>
                <w:szCs w:val="20"/>
                <w:color w:val="auto"/>
              </w:rPr>
            </w:pPr>
            <w:r>
              <w:rPr>
                <w:rFonts w:ascii="Times New Roman" w:cs="Times New Roman" w:eastAsia="Times New Roman" w:hAnsi="Times New Roman"/>
                <w:sz w:val="20"/>
                <w:szCs w:val="20"/>
                <w:b w:val="1"/>
                <w:bCs w:val="1"/>
                <w:color w:val="auto"/>
                <w:w w:val="98"/>
              </w:rPr>
              <w:t>200 Sandpointe Avenue, Suite 700</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Santa Ana</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California</w:t>
            </w:r>
          </w:p>
        </w:tc>
        <w:tc>
          <w:tcPr>
            <w:tcW w:w="33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4860" w:type="dxa"/>
            <w:vAlign w:val="bottom"/>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3320" w:type="dxa"/>
            <w:vAlign w:val="bottom"/>
            <w:gridSpan w:val="2"/>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3"/>
        </w:trPr>
        <w:tc>
          <w:tcPr>
            <w:tcW w:w="8620" w:type="dxa"/>
            <w:vAlign w:val="bottom"/>
            <w:gridSpan w:val="3"/>
          </w:tcPr>
          <w:p>
            <w:pPr>
              <w:jc w:val="center"/>
              <w:ind w:left="253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(657) 335-3665</w:t>
            </w:r>
          </w:p>
        </w:tc>
        <w:tc>
          <w:tcPr>
            <w:tcW w:w="1800" w:type="dxa"/>
            <w:vAlign w:val="bottom"/>
          </w:tcPr>
          <w:p>
            <w:pPr>
              <w:spacing w:after="0"/>
              <w:rPr>
                <w:sz w:val="24"/>
                <w:szCs w:val="24"/>
                <w:color w:val="auto"/>
              </w:rPr>
            </w:pPr>
          </w:p>
        </w:tc>
      </w:tr>
      <w:tr>
        <w:trPr>
          <w:trHeight w:val="37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2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320" w:type="dxa"/>
            <w:vAlign w:val="bottom"/>
            <w:gridSpan w:val="2"/>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04"/>
        </w:trPr>
        <w:tc>
          <w:tcPr>
            <w:tcW w:w="862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800" w:type="dxa"/>
            <w:vAlign w:val="bottom"/>
          </w:tcPr>
          <w:p>
            <w:pPr>
              <w:spacing w:after="0"/>
              <w:rPr>
                <w:sz w:val="24"/>
                <w:szCs w:val="24"/>
                <w:color w:val="auto"/>
              </w:rPr>
            </w:pPr>
          </w:p>
        </w:tc>
      </w:tr>
      <w:tr>
        <w:trPr>
          <w:trHeight w:val="45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80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r>
        <w:trPr>
          <w:trHeight w:val="419"/>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1800" w:type="dxa"/>
            <w:vAlign w:val="bottom"/>
          </w:tcPr>
          <w:p>
            <w:pPr>
              <w:ind w:left="18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bl>
    <w:p>
      <w:pPr>
        <w:spacing w:after="0" w:line="110" w:lineRule="exact"/>
        <w:rPr>
          <w:sz w:val="24"/>
          <w:szCs w:val="24"/>
          <w:color w:val="auto"/>
        </w:rPr>
      </w:pPr>
    </w:p>
    <w:p>
      <w:pPr>
        <w:ind w:right="2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0" w:lineRule="exact"/>
        <w:rPr>
          <w:sz w:val="24"/>
          <w:szCs w:val="24"/>
          <w:color w:val="auto"/>
        </w:rPr>
      </w:pPr>
    </w:p>
    <w:p>
      <w:pPr>
        <w:ind w:right="30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9"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rPr>
                <w:sz w:val="20"/>
                <w:szCs w:val="20"/>
                <w:color w:val="auto"/>
              </w:rPr>
            </w:pPr>
            <w:r>
              <w:rPr>
                <w:rFonts w:ascii="Wingdings" w:cs="Wingdings" w:eastAsia="Wingdings" w:hAnsi="Wingdings"/>
                <w:sz w:val="18"/>
                <w:szCs w:val="18"/>
                <w:b w:val="1"/>
                <w:bCs w:val="1"/>
                <w:color w:val="auto"/>
                <w:w w:val="83"/>
              </w:rPr>
              <w:t>x</w:t>
            </w:r>
          </w:p>
        </w:tc>
      </w:tr>
      <w:tr>
        <w:trPr>
          <w:trHeight w:val="28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8" w:lineRule="exact"/>
        <w:rPr>
          <w:sz w:val="24"/>
          <w:szCs w:val="24"/>
          <w:color w:val="auto"/>
        </w:rPr>
      </w:pPr>
    </w:p>
    <w:p>
      <w:pPr>
        <w:ind w:right="10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1"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report. </w:t>
      </w:r>
      <w:r>
        <w:rPr>
          <w:rFonts w:ascii="Wingdings" w:cs="Wingdings" w:eastAsia="Wingdings" w:hAnsi="Wingdings"/>
          <w:sz w:val="21"/>
          <w:szCs w:val="21"/>
          <w:b w:val="1"/>
          <w:bCs w:val="1"/>
          <w:color w:val="auto"/>
        </w:rPr>
        <w:t>x</w:t>
      </w:r>
    </w:p>
    <w:p>
      <w:pPr>
        <w:spacing w:after="0" w:line="121"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21"/>
          <w:szCs w:val="21"/>
          <w:b w:val="1"/>
          <w:bCs w:val="1"/>
          <w:color w:val="auto"/>
        </w:rPr>
        <w:t>x</w:t>
      </w:r>
    </w:p>
    <w:p>
      <w:pPr>
        <w:sectPr>
          <w:pgSz w:w="11900" w:h="16838" w:orient="portrait"/>
          <w:cols w:equalWidth="0" w:num="1">
            <w:col w:w="11180"/>
          </w:cols>
          <w:pgMar w:left="320" w:top="225" w:right="399" w:bottom="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July 2, 2022 was $529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February 6, 2023 was 12,146,494.</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Proxy Statement for the 2023 Annual Meeting of Shareholders (the “2023 Proxy Statement”), incorporated partially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57150</wp:posOffset>
            </wp:positionV>
            <wp:extent cx="6326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22860</wp:posOffset>
            </wp:positionV>
            <wp:extent cx="6326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160" w:type="dxa"/>
            <w:vAlign w:val="bottom"/>
            <w:gridSpan w:val="14"/>
            <w:vMerge w:val="restart"/>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160" w:type="dxa"/>
            <w:vAlign w:val="bottom"/>
            <w:gridSpan w:val="1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420" w:type="dxa"/>
            <w:vAlign w:val="bottom"/>
          </w:tcPr>
          <w:p>
            <w:pPr>
              <w:spacing w:after="0"/>
              <w:rPr>
                <w:sz w:val="24"/>
                <w:szCs w:val="24"/>
                <w:color w:val="auto"/>
              </w:rPr>
            </w:pPr>
          </w:p>
        </w:tc>
        <w:tc>
          <w:tcPr>
            <w:tcW w:w="3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Forward-Looking Statements and Risk Factors</w:t>
            </w:r>
          </w:p>
        </w:tc>
        <w:tc>
          <w:tcPr>
            <w:tcW w:w="580" w:type="dxa"/>
            <w:vAlign w:val="bottom"/>
            <w:tcBorders>
              <w:top w:val="single" w:sz="8" w:color="0000FF"/>
            </w:tcBorders>
            <w:gridSpan w:val="3"/>
          </w:tcPr>
          <w:p>
            <w:pPr>
              <w:spacing w:after="0"/>
              <w:rPr>
                <w:sz w:val="24"/>
                <w:szCs w:val="24"/>
                <w:color w:val="auto"/>
              </w:rPr>
            </w:pPr>
          </w:p>
        </w:tc>
        <w:tc>
          <w:tcPr>
            <w:tcW w:w="4540" w:type="dxa"/>
            <w:vAlign w:val="bottom"/>
            <w:gridSpan w:val="10"/>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680" w:type="dxa"/>
            <w:vAlign w:val="bottom"/>
            <w:gridSpan w:val="9"/>
          </w:tcPr>
          <w:p>
            <w:pPr>
              <w:spacing w:after="0"/>
              <w:rPr>
                <w:sz w:val="22"/>
                <w:szCs w:val="22"/>
                <w:color w:val="auto"/>
              </w:rPr>
            </w:pPr>
          </w:p>
        </w:tc>
        <w:tc>
          <w:tcPr>
            <w:tcW w:w="5680" w:type="dxa"/>
            <w:vAlign w:val="bottom"/>
            <w:gridSpan w:val="17"/>
          </w:tcPr>
          <w:p>
            <w:pPr>
              <w:spacing w:after="0"/>
              <w:rPr>
                <w:sz w:val="22"/>
                <w:szCs w:val="22"/>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60" w:type="dxa"/>
            <w:vAlign w:val="bottom"/>
            <w:gridSpan w:val="20"/>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680" w:type="dxa"/>
            <w:vAlign w:val="bottom"/>
            <w:gridSpan w:val="2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80" w:type="dxa"/>
            <w:vAlign w:val="bottom"/>
            <w:gridSpan w:val="15"/>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7"/>
          </w:tcPr>
          <w:p>
            <w:pPr>
              <w:spacing w:after="0"/>
              <w:rPr>
                <w:sz w:val="22"/>
                <w:szCs w:val="22"/>
                <w:color w:val="auto"/>
              </w:rPr>
            </w:pPr>
          </w:p>
        </w:tc>
        <w:tc>
          <w:tcPr>
            <w:tcW w:w="254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40" w:type="dxa"/>
            <w:vAlign w:val="bottom"/>
            <w:gridSpan w:val="11"/>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420" w:type="dxa"/>
            <w:vAlign w:val="bottom"/>
            <w:gridSpan w:val="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20" w:type="dxa"/>
            <w:vAlign w:val="bottom"/>
            <w:gridSpan w:val="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2"/>
                <w:szCs w:val="22"/>
                <w:color w:val="auto"/>
              </w:rPr>
            </w:pPr>
          </w:p>
        </w:tc>
        <w:tc>
          <w:tcPr>
            <w:tcW w:w="7240" w:type="dxa"/>
            <w:vAlign w:val="bottom"/>
            <w:gridSpan w:val="21"/>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40" w:type="dxa"/>
            <w:vAlign w:val="bottom"/>
            <w:gridSpan w:val="6"/>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Borders>
              <w:top w:val="single" w:sz="8" w:color="0000FF"/>
            </w:tcBorders>
          </w:tcPr>
          <w:p>
            <w:pPr>
              <w:spacing w:after="0"/>
              <w:rPr>
                <w:sz w:val="22"/>
                <w:szCs w:val="22"/>
                <w:color w:val="auto"/>
              </w:rPr>
            </w:pPr>
          </w:p>
        </w:tc>
        <w:tc>
          <w:tcPr>
            <w:tcW w:w="4040" w:type="dxa"/>
            <w:vAlign w:val="bottom"/>
            <w:gridSpan w:val="6"/>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00" w:type="dxa"/>
            <w:vAlign w:val="bottom"/>
            <w:gridSpan w:val="1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900" w:type="dxa"/>
            <w:vAlign w:val="bottom"/>
            <w:gridSpan w:val="1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2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60" w:type="dxa"/>
            <w:vAlign w:val="bottom"/>
            <w:gridSpan w:val="5"/>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0" w:type="dxa"/>
            <w:vAlign w:val="bottom"/>
            <w:gridSpan w:val="16"/>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60" w:type="dxa"/>
            <w:vAlign w:val="bottom"/>
            <w:gridSpan w:val="3"/>
          </w:tcPr>
          <w:p>
            <w:pPr>
              <w:spacing w:after="0"/>
              <w:rPr>
                <w:sz w:val="22"/>
                <w:szCs w:val="22"/>
                <w:color w:val="auto"/>
              </w:rPr>
            </w:pPr>
          </w:p>
        </w:tc>
        <w:tc>
          <w:tcPr>
            <w:tcW w:w="700" w:type="dxa"/>
            <w:vAlign w:val="bottom"/>
            <w:tcBorders>
              <w:top w:val="single" w:sz="8" w:color="0000FF"/>
            </w:tcBorders>
            <w:gridSpan w:val="7"/>
          </w:tcPr>
          <w:p>
            <w:pPr>
              <w:spacing w:after="0"/>
              <w:rPr>
                <w:sz w:val="22"/>
                <w:szCs w:val="22"/>
                <w:color w:val="auto"/>
              </w:rPr>
            </w:pPr>
          </w:p>
        </w:tc>
        <w:tc>
          <w:tcPr>
            <w:tcW w:w="4480" w:type="dxa"/>
            <w:vAlign w:val="bottom"/>
            <w:gridSpan w:val="8"/>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84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40" w:type="dxa"/>
            <w:vAlign w:val="bottom"/>
            <w:gridSpan w:val="18"/>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820" w:type="dxa"/>
            <w:vAlign w:val="bottom"/>
            <w:gridSpan w:val="3"/>
          </w:tcPr>
          <w:p>
            <w:pPr>
              <w:spacing w:after="0"/>
              <w:rPr>
                <w:sz w:val="22"/>
                <w:szCs w:val="22"/>
                <w:color w:val="auto"/>
              </w:rPr>
            </w:pPr>
          </w:p>
        </w:tc>
        <w:tc>
          <w:tcPr>
            <w:tcW w:w="7460" w:type="dxa"/>
            <w:vAlign w:val="bottom"/>
            <w:gridSpan w:val="2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10-K regarding: future sales, earnings, cash flow, uses of cash and other measures of financial performance, projections or expectations for future operations, including costs to complete contracts, goodwill impairment evaluations, unrecognized tax benefits, environmental remediation costs, insurance recoveries, industry trends and expectations, our plans with respect to restructuring activities, completed acquisitions, future acquisitions and dispositions and expected business opportunities that may be available to us.</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 that are attributable to us or persons acting on our behalf are expressly qualified in their entirety by “Risk Factors” contained within Part I, Item 1A of this Form 10-K and other cautionary statements included herein.</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otherwise comply with our covenants with respect to our outstanding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business combinations, joint ventures, divestitures, or restructuring activities may entail certain operational and financial risks;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end-use markets and the level of new commercial and military aircraft orders;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concentration;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rates for various commercial and military aircraft programs;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U.S. Government defense spending;</w:t>
      </w:r>
    </w:p>
    <w:p>
      <w:pPr>
        <w:spacing w:after="0" w:line="117" w:lineRule="exact"/>
        <w:rPr>
          <w:rFonts w:ascii="Times New Roman" w:cs="Times New Roman" w:eastAsia="Times New Roman" w:hAnsi="Times New Roman"/>
          <w:sz w:val="18"/>
          <w:szCs w:val="18"/>
          <w:color w:val="auto"/>
        </w:rPr>
      </w:pPr>
    </w:p>
    <w:p>
      <w:pPr>
        <w:ind w:left="980" w:right="46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delivery;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manufacturing inefficiencies and possible overruns on contracts;</w:t>
      </w:r>
    </w:p>
    <w:p>
      <w:pPr>
        <w:spacing w:after="0" w:line="117" w:lineRule="exact"/>
        <w:rPr>
          <w:rFonts w:ascii="Times New Roman" w:cs="Times New Roman" w:eastAsia="Times New Roman" w:hAnsi="Times New Roman"/>
          <w:sz w:val="18"/>
          <w:szCs w:val="18"/>
          <w:color w:val="auto"/>
        </w:rPr>
      </w:pPr>
    </w:p>
    <w:p>
      <w:pPr>
        <w:ind w:left="980" w:right="1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design, product development, manufacturing, supply chain and other risks and uncertainties associated with our growth strategy to become a supplier of higher-level assemblies;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associated with international operations and sales;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 including supply chain issues and rising interest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developments and their related impact;</w:t>
      </w:r>
    </w:p>
    <w:p>
      <w:pPr>
        <w:spacing w:after="0" w:line="117" w:lineRule="exact"/>
        <w:rPr>
          <w:rFonts w:ascii="Times New Roman" w:cs="Times New Roman" w:eastAsia="Times New Roman" w:hAnsi="Times New Roman"/>
          <w:sz w:val="18"/>
          <w:szCs w:val="18"/>
          <w:color w:val="auto"/>
        </w:rPr>
      </w:pPr>
    </w:p>
    <w:p>
      <w:pPr>
        <w:ind w:left="980" w:right="1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the COVID-19 pandemic, significantly impacting the global economy and most significantly, the commercial aerospace end-use market;</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natural or otherwise, damaging or disrupting our operations;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global credit markets;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within highly competitive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evolving industry and regulatory standards;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 security attacks or our inability to detect such attacks;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us.</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10-K. We do not undertake any duty or responsibility to update any of these forward-looking statements to reflect events or circumstances after the date of this Form 10-K except as required by law.</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Acquisitions have been an important element of our growth strategy. We have supplemented our organic growth by identifying, acquiring and integrating acquisition opportunities that result in broader, more sophisticated product and service offerings while diversifying and expanding our customer base and markets.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in December 2021, we acquired 100%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for an original purchase price of $69.5 million, net of cash acquired. A portion of the purchase price was funded by drawing down on our revolving credit facility. This draw down on our revolving credit facility was paid off by the end of 2021. The acquisition of MagSeal continued to advance our strategy to diversify and offer more customized, value-driven engineered products with aftermarket opportunities, and was included in our Structural Systems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Systems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 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 Systems utilizes a highly-integrated production process, including manufacturing, engineering, fabrication, machining, assembly, electronic integration, and related processes. Engineering, technical and program management services are provided to a wide range of customers.</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motors and resolvers for motion control, and lightning diversion systems.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Electronic Systems also provides engineering expertise for aerospace system design, development, integration, and testing. We leverage the knowledge base, capabilities, talent, and technologies of this focused capability into direct support of our customers.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Systems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Structural Systems has three major product offerings to support a global customer base: commercial aircraft, military fixed-wing aircraft, and military and commercial rotary-wing aircraft. Our applications include structural components, structural assemblies, bonded (metal and composite) components, precision profile extrusions and extruded assemblies, ammunition handling systems, and magnetic seals.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rotary-wing aircraft and components, flight control surfaces, engine components, ammunition handling systems, and magnetic seals. To support these products, Structural Systems maintains advanced machine milling, stretch-forming, hot-forming, metal bonding, composite layup, and chemical milling capabilities and has an extensive engineering capability to support both design services and manufacturing.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 END-USE MARKETS OVERVIEW</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largest end-use markets are the aerospace and defense markets and our revenues from these markets represented 94% of our total net revenues in 2022. These markets are serviced by suppliers which are stratified, from the highest value provided to the lowest, into four tiers: original equipment manufacturers (“OEMs”), Tier One, Tier Two, and Tier Three. The OEMs provide the highest value and are also known as prime contractors (“Primes”). We derive a significant portion of our revenues from subcontracts with OEMs. As the Primes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 Tier Three suppliers principally provide components or detailed parts. We currently compete with Tier One, Tier Two, and Tier Three suppliers. Our business growth strategy is to differentiate ourselves from competitors by providing more complex assemblies to our customers as a higher value added supplier.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Aerospace End-Use Market</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commercial aerospace end-use market is highly cyclical and is impacted by the level of global air passenger traffic in general, which in turn is influenced by global economic conditions, fleet fuel and maintenance costs, geopolitical developments, pandemics, supply chain issues, and inflationary forces. Revenues from the commercial aerospace end-use market represented 35% of our total net revenues for 2022.</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residual effects of the COVID-19 pandemic, geopolitical events including the war in Ukraine, inflationary forces, rising interest rates, and supply chain issues have and continue to contribute to a general slowdown in the global economy, and having an adverse impact on demand for civil air travel. The combination of these factors has, in turn, created a significant challenge for some of our customers and the entire commercial aerospace manufacturing and services sector. As the number of infections from COVID-19 continues to decline and/or stabilize in various parts of the world, it should result in the steady increase in consumer confidence on the safety of air travel. Airline financial performance, which also plays a role in the demand for new capacity, has been adversely impacted by the COVID-19 pandemic and aforementioned issues. According to the International Air Transport Association (“IATA”), net losses for the airline industry were $42 billion in 2021 and $138 billion in 2020. IATA also forecasts $6.9 billion of losses for the industry globally for 2022, with $9.9 billion of profits in North America driven by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robust domestic market being more than offset by losses in other regions. However, for 2023, IATA is forecasting $4.6 billion in profits for the industry globally. While the outlook continues to improve, we continue to face a challenging environment in the near to medium-term as airlines are facing increased fuel and other costs, and the global economy is experiencing high inflation. The current environment is also affecting the financial viability of some airlines.</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Boeing Company’s (“Boeing”) 2022 Annual Report on Form 10-K filed with the Securities and Exchange Commission (the “SEC”), they indicated that domestic travel continues to recover from the lingering effects of the COVID-19 pandemic and will recover before international travel. The pace of the commercial market recovery remains impacted by government restrictions related to COVID-19, especially China.</w:t>
      </w:r>
    </w:p>
    <w:p>
      <w:pPr>
        <w:spacing w:after="0" w:line="4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long-term outlook for the industry remains positive due to the fundamental drivers of air travel demand: economic growth, increasing propensity to travel due to increased trade, globalization, and improved airline services driven by liberalization of air traffic rights between countries. Boeing’s commercial market outlook forecast projects a three and eight tenths percent growth rate for passenger and cargo traffic over a 20 year period. Based on long-term global economic growth projections of two and six tenths percent average annual gross domestic product (“GDP”) growth, Boeing projects demand for 41,170 new airplanes over the next 20 years. However, the industry remains vulnerable to various developments including fuel price spikes, credit market fluctuations, acts of terrorism, natural disasters, conflicts, epidemics, pandemics, supply chain shortages, rising interest rates, and increased global environmental regulations. We believe we are well positioned given our product capabilities, investment in inventories and contract assets, and our initiatives to increase operating efficiencies to participate in the near term recovery and the long term projected growth rate for commercial air traffic and build rates for large commercial aircraft for the airframe manufacturing industry. If the recovery is slower than anticipated or any of those various developments occur, it could have a material adverse effect on our results of operations, financial position, and/or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End-Use Market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2022 represented 59% of our total net revenues during 2022.</w:t>
      </w:r>
    </w:p>
    <w:p>
      <w:pPr>
        <w:spacing w:after="0" w:line="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FY 2023 National Defense Authorization Act (“NDAA”), enacted by the U.S. President in December 2022, is the annual policy bill that establishes, continues, or modifies federal programs, and provides the prerequisites for Congress to appropriate budget authority for defense programs. The FY 2023 NDAA authorized $30 billion more than the U.S. President originally requested in the FY 2023 budget request. However, there continues to be uncertainty with respect to future program-level appropriations for the U.S. Department of Defense (“U.S. DoD”) and other government agencies for fiscal year 2024 and beyond. Future budget cuts or investment priority changes, including changes associated with the authorizations and appropriations process, could result in reductions, cancellations, and/or delays of existing contracts or programs. Any of these impacts could have a material effect on our results of operations, financial position, and/or cash flows. For additional information related to our revenues from customers whose principal sales are to the U.S. Government and our direct sales to the U.S. Government, see “Risk Factors” contained within Part I, Item 1A of this Annual Report on Form 10-K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END-USE MARKETS OVERVIEW</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industrial, medical and other (collectively, “Industrial”) end-use markets are diverse and are impacted by the customers’ needs for increasing electronic content and a desire to outsource. Factors expected to impact these markets include capital and industrial goods spending and general economic conditions. Our products are used in heavy industrial manufacturing systems and certain medical applications. Revenues from the Industrial end-use markets were 6% of our total net revenues during 2022.</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our business in these markets in the long-term, is stable and we are well positioned in these markets even though the residual effects of the COVID-19 pandemic and the related inflationary forces, rising interest rates, and supply chain issues has had and will continue to have an impact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Due to the continuing COVID-19 pandemic, while both major large aircraft manufacturers, Boeing and Airbus SE (“Airbus”), have announced improved build rates, it will take longer to reach pre-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COVID-19 pandemic levels. While the ramp up in production and demand will be slower in the near and medium future, we will continue to identify opportunities to expand our presence and offerings with both major large aircraft manufacturers and their supply chain.</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are expanding our presence with unmanned aerial vehicles and continue to support various satellite programs.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sales into the Industrial end-use markets are customer focused in various markets and driven primarily by their capital spending and manufacturing outsourcing demands.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863590" cy="1671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designated early in the design process for various products and/or high volume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our revenues is governed by the purchasing patterns of our customers, and, as a result, we may not generate revenues equally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 material portion of our business is considered to be seasonal.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currently generate the majority of our revenues from the aerospace and defense industries. As a result, we have significant revenues from certain customers. Boeing and Raytheon Technologies Corporation (“Raytheon”) were our largest customers, with Boeing generating 7% and Raytheon generating 22% of our 2022 net revenues. Revenues from our top 10 customers, including Boeing and Raytheon, were 61% of total net revenues during 2022. Net revenues by major customer for 2022 and 2021 were as follows: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5863590" cy="184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revenues from our customers, except the U.S. Government, are diversified over a number of different military and space, commercial aerospace, industrial, medical and other products. For additional information on revenues from major customers, see Note 16 to our consolidated financial statements included in Part IV, Item 15(a)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and exacerbated by the COVID-19 pandemic, we have experienced increases in lead times and limited availability of various items including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LICENSES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BACKLOG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performance obligations as customer placed purchase orders (“POs”) with firm fixed price and firm delivery dates. The majority of the long-term agreements (“LTAs”) we enter into do not meet the definition of a contract under Accounting Standards Codification 606 (“ASC 606”) and thus, the backlog amount is greater than the remaining performance obligations amount as defined under ASC 606. Revenue based on remaining performance obligations is subject to delivery delays or program cancellations, which are beyond our control. Remaining performance obligations were $853.0 million at December 31, 2022. We anticipate recognizing an estimated 70% or $597.0 million of our remaining performance obligations during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define backlog as potential revenue that is based on customer placed POs and LTAs with firm fixed price and expected delivery dates of 24 months or less. Backlog is subject to delivery delays or program cancellations, which are beyond our control. Backlog is affected by timing differences in the placement of customer orders, and tends to be concentrated in several programs to a greater extent, than our net revenues. As a result of these factors, trends in our overall level of backlog may not be indicative of trends in our future net revenues. Backlog was $960.8 million at December 31, 2022, compared to $905.2 million at December 31, 2021. The increase in backlog was primarily in the commercial aerospace end-use markets, partially offset by a decrease in the military and space end-use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issued by government agencies, including the Environmental Protection Agency (“EPA”).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could be or have been released into the environment, or endanger human health, and they require us to obtain and maintain licenses and permits in connection with our operations. We may also be required to investigate and remediate the effects of the release or disposal of materials at sites associated with past and present operations. Additionally, this extensive regulatory framework imposes significant compliance burdens and risks on us. We anticipate that capital expenditures will continue to be required for the foreseeable future to upgrade and maintain our environmental compliance efforts, however, we currently do not expect such expenditures to be material in 2023 and the near term.</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2022 for our estimated liabilities related to these sites. For further information, see Note 15 in the accompanying notes to consolidated financial statements included in Part IV, Item 15(a) of this Form 10-K. In addition, see Risk Factors contained within Part I, Item 1A of this Form 10-K for certain risks related to environmental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employees are critical to our success. We promote a culture of honesty, respect, trust, and teamwork through our Code of Business Conduct. Also, we have been engaged in a number of social matters and issues, both within the Company in our management of human capital, and externally with our community based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Safety and Health</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safety of our workforce remains our highest priority as evidenced by our initial and continuing response to the COVID-19 pandemic. To this end, we continue to focus on protecting the health and safety of our employees and maintaining a safe work environment by following the COVID-19 safety guidelines provided by state and local governments and the Centers for Disease Control and Prevention at all of our facilities.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implemented the use of employee health and safety key performance indicators (“KPIs”) that are regularly communicated to our employees by senior management to improve safety outcomes. In 2022, we continued to invest in infrastructure to improve internal safety protocols related to key processes and refined our health and safety software tools to track and engage our performance centers to further reduce our lost time and total recordable incident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Diversity and inclusion has been and will continue to be important to our success. As part of our continuing improvement in this area, we implemented diversity and inclusion initiatives in 2019 to help accelerate the process of developing a diverse talent pool. To that end, we are seeing an increase in the number of women and individuals from underrepresented communities being promoted into leadership roles. In 2020, we partnered with the Fund II Foundation to utilize its innovative internX platform to provide access to highly qualified and diverse science, technology, engineering and math (“STEM”) students. We believe a diverse hiring process at the intern level will result in inclusive hiring going forward and help us develop a diverse leadership team as our interns continue in their careers.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Acquisition, Retention, and Development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attract, develop, and retain employee talent by offering competitive compensation packages and fostering a culture of care about their well-being. In addition, we endeavor to be a proactive corporate citizen by being responsive and supportive of the needs of our employees to attract qualified talent. We strive to provide opportunities for qualified members of underrepresented communities and women for advancement within our company and award scholarships to the children and grandchildren of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employees so that they may develop the skills that will support their entry into the workforce. In addition, in 2018, we implemented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one of the key retention mechanisms for our human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Demographics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2022, we had a highly skilled workforce of 2,465 employees, of which 435 are subject to collective bargaining agreements expiring in April 2025 and June 2024. However, the Monrovia, California performance center that employs 130 of our collective bargaining employees that are covered by an agreement expiring in June 2024 will be ceasing production and the facility will close by the middle of 2023. See Note 3 to our consolidated financial statements included in Part IV, Item 15(a) of this Annual Report on Form 10-K for further discussion. Historically, we have been successful in negotiating renewals to expiring agreements without material disruption of operating activities, and believe our relations with our employees are good. See Risk Factors contained within Part I, Item 1A of this Form 10-K for additional information regarding certain risks related to our employees.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General information about us can be obtained from our website address at </w:t>
      </w:r>
      <w:r>
        <w:rPr>
          <w:rFonts w:ascii="Times New Roman" w:cs="Times New Roman" w:eastAsia="Times New Roman" w:hAnsi="Times New Roman"/>
          <w:sz w:val="18"/>
          <w:szCs w:val="18"/>
          <w:u w:val="single" w:color="auto"/>
          <w:color w:val="auto"/>
        </w:rPr>
        <w:t>www.ducommun.com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Form 10-K. The 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our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Any of these risks, uncertainties and other factors could cause our future financial results to differ materially from recent financial results or from currently anticipated future financial results. The risk factors below should be considered together with the information included elsewhere in this Annual Report on Form 10-K (“Form 10-K”) as well as other required filings by us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could limit our financing options, adversely affect our financial condition, and prevent us from fulfilling our debt obligations.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 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3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December 31, 2022, we had a total of $248.4 million of outstanding long-term debt under the 2022 Credit Facilities. The total long-term debt was primarily the result of our acquisitions, including Lightning Diversion Systems, LLC (“LDS”) in September 2017, Certified Thermoplastics Co., LLC (“CTP”) in April 2018, and Nobles Worldwide, Inc. (“Nobles”) in October 2019.</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debt could:</w:t>
      </w:r>
    </w:p>
    <w:p>
      <w:pPr>
        <w:spacing w:after="0" w:line="117" w:lineRule="exact"/>
        <w:rPr>
          <w:sz w:val="20"/>
          <w:szCs w:val="20"/>
          <w:color w:val="auto"/>
        </w:rPr>
      </w:pPr>
    </w:p>
    <w:p>
      <w:pPr>
        <w:ind w:left="980" w:right="96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capital expenditures, investments or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980" w:right="26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other, less leveraged competitors;</w:t>
      </w:r>
    </w:p>
    <w:p>
      <w:pPr>
        <w:spacing w:after="0" w:line="117"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borrowing costs and higher interest rates as all of our current borrowings under our 2022 Credit Facilities bear interest at variable rates (our interest rate swaps, with an aggregate total notional amount of $150.0 million and seven year tenor, will not take effect until January 1, 2024), which could further adversely impact our cash flows;</w:t>
      </w:r>
    </w:p>
    <w:p>
      <w:pPr>
        <w:spacing w:after="0" w:line="6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react to changes in our business and the industry in which we compete;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 of unfavorable changes in the global credit markets;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the 2022 Credit Facilities and our other debt.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occurrence of any one of these events could have an adverse effect on our business, financial condition, results of operations and ability to satisfy our obligations in respect of our outstanding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run our business.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$143.1 million and we recognized a gain of $132.5 million. See Note 6 to our consolidated financial statements included in Part IV, Item 15(a) of this Annual Report on Form 10-K for further discussion. Also in December 2021, we acquired 100% of the outstanding equity interests of MagSeal for an original purchase price of $69.5 million, net of cash acquired, all payable in cash. A portion of the proceeds from the sale-leaseback transaction was subsequently utilized to pay down the amount drawn on the 2019 Revolving Credit Facility to close the MagSeal acquisition. See Note 2 to our consolidated financial statements included in Part IV, Item 15(a) of this Annual Report on Form 10-K for further discussion.</w:t>
      </w:r>
    </w:p>
    <w:p>
      <w:pPr>
        <w:spacing w:after="0" w:line="13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On July 14, 2022, as a result of completing a refinancing of our existing debt, we were required to complete an amendment of all the forward interest rate swaps (“Amended Forward Interest Rate Swaps”) we entered into in November 2021 that were based on U.S. dollar-one month London Interbank Offered Rate (“LIBOR”) to be based on one month Term Secured Overnight Financing Rate (“SOFR”) as borrowings can only be based on SOFR. The weighted average fixed rate of the Amended Forward Interest Rate Swaps was 1.7%. In November 2021, we entered into U.S. dollar-one month LIBOR forward interest rate swaps, all with an effective date of January 1, 2024, for an aggregate total notional amount of $150.0 million, weighted average fixed rate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1.8%, and all terminating on January 1, 2031 (“Forward Interest Rate Swaps”). In October 2015, we entered into interest rate cap hedges designated as cash flow hedges, with a portion of these interest rate cap hedges maturing on a quarterly basis, with notional value in aggregate, totaling $135.0 million. However, all of these interest rate cap hedges matured in June 2020. At December 31, 2022, the outstanding balance on the 2022 Credit Facilities was $248.4 million with an average interest rate of 4.36%. Should interest rates increase significantly, our debt service cost will increase as all of our current debt borrowings under the 2022 Credit Facilities bear interest at variable rates. Any inability to generate sufficient cash flow could have a material adverse effect on our financial condition or results of operations. See Note 1 and Note 9 to our consolidated financial statements included in Part IV, Item 15(a) of this Annual Report on Form 10-K for further discussion.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we expect to meet all of our financial obligations, we cannot ensure that our business will generate sufficient cash flow from operations in an amount sufficient to enable us to pay our debt or to fund our other liquidity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fund our anticipated voluntary principal prepayments on our Credit Facilities.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ability to reduce the debt outstanding under our 2022 Credit Facilities through voluntary principal prepayments will be a contributing factor to our ability to keep our interest rate towards the lower end of the interest rate range as defined in the 2022 Credit Facilities. Our ability to make such prepayments will depend upon our ability to generate significant cash in the future. We cannot ensure that our business will generate sufficient cash flow from operations to fund any such prepayments.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our credit facilities impose restrictions that may limit our operating and financial flexibility.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required to comply with a leverage covenant as defined in the 2022 Credit Facilities. The leverage covenant is defined as Consolidated Funded Indebtedness less unrestricted cash and cash equivalents in excess of $5.0 million, divided by consolidated earnings before interest, taxes and depreciation and amortization (“EBITDA”) and other adjustments.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2022, we were in compliance with the leverage covenant under the 2022 Credit Facilities. However, there is no assurance that we will continue to be in compliance with the leverage covenant in future periods.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2022 Credit Facilities’ agreements contains a number of significant restrictions and covenants that limit our ability, among other things, to incur additional indebtedness, to create liens, to make certain payments, to make certain investments, to engage in transactions with affiliates, to sell certain assets or enter into mergers.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 and changes in regulations, and we cannot ensure that we will be able to comply with such covenants. These restrictions also limit our ability to obtain future financings to withstand a future downturn in our business or the economy in general.</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breach of any covenant in the 2022 Credit Facilities could result in a default under the 2022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typical trading volume of our common stock may affect an investor’s ability to sell significant stock holdings in the future without negatively impacting stock price.</w:t>
      </w:r>
    </w:p>
    <w:p>
      <w:pPr>
        <w:spacing w:after="0" w:line="1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level of trading activity may vary daily and typically represents only a small percentage of outstanding shares. As a result, a stockholder who sells a significant amount of shares in a short period of time could negatively affect our share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amount of debt may require us to raise additional capital to fund acquisitions.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may sell additional shares of common stock or other equity securities to raise capital in the future, which could dilute the value of an investor’s holdings.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end-use markets are cyclical.</w:t>
      </w:r>
    </w:p>
    <w:p>
      <w:pPr>
        <w:spacing w:after="0" w:line="175"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color w:val="auto"/>
        </w:rPr>
        <w:t>We sell our products into aerospace, defense, and industrial end-use markets, which are cyclical and have experienced periodic declines. Our sales are, therefore, unpredictable and may tend to fluctuate based on a number of factors, including global economic conditions, geopolitical developments and conditions, pandemics, supply chain shortages, rising interest rates and other developments affecting our end-use markets and the customers served.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results of operations in any period should not be considered indicative of the operating results that may be experienced in any future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upon a select base of industries and customers, which subjects us to unique risks which may adversely affect us.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currently generate the majority of our revenues from customers in the aerospace and defense industry. Our business depends, in part, on the level of new military and commercial aircraft orders. As a result, we have significant sales to certain customers. Sales to The Boeing Company (“Boeing”), Spirit AeroSystems Holdings, Inc. (“Spirit”), and Viasat, Inc. (“Viasat”)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comprise a significant portion of our commercial aerospace end-use market. A significant portion of our net sales in our military and space end-use markets are made under subcontracts with original equipment manufacturers (“OEMs”), under their prime contracts with the U. S. Government. We had significant sales to General Dynamics Corporation (“GD”), Northrop Grumman Corporation (“Northrop”), and Raytheon Technologies Corporation (“Raytheon”) in 2022 in our defense technologies end-use market.</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customers may experience delays in the launch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revenues from our top ten customers, which represented 61% of our total 2022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 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Boeing was one of our largest customers in 2022, and the 737 MAX was one of our highest commercial end use market revenue platforms. In late 2020, Boeing began receiving regulatory approval for its 737 MAX to return to service from some of the major civil aviation regulators around the world and thus, we have been seeing an increase in our production rates. However, they are still below pre-COVID-19 pandemic levels. Revenue growth with our other commercial customers, including Airbus SE (“Airbus”), and continued solid demand from defense OEMs (also known as prime contractors) have helped to mitigate a significant portion of this risk for the time being. However, the residual effects of the COVID-19 pandemic along with inflationary forces and supply chain issues continues to dampen civil air travel demand in various segments and markets, and if traveler demand does not return in the near future, it may make it difficult to continue to offset a significant portion of this risk.</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business depends upon U.S. Government defense spending.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business from customers whose principal sales are to the U.S. Government. Accordingly, the success of our business depends upon government spending generally or for specific departments or agencies in particular.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 levels of U.S. Department of Defense (“U.S. DoD”)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While the FY 2023 NDAA authorized $30 billion more than the U.S. President originally requested in the FY 2023 budget request, there continues to be uncertainty with respect to future program-level appropriations for the U.S. DoD and other government agencies for fiscal year 2024 and beyond. Accordingly, long-term uncertainty remains with respect to overall levels of defense spending and it is likely that U.S. Government discretionary spending levels will continue to be subject to pressure.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Exports of certain of our products are subject to various export control regulations and authorizations, and we may not be successful in obtaining the necessary U.S. Government approvals and related export licenses for proposed sales to certain foreign customers.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must comply with numerous laws and regulations relating to the export of some of our products before we are permitted to sell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Accordingly, we can give no assurance that we will be successful in obtaining, in a timely manner or at all, the approvals, licenses or authorizations we need to sell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spacing w:after="0" w:line="13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spacing w:after="0" w:line="54" w:lineRule="exact"/>
        <w:rPr>
          <w:sz w:val="20"/>
          <w:szCs w:val="20"/>
          <w:color w:val="auto"/>
        </w:rPr>
      </w:pPr>
    </w:p>
    <w:p>
      <w:pPr>
        <w:ind w:left="980" w:right="780" w:hanging="648"/>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in whole or in part, for convenience, as well as for default, or if funds for contract performance for any subsequent year become unavailable;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if we are suspended or debarred from doing business with the federal government or with a governmental agency;</w:t>
      </w:r>
    </w:p>
    <w:p>
      <w:pPr>
        <w:spacing w:after="0" w:line="117" w:lineRule="exact"/>
        <w:rPr>
          <w:rFonts w:ascii="Times New Roman" w:cs="Times New Roman" w:eastAsia="Times New Roman" w:hAnsi="Times New Roman"/>
          <w:sz w:val="18"/>
          <w:szCs w:val="18"/>
          <w:color w:val="auto"/>
        </w:rPr>
      </w:pPr>
    </w:p>
    <w:p>
      <w:pPr>
        <w:ind w:left="980" w:right="160" w:hanging="648"/>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products and systems produced by us.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U.S. Government terminates a contract for convenience, the counterparty with whom we have contracted on a subcontract may terminate its 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sales and could have an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consolidation in the aerospace industry could adversely affect our business and financial results.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 includes evaluating selected acquisitions, which entails certain risks to our business and financial performance.</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48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the operations and personnel of the acquired company within our existing operations or in maintaining uniform standards;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or customers of the acquired company;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anticipated synergies;</w:t>
      </w:r>
    </w:p>
    <w:p>
      <w:pPr>
        <w:spacing w:after="0" w:line="117"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unrecorded liabilities of acquired companies that we fail to discover during our due diligence investigations or that are not subject to indemnification or reimbursement by the seller;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other personnel having their time and resources diverted to evaluate, negotiate and integrate acquisitions.</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we have implemented a number of restructuring, realignment, and cost reduction initiatives, including performance center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may be adversely impacted.</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As we move up the value chain to become a more value added supplier, enhanced design, product development, manufacturing, supply chain project management and other skills will be required.</w:t>
      </w:r>
    </w:p>
    <w:p>
      <w:pPr>
        <w:spacing w:after="0" w:line="1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assume additional risk in developing cost estimates and could expose us to increased risk of losses. There can be no assurance that we will be successful in obtaining the enhanced skills required to move up the value chain or that our customers will outsource such functions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operating and conducting our business outside the United States could adversely impact us.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manufacturing facilities that we lease in Thailand and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spacing w:after="0" w:line="68"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disasters, natural or otherwise;</w:t>
      </w:r>
    </w:p>
    <w:p>
      <w:pPr>
        <w:spacing w:after="0" w:line="117" w:lineRule="exact"/>
        <w:rPr>
          <w:rFonts w:ascii="Times New Roman" w:cs="Times New Roman" w:eastAsia="Times New Roman" w:hAnsi="Times New Roman"/>
          <w:sz w:val="18"/>
          <w:szCs w:val="18"/>
          <w:color w:val="auto"/>
        </w:rPr>
      </w:pPr>
    </w:p>
    <w:p>
      <w:pPr>
        <w:ind w:left="980" w:right="200" w:hanging="648"/>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international laws, as well as U.S. laws affecting the activities of U.S. companies conducting business abroad, including, but not limited to, the Foreign Corrupt Practices Act;</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taxes, export controls, tariffs, embargoes and other trade restrictions;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funds or restrictions on cash transfers;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new tariffs imposed on imports by the U.S. administration.</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the impact of these factors is difficult to predict, we believe any one or more of these factors could have a material adverse effect on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pricing pressures could reduce the demand and/or price for our products and services.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markets we serve are highly competitive and price sensitive. We compete worldwide with a number of domestic and international companies that have substantially greater manufacturing, purchasing, marketing and financial resources than we do. Many of our customers have the in-house capability to fulfill their manufacturing requirements. Our larger competitors may</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Several of our major customers have completed extensive cost containment efforts and we expect continued pricing pressures in 2023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 future business, financial condition, results of operations and our ability to meet our financial obligations may be materially compromised.</w:t>
      </w:r>
    </w:p>
    <w:p>
      <w:pPr>
        <w:spacing w:after="0" w:line="1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processes are subject to risk of obsolescence as a result of changes in technology and evolving industry and regulatory standards.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or that funds required to be invested in product design and development or incurred as capital expenditures will not increase materially in the future.</w:t>
      </w:r>
    </w:p>
    <w:p>
      <w:pPr>
        <w:spacing w:after="0" w:line="129"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have the ability to renew facilities leases on terms favorable to us and relocation of operations presents risks due to business interruption.</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of our manufacturing facilities and offices are leased and have lease terms that expire between 2023 and 2032. The majority of these leases provide renewal options at the fair market rental rate at the time of renewal, which, if renewed, could be significantly higher than our current rental rates. We may be unable to offset these cost increases by charging more for our products and services. Furthermore, continued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Additionally, if we choose to move any of our operations, those operations may be subject to additional relocation costs and associated risks of business interruption.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TAX, AND ACCOUNTING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regulation and audit by the Defense Contract Audit Agency.</w:t>
      </w:r>
    </w:p>
    <w:p>
      <w:pPr>
        <w:spacing w:after="0" w:line="17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accuracy and appropriateness of certain costs and expenses used to substantiate our direct and indirect costs for the U.S. Government contracts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subject to extensive regulation and audit by the Defense Contract Audit Agency, an arm of the U.S. DoD. Such audits and reviews could result in adjustments to our contract costs and profitability. However, we cannot ensure the outcome of any future audits and adjustments may be required to reduce net sales or profits upon completion and final negotiation of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spacing w:after="0" w:line="1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 number of procurement laws and regulations. Our business and our reputation could be adversely affected if we fail to comply with these laws.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4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Prime contracts with our major customers that have contracts with various agencies of the U.S. Government are subject to numerous laws and regulations, which affect how we do business with our customers and may impose added costs to our business. As a result, our contracts and operations are subject to numerous, extensive, complex, costly and evolving laws, regulations and restrictions, principally by the U.S. Government or their agencies. 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 such as Cybersecurity Maturity Model Certification (“CMMC”).</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Noncompliance could expose us to liability for penalties, including termination of our contracts and subcontracts, disqualification from bidding on future U.S. Government contracts and subcontracts, suspension or debarment from U.S. Government contracting and various other fines and penalties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Noncompliance found by any one agency could result in fines, penalties, debarment or suspension from receiving additional contracts with all U.S. Government agencies. Given our dependence on U.S. Government business, suspension or debarment could have a material adverse effect on our financial results.</w:t>
      </w:r>
    </w:p>
    <w:p>
      <w:pPr>
        <w:spacing w:after="0" w:line="1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are put up for competitive bidding. Any new contracting methods could be costly or administratively difficult for us to implement and could adversely affect our future net revenues.</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Changes in regulations or political environments may affect our ability to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groundwater contamination at certain sites and our ultimate liability for such matters will depend upon a number of factors. See Note 15 to our consolidated financial statements included in Part IV, Item 15(a) of this Form 10-K for further information.</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litigation, other legal proceedings and indemnity claims, and, if any of these are resolved adversely against us, it could have a material adverse effect on our business, financial condition, and results of operations.</w:t>
      </w:r>
    </w:p>
    <w:p>
      <w:pPr>
        <w:spacing w:after="0" w:line="10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legal and other proceedings that are incidental to the conduct of our business. Any litigation, other legal proceedings or indemnity claims could result in an unfavorable judgment that may not be reversed upon appeal or in payments of substantial monetary damages or fines, or we may decide to settle on similarly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unfavorable terms, any of which could adversely affect our business, financial condition, and results of operations. We could also suffer an adverse impact on our reputation and a diversion of management’s attention and resources, which could have a material adverse effect on our business, financial condition, and results of operations. See Note 13 and Note 15 to our consolidated financial statements included in Part IV, Item 15(a) of this Form 10-K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in excess of insurance could adversely affect our financial results and financial condition.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face potential liability for property damage, personal injury, or death as a result of the failure of products designed or manufactured by us. Although we currently maintain product liability insurance (including aircraft product liability insurance), any material product liability not covered by insurance could have a material adverse effect on our financial condition,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 estimates when bidding on fixed-price contracts. Changes in our estimates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and/or other assets could be impaired in the future, which could result in substantial charges.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as of the first day of our fourth quarter or more frequently if events or circumstances occur which could indicate potential impairment. In assessing the recoverability of goodwill, management is required to make certain critical estimates and assumptions. These estimates and assumptions include projected sales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also test intangible assets with indefinite life periods for potential impairment annually and on an interim basis if there are indicators of potential impairment.</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evaluate amortizable intangible assets, fixed assets, production cost of contracts, and lease right-of-use assets for impairment if there are indicators of a potential impairment.</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 impairment charges may be incurred against other intangible assets or long-term assets if asset utilization declines, customer demand declines or other circumstances indicate that the asset carrying value may not be recoverable.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goodwill and other intangible assets as of December 31, 2022 were $330.6 million, or 32% of total assets. If our goodwill and/or other assets are impaired, it could have an adverse effect on our results of operations and financial condition. See “Goodwill and Other Intangible Assets” in Note 7 of our consolidated financial statements included in Part IV, Item 15(a) of this Form 10-K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changes in our tax provision or exposure to additional income tax liabilities could affect our profitability.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accurately report our financial results or prevent fraud may be adversely affected if our internal control over financial reporting is not effective.</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SUPPLY CHAIN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upon our ability to attract and retain key personnel.</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disruptions by our employees could adversely affect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we employed 2,465 people. Two of our performance centers are parties to collective bargaining agreements, covering 130 full time hourly employees in one of those performance centers and 305 full time hourly employees in the other performance center, which will expire in June 2024 and April 2025, respectively. However, the Monrovia, California performance center that employs 130 of our collective bargaining employees that are covered by an agreement that expires in June 2024 will be ceasing production and the facility will close by the middle of 2023. See Note 3 to our consolidated financial statements included in Part IV, Item 15(a) of this Form 10-K for further information.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suppliers to meet the quality and delivery expectations of our customers.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We do not currently have the ability to manufacture these components ourselves. These and other factors, including the impact from the COVID-19 pandemic,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has had, and continues to have, a material adverse effect on our business, results of operations, and financial condition.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COVID-19 pandemic has caused, and continues to cause, a significant adverse impact on our employees, operations, businesses of our customers, suppliers and distribution partners, and volatility in the financial markets. Changes in our operations in response to the COVID-19 pandemic or employee illnesses resulting from the pandemic, has resulted in and may continue to result in inefficiencies or delays, including in sales and product development efforts and our manufacturing and supply chain, and additional costs related to business continuity initiatives, that cannot be fully mitigated through succession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planning, employees working remotely, or teleconferencing technologies. The long-term impact to our business remains unknown. This is due to the numerous uncertainties that have risen from the pandemic, including the severity of the disease, the duration of the outbreak, the likelihood of resurgences of the outbreak, including the emergence and spread of variants, actions that may be taken by governmental authorities in response to the disease, the timing, distribution, efficacy and public acceptance of vaccines, long-term impact from COVID-19 infection or vaccines, and the related unintended or unanticipated consequences.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commercial aerospace industry, in particular, has been significantly disrupted, both domestically and internationally, by the pandemic. Governments around the world implemented stringent measures to help control the spread of the pandemic, including quarantines, shelter in place or stay at home orders, travel restrictions, business curtailments and other measures. As a result, demand for travel declined at a rapid pace beginning in mid-2020 and overall global travel still remains below pre-pandemic levels. However, commercial air travel has increasingly shown signs of recovery recently with increasing air traffic, primarily in domestic markets. The recovery in international commercial air travel has been slower with international travel still below pre-COVID-19 pandemic levels. The exact pace and timing of the overall commercial air travel recovery remains uncertain and is expected to continue to be uneven depending on factors such as trends in the number of COVID-19 infections (i.e., impact of new variants of COVID-19 surfacing) and the timing, distribution, efficacy, and public acceptance of vaccines, among other factors.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in 2023 and beyond.</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ability to continue to manufacture products is highly dependent on our ability to maintain the safety and health of our performance center employees. While we are following the guidelines and requirements of governmental authorities and taking preventive and protective measures to prioritize the safety and well-being of our employees, these measures are not always successful. Thus far, the ability of our employees to work has not been significantly impacted by individuals contracting or being exposed to COVID-19. However, if an outbreak of COVID-19 or other viruses does occur at any of our performance centers, it may disrupt our ability to manufacture products and thus, have a material and adverse impact on our business, financial condition, and results of operations.</w:t>
      </w:r>
    </w:p>
    <w:p>
      <w:pPr>
        <w:spacing w:after="0" w:line="12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Increased scrutiny from investors, lenders, and other market participants regarding our environmental, social, and governance, or sustainability responsibilities could expose us to additional costs and adversely impact our liquidity, results of operations, reputation, employee retention, and stock price.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and other key stakeholders concerning corporate responsibility, specifically related to environmental, social, and governance (“ESG”) factors. Some investors may use ESG criteria to guide their investment strategies and, in some cases, may choose not to invest in us if they believe our policies relating to corporate responsibilities are inadequate. Lenders may also use ESG criteria to guide their lending practices and, in some cases, may choose not to lend to us.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ESG factors by which companies’ corporate responsibility practices are assessed may change. This could result in greater expectations of us and cause us to undertake costly initiatives to satisfy such new criteria. If we are unable to satisfy the new corporate responsibility criteria, investors may view our policies related to corporate responsibility as inadequate. We risk damage to our reputation in the event our corporate responsibility procedures or goals do not meet the standards or goals set by various constituencies. In addition, if our competitors’ corporate responsibility performance is perceived to be greater than ours, potential or current investors may elect to invest in our competitors instead. Further, in the event we communicate certain initiatives or goals related to ESG, we could fail, or be perceived to have failed, in our achievement of such initiatives or goals. If we fail to satisfy the expectations of investors and other key stakeholders, or our initiatives are not executed as planned, our reputation, employee retention, and willingness of our customers and suppliers to do business with us, financial results, and stock price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attacks, internal system or service failures may adversely impact our business and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Any such failures could cause loss of data and interruptions or delays in our business, cause us to incur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remediation costs, subject us to claims and damage our reputation. In addition,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which would adversely affect our business, results of operations and financial condition.</w:t>
      </w:r>
    </w:p>
    <w:p>
      <w:pPr>
        <w:spacing w:after="0" w:line="12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Assertions by third parties that we violated their intellectual property rights could have a material adverse effect on our business, financial condition, and results of operations.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Third parties may claim that we, our customers, licensees,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spacing w:after="0" w:line="11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p>
    <w:p>
      <w:pPr>
        <w:spacing w:after="0" w:line="14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Damage or destruction of our facilities caused by storms, earthquake, fires or other causes could adversely affect our financial results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operations located in regions of the U.S.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because of the cost of such insurance. Many of our properties are located in Southern California, an area subject to earthquake activity. Our California performance centers generated $180.5 million in net revenues during 2022. Even if covered by insurance, any significant damage or destruction of our facilities due to storms, earthquakes, fires or other natural disasters could result in our inability to meet customer delivery schedules and may result in the loss of customers and significant additional costs to us. Thus, any significant damage or destruction of our properties could have a material adverse effect on our business, financial condition or results of operations. See discussion of a fire in June 2020 which severely damaged our Guaymas, Mexico performance center in Note 15 to our consolidated financial statements included in Part IV, Item 15(a) of this Form 10-K for further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headquarters are located in Santa Ana, California. As of December 31, 2022, we owned or leased facilities and land for corporate functions and manufacturing at locations throughout the United States and various places outside the United States. We believe our existing facilities are suitable and adequate for our present purposes. Each of our reportable segments uses each of these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See Note 15 to our consolidated financial statements included in Part IV, Item 15(a) of this Annual Report on Form 10-K for a description of our legal proceedings.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740" w:right="1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DCO. As of December 31, 2022, we had 142 holders of record of our common stock. We have not paid any dividends since the first quarter of 2011 and we do not expect to pay dividends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90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See “Part III, Item 12. SECURITY OWNERSHIP OF CERTAIN BENEFICIAL OWNERS AND MANAGEMENT AND RELATED STOCKHOLDER MATTERS” for information relating to shares to be issued under equity compensation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our cumulative total shareholder return with the cumulative total return of the Russell 2000 Index and the median of our 2023 Proxy Statement peers (“Median of Peers”) over a five year period, assuming the reinvestment of any dividends.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863590" cy="2948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320"/>
        <w:spacing w:after="0" w:line="44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COVID-19 pandemic has had a significant impact on our overall business during the year ended December 31,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safety of our employees remains our highest priority. The well-being and safety protocols that were already in place at all of our facilities were further enhanced at the onset of the COVID-19 pandemic. We continue to follow safety protocols consistent with guidelines provided by state and local governments and the Centers for Disease Control and Prevention (“CDC”). These measures included social distancing, provision of personal protective equipment, enhanced cleaning, and flexible work arrangements wherever possible. We have also offered enhanced leave and benefits to our employees and provided frequent updates to ensure our workforce is kept apprised of evolving regulations and safety measures.</w:t>
      </w:r>
    </w:p>
    <w:p>
      <w:pPr>
        <w:spacing w:after="0" w:line="4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was required to be paid and was paid by December 31, 2021, and the remaining 50% was required to be paid and was paid by December 31, 2022. Thus, there was no accrued liabilities on the consolidated balance sheets related to this item as of December 31, 2022.</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and the resulting inflation, rising interest rates, supply chain issues, and other events including the war in Ukraine have and continues to contribute to a general slowdown in the global economy and most significantly, the commercial aerospace end-use market. While both major large aircraft manufacturers, The Boeing Company (“Boeing”) and Airbus SE, have announced increases in build rates for 2023, the ramp up is slower than expected and below pre-pandemic levels. In its 2022 Annual Report on Form 10-K, Boeing indicated that domestic travel continues to recover from the lingering effects of the COVID-19 pandemic and will recover before international travel. However, the pace of the commercial market recovery remains impacted by government restrictions related to COVID-19, especially China.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2023 and beyond. See Risk Factors included in Part I, Item 1A of this Annual Report on Form 10-K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Recap for the year ended December 31, 2022:</w:t>
      </w:r>
    </w:p>
    <w:p>
      <w:pPr>
        <w:spacing w:after="0" w:line="121"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$712.5 million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$28.8 million, or $2.33 per diluted share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$94.7 million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insurance recoveries related to business interruption, inventory purchase accounting adjustments, loss on extinguishment of debt, other debt refinancing costs, gain on sale-leaseback, and success bonus related to the completion of sale-leaseback transaction (“Adjusted EBITDA”) was $94.7 million and $92.8 million for years ended December 31, 2022 and December 31, 2021, respectively.</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that clarifies and enhances the understanding of the factors and trends affecting our past performance and future prospects. We define Adjusted EBITDA, explain how it is calculated, and provide a reconciliation to the most comparable GAAP measure in the table below. Adjusted EBITDA and the related financial ratios, as presented in this Form 10-K,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13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also present Adjusted EBITDA and the related financial ratios, as applicable, because we believe that measures such as these provide useful information with respect to our ability to meet our operating commitments.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substitutes for analysis of our results as reported under GAAP. Some of these limitations include:</w:t>
      </w:r>
    </w:p>
    <w:p>
      <w:pPr>
        <w:spacing w:after="0" w:line="54"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980" w:right="40" w:hanging="648"/>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or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their usefulness as comparative measures.</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980" w:right="360" w:hanging="648"/>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980" w:right="340" w:hanging="648"/>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980" w:right="280" w:hanging="648"/>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980" w:right="4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980" w:right="74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980" w:right="80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refinancing costs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sale-leaseback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980" w:right="940" w:hanging="648"/>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bonus related to completion of sale-leaseback transaction may be useful to our investors in evaluating our core operating performance.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135,536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29,174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13,824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15,026</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9,299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Inventory purchase accounting adjustments </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sale-leaseback</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(132,522)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Success bonus related to completion of sale-leaseback transaction </w:t>
            </w:r>
            <w:r>
              <w:rPr>
                <w:rFonts w:ascii="Times New Roman" w:cs="Times New Roman" w:eastAsia="Times New Roman" w:hAnsi="Times New Roman"/>
                <w:sz w:val="23"/>
                <w:szCs w:val="23"/>
                <w:color w:val="auto"/>
                <w:vertAlign w:val="superscript"/>
              </w:rPr>
              <w:t>(4)</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94,710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92,793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87,911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580" w:right="240" w:hanging="329"/>
        <w:spacing w:after="0" w:line="261"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included $1.2 million of stock-based compensation expense for awards with both performance and market conditions that will be settled in cash.</w:t>
      </w: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included $0.5 million of restructuring charges that were recorded as cost of sales.</w:t>
      </w:r>
    </w:p>
    <w:p>
      <w:pPr>
        <w:spacing w:after="0" w:line="9" w:lineRule="exact"/>
        <w:rPr>
          <w:rFonts w:ascii="Times New Roman" w:cs="Times New Roman" w:eastAsia="Times New Roman" w:hAnsi="Times New Roman"/>
          <w:sz w:val="18"/>
          <w:szCs w:val="18"/>
          <w:color w:val="auto"/>
        </w:rPr>
      </w:pPr>
    </w:p>
    <w:p>
      <w:pPr>
        <w:ind w:left="580" w:right="120" w:hanging="329"/>
        <w:spacing w:after="0" w:line="250"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and 2021 included inventory purchase accounting adjustments of inventory that was stepped up as part of our purchase price allocation from our acquisition of Magnetic Seal LLC (f/k/a Magnetic Seal Corporation, “MagSeal”) in December 2021 and is a part of our Structural Systems operating segment.</w:t>
      </w:r>
    </w:p>
    <w:p>
      <w:pPr>
        <w:spacing w:after="0" w:line="1"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included $1.3 million of success bonus related to the completion of the sale-leaseback transaction that was recorded as part of cost of sales.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to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color w:val="auto"/>
              </w:rPr>
              <w:t>2022</w:t>
            </w:r>
          </w:p>
        </w:tc>
        <w:tc>
          <w:tcPr>
            <w:tcW w:w="1680" w:type="dxa"/>
            <w:vAlign w:val="bottom"/>
            <w:gridSpan w:val="2"/>
          </w:tcPr>
          <w:p>
            <w:pPr>
              <w:jc w:val="right"/>
              <w:ind w:right="6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c>
          <w:tcPr>
            <w:tcW w:w="1700" w:type="dxa"/>
            <w:vAlign w:val="bottom"/>
            <w:gridSpan w:val="2"/>
          </w:tcPr>
          <w:p>
            <w:pPr>
              <w:jc w:val="right"/>
              <w:ind w:right="6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of Net Revenues</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of Net Revenues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645,413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568,240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502,953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144,297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142,460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93,579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6,158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48,881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(11,571)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(11,187)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Sale-Leaseback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132,522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33,322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170,484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135,536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end-use market and operating segment during 2022 and 2021, respectively,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(Dollars in thousands)</w:t>
            </w:r>
          </w:p>
        </w:tc>
        <w:tc>
          <w:tcPr>
            <w:tcW w:w="20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2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420" w:type="dxa"/>
            <w:vAlign w:val="bottom"/>
            <w:tcBorders>
              <w:top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420,701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453,848</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232,765</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2022 were $712.5 million compared to $645.4 million for 2021. The year-over-year increase was primarily due to the following:</w:t>
      </w:r>
    </w:p>
    <w:p>
      <w:pPr>
        <w:spacing w:after="0" w:line="117" w:lineRule="exact"/>
        <w:rPr>
          <w:sz w:val="20"/>
          <w:szCs w:val="20"/>
          <w:color w:val="auto"/>
        </w:rPr>
      </w:pPr>
    </w:p>
    <w:p>
      <w:pPr>
        <w:ind w:left="980" w:right="560" w:hanging="648"/>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$91.8 million higher revenues in our commercial aerospace end-use markets due to higher build rates on large aircraft platforms, other commercial aerospace platforms, and regional and business aircraft platforms; partially offset by</w:t>
      </w:r>
    </w:p>
    <w:p>
      <w:pPr>
        <w:spacing w:after="0" w:line="53"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 million lower revenues in our military and space end-use markets due to lower build rates on military rotary-wing aircraft platforms and military fixed-wing aircraft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1020" w:type="dxa"/>
            <w:vAlign w:val="bottom"/>
          </w:tcPr>
          <w:p>
            <w:pPr>
              <w:spacing w:after="0"/>
              <w:rPr>
                <w:sz w:val="16"/>
                <w:szCs w:val="16"/>
                <w:color w:val="auto"/>
              </w:rPr>
            </w:pPr>
          </w:p>
        </w:tc>
      </w:tr>
      <w:tr>
        <w:trPr>
          <w:trHeight w:val="203"/>
        </w:trPr>
        <w:tc>
          <w:tcPr>
            <w:tcW w:w="8600" w:type="dxa"/>
            <w:vAlign w:val="bottom"/>
            <w:gridSpan w:val="2"/>
          </w:tcPr>
          <w:p>
            <w:pPr>
              <w:ind w:left="8320"/>
              <w:spacing w:after="0"/>
              <w:rPr>
                <w:sz w:val="20"/>
                <w:szCs w:val="20"/>
                <w:color w:val="auto"/>
              </w:rPr>
            </w:pPr>
            <w:r>
              <w:rPr>
                <w:rFonts w:ascii="Times New Roman" w:cs="Times New Roman" w:eastAsia="Times New Roman" w:hAnsi="Times New Roman"/>
                <w:sz w:val="14"/>
                <w:szCs w:val="14"/>
                <w:color w:val="auto"/>
                <w:w w:val="92"/>
              </w:rPr>
              <w:t>2022</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w w:val="92"/>
              </w:rPr>
              <w:t>2021</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312"/>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Top ten customers</w:t>
            </w:r>
            <w:r>
              <w:rPr>
                <w:rFonts w:ascii="Times New Roman" w:cs="Times New Roman" w:eastAsia="Times New Roman" w:hAnsi="Times New Roman"/>
                <w:sz w:val="23"/>
                <w:szCs w:val="23"/>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r>
    </w:tbl>
    <w:p>
      <w:pPr>
        <w:spacing w:after="0" w:line="88" w:lineRule="exact"/>
        <w:rPr>
          <w:sz w:val="20"/>
          <w:szCs w:val="20"/>
          <w:color w:val="auto"/>
        </w:rPr>
      </w:pPr>
    </w:p>
    <w:p>
      <w:pPr>
        <w:jc w:val="both"/>
        <w:ind w:right="36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General Dynamics Corporation (“GD”), Lockheed Martin Corporation (“Lockheed Martin”), Northrop Grumman Corporation (“Northrop”), Raytheon Technologies Corporation (“Raytheon”), Spirit AeroSystems Holdings, Inc. (“Spirit”), and Viasat, Inc. (“Viasat”).</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revenues from Boeing, GD, Lockheed Martin, Northrop, Raytheon, Spirit, and Viasat are diversified over a number of commercial, military and space programs and some of which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decreased to 20.3% in 2022 compared to 22.1% in 2021 primarily due to unfavorable product mix, partially offset by favorable manufacturing volume and lower compensation and benefits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SG&amp;A expenses increased $4.8 million in 2022 compared to 2021 primarily due to higher other general administrative expenses of $4.0 million and higher compensation and benefits costs of $2.8 million, partially offset by lower professional services fees of $2.0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Restructuring charges increased $6.2 million in 2022 compared to 2021 primarily due to the restructuring plan that was approved and commenced in April 2022 that is expected to better position us for stronger performance. See Note 3 to our consolidated financial statements included in Part IV, Item 15(a) of this Annual Report on Form 10-K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2022 compared to 2021 primarily due to higher interest rates, partially offset by a lower outstanding debt balance. See Note 9 to our consolidated financial statements included in Part IV, Item 15(a) of this Annual Report on Form 10-K for further information on our long-term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Sale-Leaseback</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Gain on sale-leaseback decreased in 2022 compared to 2021 due to a lack of sale-leaseback during 2022. See Note 6 to our consolidated financial statements included in Part IV, Item 15(a) of this Annual Report on Form 10-K for further information on our sale-leaseback transaction.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We recorded an income tax expense of $4.5 million (an effective tax rate of 13.6%) in 2022, compared to $34.9 million (an effective tax rate of 20.5%) in 2021. The decrease in the effective tax rate for 2022 compared to 2021 was primarily due to lower pre-tax income for 2022 compared to 2021, which included the gain on the sale-leaseback transaction we entered into in December 2021. The lower pre-tax income in 2022 caused the research and development tax credits to have a higher income tax benefit impact on the effective tax rate. The higher income tax benefit on the effective tax rate was partially offset by higher income tax expense related to non-deductible book compensation expenses.</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unrecognized tax benefits were $4.9 million and $4.4 million in 2022 and 2021, respectively. We record interest and penalty charges, if any, related to uncertain tax positions as a component of tax expense and unrecognized tax benefits. The amounts accrued for interest and penalty charges as of December 31, 2022 and 2021 were not significant. If recognized, $2.5 million would affect the effective income tax rate. As a result of statute of limitations set to expire in 2023, we expect decreases to our unrecognized tax benefits of approximately $0.6 million in the next twelve months.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that provided tax relief to individuals and businesses affected by the coronavirus pandemic. We considered the provisions of the CARES Act and determined they do not have a material impact to our overall income taxes. We utilized the option to defer payment of the employer portion of payroll taxes (Social Security) that would otherwise be required to be made during the period beginning March 27, 2020 to December 31, 2020. See COVID-19 Pandemic Impact on Our Business above. As such, as of December 31, 2020, we deferred payment of income tax deductions related to payroll taxes of $6.1 million and recorded the related deferred tax asset of $1.4 million, which was included as part of the net deferred income taxes on the consolidated balance sheet. We were required to and made the payments for 50% of the deferred payroll taxes by December 31, 2021. We were required to and made the payments for the remaining 50% of the deferred payroll taxes by December 31, 2022.</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As of December 31, 2022, we recorded an increase to income taxes payable of $10.6 million and a decrease to net deferred tax liabilities of a similar amount. We are monitoring legislation for any further changes to Section 174 and the potential impact to our financial statements in 2023.</w:t>
      </w:r>
    </w:p>
    <w:p>
      <w:pPr>
        <w:spacing w:after="0" w:line="129"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9, 2022, the U.S. enacted the Creating Helpful Incentives to Produce Semiconductors Act of 2022 (“CHIPS Act”) which provides new funding to boost domestic research and manufacturing of semiconductors in the United States. We are evaluating the provisions in the CHIPS Act. Any impact to our overall income taxes would be for 2023 and thereafter.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Diluted Share</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Net income and earnings per diluted share for 2022 were $28.8 million, or $2.33 per diluted share, compared to net income and earnings per diluted share for 2021 of $135.5 million, or $11.06 per diluted share. The decrease in net income in 2022 compared to 2021 was primarily due to a lack of gain on sale-leaseback of $132.5 million, higher restructuring charges of $6.7 million ($0.5 million was recorded as cost of sales), and higher SG&amp;A expenses of $4.8 million, partially offset by lower income tax expense of $30.4 million and higher other income, net of $5.1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2022 and 2021:</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7"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14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color w:val="auto"/>
              </w:rPr>
              <w:t>Years Ended December 31,</w:t>
            </w:r>
          </w:p>
        </w:tc>
        <w:tc>
          <w:tcPr>
            <w:tcW w:w="1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of Net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 Net Revenues</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Restructuring Charges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Success Bonus Related to Completion of Sale-Leaseback</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Restructuring Charges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Success Bonus Related to Completion of Sale-Leaseback</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23"/>
                <w:szCs w:val="23"/>
                <w:color w:val="auto"/>
                <w:vertAlign w:val="superscript"/>
              </w:rPr>
              <w:t>(2)</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1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Success Bonus Related to Completion of Sale-Leaseback</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94,710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92,793</w:t>
            </w:r>
          </w:p>
        </w:tc>
        <w:tc>
          <w:tcPr>
            <w:tcW w:w="1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included $1.3 million of success bonus related to the completion of the sale-leaseback transaction that was recorded as part of cost of sales.</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Systems’ net revenues in 2022 compared to 2021 increased $28.0 million primarily due to the following:</w:t>
      </w:r>
    </w:p>
    <w:p>
      <w:pPr>
        <w:spacing w:after="0" w:line="117" w:lineRule="exact"/>
        <w:rPr>
          <w:sz w:val="20"/>
          <w:szCs w:val="20"/>
          <w:color w:val="auto"/>
        </w:rPr>
      </w:pPr>
    </w:p>
    <w:p>
      <w:pPr>
        <w:ind w:left="980" w:right="660" w:hanging="648"/>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 million higher revenues in our commercial aerospace end-use markets due to higher build rates on other commercial aerospace platforms, regional and business aircraft platforms, and large aircraft platforms; partially offset by</w:t>
      </w:r>
    </w:p>
    <w:p>
      <w:pPr>
        <w:spacing w:after="0" w:line="53"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million lower revenues in our military and space end-use markets due to lower build rates on military rotary-wing aircraft platforms and various missile platforms, partially offset by higher build rates on military fixed-wing aircraft platforms.</w:t>
      </w:r>
    </w:p>
    <w:p>
      <w:pPr>
        <w:spacing w:after="0" w:line="108"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2022 compared to 2021 decreased $7.8 million primarily due to unfavorable product mix and restructuring charges, partially offset by favorable manufacturing volume and lower compensation and benefits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Systems’ net revenues in 2022 compared to 2021 increased $39.1 million primarily due to the following:</w:t>
      </w:r>
    </w:p>
    <w:p>
      <w:pPr>
        <w:spacing w:after="0" w:line="117" w:lineRule="exact"/>
        <w:rPr>
          <w:sz w:val="20"/>
          <w:szCs w:val="20"/>
          <w:color w:val="auto"/>
        </w:rPr>
      </w:pPr>
    </w:p>
    <w:p>
      <w:pPr>
        <w:ind w:left="980" w:right="860" w:hanging="648"/>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 million higher revenues in commercial aerospace end-use markets due to higher build rates on large aircraft platforms, other commercial aerospace platforms, and regional and business aircraft platforms; partially offset by</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 million lower revenues in military and space end-use markets due to lower build rates on various missile platforms.</w:t>
      </w:r>
    </w:p>
    <w:p>
      <w:pPr>
        <w:spacing w:after="0" w:line="10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Structural Systems operating income in 2022 compared to 2021 decreased $3.0 million primarily due to unfavorable product mix and restructuring charges, partially offset by favorable manufacturing volume and lower compensation and benefits costs.</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We have insurance coverage and up to a capped amount, expect the damaged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13 and Note 15 to our consolidated financial statements included in Part IV, Item 15(a) of this Annual Report on Form 10-K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CG&amp;A expenses in 2022 compared to 2021 decreased $1.7 million primarily due to lower professional services fees of $1.5 million and lower compensation and benefits costs of $0.8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consolidated financial statements included in Part IV, Item 15(a) of this Annual Report on Form 10-K. Backlog is subject to delivery delays or program cancellations, which are beyond our control. Backlog is affected by timing differences in the placement of customer orders and tends to be concentrated in several programs to a greater extent than our net revenues. As a result of these factors, trends in our overall level of backlog may not be indicative of trends in our future net revenues.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The increase in backlog was primarily in the commercial aerospace end-use markets; partially offset by a decrease in the military and space end-use markets. $655.0 million of total backlog is expected to be delivered over the next 12 months. The following table summarizes our backlog for 2022 and 2021:</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w:t>
            </w: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0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457,354</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520,278</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333,107</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54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400,002</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120,276</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276,297</w:t>
            </w:r>
          </w:p>
        </w:tc>
      </w:tr>
      <w:tr>
        <w:trPr>
          <w:trHeight w:val="223"/>
        </w:trPr>
        <w:tc>
          <w:tcPr>
            <w:tcW w:w="20" w:type="dxa"/>
            <w:vAlign w:val="bottom"/>
          </w:tcPr>
          <w:p>
            <w:pPr>
              <w:spacing w:after="0"/>
              <w:rPr>
                <w:sz w:val="19"/>
                <w:szCs w:val="19"/>
                <w:color w:val="auto"/>
              </w:rPr>
            </w:pPr>
          </w:p>
        </w:tc>
        <w:tc>
          <w:tcPr>
            <w:tcW w:w="60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396,573</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to 2020</w:t>
      </w:r>
    </w:p>
    <w:p>
      <w:pPr>
        <w:spacing w:after="0" w:line="10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2021 Annual Report on Form 10-K filed with the SEC on February 23, 2022, which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287.7</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interest rate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prior credit facilities. At the same leverage ratio, the interest rate spread in the 2022 Credit Facilities is lower than the interest rate spread under our prior credit facilities. Interest payments are typically paid on a quarterly basis, on the last business day each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December 31, 2022,</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were in compliance with all covenants required under the 2022 Credit Facilities. See Note 9 to our consolidated financial statements included in Part IV, Item 15(a) of this Annual Report on Form 10-K for further information.</w:t>
      </w:r>
    </w:p>
    <w:p>
      <w:pPr>
        <w:spacing w:after="0" w:line="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2022, we paid down our existing debt an aggregate total of $34.2 million. We also made the mandatory quarterly amortization payment of $1.6 million on the 2022 Term Loan and $3.5 million on our existing term loan described below during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we completed the refinancing of a portion of our then existing debt and entered into a new revolving credit facility (“2019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replace the then existing revolving credit facility that was entered into in November 2018 (“2018 Revolving Credit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new term loan (“2019 Term Loan”). The 2019 Revolving Credit Facility was a $100.0 million senior secured revolving credit facility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matured on December 20, 2024 and replaced the $100.0 million 2018 Revolving Credit Facility that would have matured on November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2019 Term Loan was a $140.0 million senior secured term loan that would have matured on December 20, 2024. We also had a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 million senior secured term loan that was entered into in November 2018 that would have matured on November 21, 2025 (“2018 Term Loan”).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amounts available under the 2019 Revolving Credit Facility, 2019 Term Loan, and 2018 Term Loan (collectively, the “Credit Facilities”)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totaled $480.0 million at that time. We were required to make installment payments of 1.25% of the original outstanding principal balance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Term Loan amount on a quarterly basis, on the last day of the calendar quarter and thus, paid $3.5 million during 2022. In addition, if we met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excess cash flow threshold, we were required to make an annual additional principal payment based on the consolidated adjusted leverage ratio.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not exceed the annual excess cash flow threshold for 2021 and thus, no annual excess cash flow payment was required to be paid during the first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2022. Further, the undrawn portion of the commitment of the 2019 Revolving Credit Facility was subject to a commitment fee ranging from 0.175%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0.275%, based upon the consolidated total net adjusted leverage ratio.</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first quarter of 2020, we drew down $50.0 million on the 2019 Revolving Credit Facility to hold as cash on hand, $25.0 million of which was repaid during the fourth quarter of 2020 with the remaining $25.0 million repaid during 2021, thus, we made no net aggregate voluntary prepayments during 2021.</w:t>
      </w:r>
    </w:p>
    <w:p>
      <w:pPr>
        <w:spacing w:after="0" w:line="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December 31, 2022, we estimate the remaining amount of charges related to this initiative to be $12.0 million to $16.0 million in total pre-tax restructuring charges through 2023. Of these charges, we estimate $9.0 million to $12.0 million to be cash payments for employee separation and other facility consolidation related expenses, and $3.0 million to $4.0 million to be non-cash charges for impairment of long-lived assets. On an annualized basis, we anticipate these restructuring actions will result in total cost savings of $11.0 million to $13.0 million. See Note 3 to our consolidated financial statements included in Part IV, Item 15(a) of this Annual Report on Form 10-K for further information.</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9 to our consolidated financial statements included in Part IV, Item 15(a) of this Annual Report on Form 10-K for further information.</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14,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and Note 9 to our consolidated financial statements included in Part IV, Item 15(a) of this Annual Report on Form 10-K for further information.</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totaled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and Note 9 to our consolidated financial statements included in Part IV, Item 15(a) of this Annual Report on Form 10-K for further information.</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December 2021, we acquired MagSeal for an original purchase price of $69.5 million, net of cash acquired, all payable in cash. Upon the closing of the transaction, we paid a gross total aggregate of $71.3 million in cash, a portion of which was by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drawing down on our revolving credit facility. This draw down on our revolving credit facility was paid off by December 31, 2021. See Note 2 to our consolidated financial statements included in Part IV, Item 15(a) of this Annual Report on Form 10-K for further information.</w:t>
      </w:r>
    </w:p>
    <w:p>
      <w:pPr>
        <w:spacing w:after="0" w:line="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$143.1 million and we recognized a gain of $132.5 million. As part of the Sale-Leaseback Agreement, we entered into an initial five year lease for the usage of the just sold building and related land. The future minimum base monthly lease payments during the initial five year period in aggregate totaled $19.6 million. See Note 6 to our consolidated financial statements included in Part IV, Item 15(a) of this Annual Report on Form 10-K for further information.</w:t>
      </w:r>
    </w:p>
    <w:p>
      <w:pPr>
        <w:spacing w:after="0" w:line="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expect to spend a total of $17.0 million to $19.0 million for capital expenditures in 2023,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2023 could be delayed as a result of the COVID-19 pandemic.</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to 2021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2022 was $32.7 million, compared to net cash used by operating activities of $0.6 million during 2021. The higher cash provided by operating activities during 2022 was primarily due to higher accounts payable and accrued liabilities, partially offset by lower net income, higher accounts receivable, higher inventories, and higher contract assets.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2022 was $19.2 million compared to net cash provided by investing activities of $57.8 million during 2021. The higher cash used in investing activities during 2022 was primarily due to the lack of proceeds from sale-leaseback, partially offset by the lack of payments for acquisition.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2022 was $43.5 million compared to $37.3 million during 2021. The higher cash used in financing activities during 2022 was primarily due to the net pay down on term loans.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to 2020</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2021 Annual Report on Form 10-K filed with the SEC on February 23, 2022, which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Annual Report on Form 10-K for additional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customer. This requires the building of tooling and manufacturing first article inspection products (prototypes) before volume manufacturing. Contracts with our customers generally include a termination for convenience clause.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 See Note 1 to our consolidated financial statements included in Part IV, Item 15(a) of this Annual Report on Form 10-K for the net impact of these adjustments to our consolidated financial statements for 2022 and 2021.</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be completed no later than one year from the date of acquisition.</w:t>
      </w:r>
    </w:p>
    <w:p>
      <w:pPr>
        <w:spacing w:after="0" w:line="5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 for customer relationships is typically estimated based on a multi-period excess earnings approach. The more significant inputs used in the customer relationships intangible asset valuation include (i) future revenue growth rates, (ii) projected gross margins, (iii) the customer attrition rate, and (iv) the discount rate. The useful lives are estimated based on the underlying agreements or the future economic benefit expected to be received from the assets.</w:t>
      </w:r>
    </w:p>
    <w:p>
      <w:pPr>
        <w:spacing w:after="0" w:line="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 to our consolidated financial statements included in Part IV, Item 15(a)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fourth quarter of 2022, the carrying amount of goodwill at the date of the most recent annual impairment evaluation for Electronic Systems and Structural Systems was $117.4 million and $86.0 million, respectively.</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the date of our 2022 annual evaluation for goodwill impairment for the Structural Systems segment, which is also our reporting unit, we performed a step one goodwill impairment analysis as of the first day of the fourth quarter of 2022. The fair value of our Structural Systems segment exceeded its carrying value and thus, was not deemed impaired.</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date of our 2022 annual evaluation for goodwill impairment for the Electronic Systems segment, which is also our reporting unit, we performed a qualitative assessment as of the first day of the fourth quarter of 2022, which considered each of the following: 1) margin of passing most recent step one analysis, 2) actual operating results as compared to prior forecasts,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years to 19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included in Part IV, Item 15(a) of this Annual Report on Form 10-K for a description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interest rates on our outstanding long-term debt. At December 31, 2022, we had borrowings of $248.4 million under our 2022 Credit Facilities.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Revolving Credit Facility bears interest, at our option, at a rate equal to either (i) Term SOFR plus an applicable margin ranging from 1.375%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2.375% per year or (ii) Base Rate (defined as the highest of [a] Federal Funds Rate plus 0.50%, [b] Bank of America’s prime rate, and [c] Term SOFR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and if the Base Rate is less than zero percent, it will be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deemed zero percent) plus an applicable margin ranging from 0.375% to 1.375% per year, in each case based upon the consolidated total net adjusted leverage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together with the report thereon of PricewaterhouseCoopers LLP included in Part IV, Item 15(a) 1 and 2 of this Annual Report on Form 10-K are included herein by reference.</w:t>
      </w:r>
    </w:p>
    <w:p>
      <w:pPr>
        <w:spacing w:after="0" w:line="279" w:lineRule="exact"/>
        <w:rPr>
          <w:sz w:val="20"/>
          <w:szCs w:val="20"/>
          <w:color w:val="auto"/>
        </w:rPr>
      </w:pPr>
    </w:p>
    <w:p>
      <w:pPr>
        <w:ind w:right="10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the Chief Executive Officer and Chief Financial Officer, as appropriate to allow timely decisions regarding required disclosures.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the Chief Financial Officer, we carried out an evaluation of the effectiveness of the design and operation of our disclosure controls and procedures as of the end of the period covered by this Annual Report on Form 10-K. Based on this evaluation, the Company’s Chief Executive Officer and Chief Financial Officer concluded that our disclosure controls and procedures were effective at the reasonable assurance level as of December 31,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spacing w:after="0" w:line="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Management of the Company has assessed the effectiveness of the Company’s internal control over financial reporting as of December 31, 2022. In making this assessment, management used the criteria set forth by the Committee of Sponsoring Organizations of the Treadway Commission (“COSO”)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our assessment and those criteria, management concluded that the Company maintained effective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as of December 31, 2022.</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LLP, an independent registered public accounting firm, as stated in their report, which is included in Item 15 of this Annual Report on Form 10-K.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ind w:right="28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 of the Registrant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“Directors’ Backgrounds and Qualifications” in the 2023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of the Registrant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“Named Executive Officers” in the 2023 Proxy Statement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and Audit Committee Financial Expert</w:t>
      </w:r>
    </w:p>
    <w:p>
      <w:pPr>
        <w:spacing w:after="0" w:line="10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“Committees of the Board of Directors” relating to the Audit Committee of the Board of Directors in the 2023 Proxy Statement is incorporated herein by reference.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 with Section 16(a) of the Exchange 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“Delinquent Section 16(a) Reports” in the 2023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Business Conduct and Ethics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“Code of Business Conduct and Ethics” in the 2023 Proxy Statement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to Procedures to Recommend Nominees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“Nominating Process” in the 2023 Proxy Statement is incorporated herein by reference.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captions “2022 Compensation Discussion and Analysis” and “Compensation of Directors” in the 2023 Proxy Statement is incorporated herein by reference.</w:t>
      </w:r>
    </w:p>
    <w:p>
      <w:pPr>
        <w:spacing w:after="0" w:line="239" w:lineRule="exact"/>
        <w:rPr>
          <w:sz w:val="20"/>
          <w:szCs w:val="20"/>
          <w:color w:val="auto"/>
        </w:rPr>
      </w:pPr>
    </w:p>
    <w:p>
      <w:pPr>
        <w:ind w:left="820" w:right="54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“Security Ownership of Certain Beneficial Owners and Management” in the 2023 Proxy Statement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compensation plans under which equity securities are authorized for issuance: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Remaining</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Available for</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Weighted-Average</w:t>
            </w:r>
          </w:p>
        </w:tc>
        <w:tc>
          <w:tcPr>
            <w:tcW w:w="2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Future Issuance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 Issued Upon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Equity</w:t>
            </w: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Exercise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color w:val="auto"/>
              </w:rPr>
              <w:t>Exercise Price of</w:t>
            </w: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2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Reflected</w:t>
            </w: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 Column</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7"/>
              </w:rPr>
              <w:t>(b)</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(a))(c)(3)</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338,061</w:t>
            </w: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Employee stock purchase plan approved by security</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3"/>
                <w:szCs w:val="23"/>
                <w:color w:val="auto"/>
                <w:vertAlign w:val="superscript"/>
              </w:rPr>
              <w:t>(2)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549,977</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888,038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160" w:hanging="329"/>
        <w:spacing w:after="0" w:line="257"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Amended and Restated 2020 Stock Incentive Plan. The number of securities to be issued consists of 199,276 for stock options, 201,795 for restricted stock units and 301,354 for performance stock units at target. The weighted average exercise price applies only to the stock options.</w:t>
      </w:r>
    </w:p>
    <w:p>
      <w:pPr>
        <w:spacing w:after="0" w:line="1" w:lineRule="exact"/>
        <w:rPr>
          <w:rFonts w:ascii="Times New Roman" w:cs="Times New Roman" w:eastAsia="Times New Roman" w:hAnsi="Times New Roman"/>
          <w:sz w:val="18"/>
          <w:szCs w:val="18"/>
          <w:color w:val="auto"/>
        </w:rPr>
      </w:pPr>
    </w:p>
    <w:p>
      <w:pPr>
        <w:ind w:left="580" w:hanging="329"/>
        <w:spacing w:after="0" w:line="250"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11 to our consolidated financial statements included in Part IV, Item 15(a) of this Annual Report on Form 10-K.</w:t>
      </w:r>
    </w:p>
    <w:p>
      <w:pPr>
        <w:spacing w:after="0" w:line="1" w:lineRule="exact"/>
        <w:rPr>
          <w:rFonts w:ascii="Times New Roman" w:cs="Times New Roman" w:eastAsia="Times New Roman" w:hAnsi="Times New Roman"/>
          <w:sz w:val="18"/>
          <w:szCs w:val="18"/>
          <w:color w:val="auto"/>
        </w:rPr>
      </w:pPr>
    </w:p>
    <w:p>
      <w:pPr>
        <w:ind w:left="580" w:right="60" w:hanging="329"/>
        <w:spacing w:after="0" w:line="253"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“Certain Relationships and Related Transactions” and “Director Independence” in the 2023 Proxy Statement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“Principal Accountant Fees and Services” and “Policy for Pre-Approval of Independent Accountant Services” contained in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54" w:lineRule="exact"/>
        <w:rPr>
          <w:sz w:val="20"/>
          <w:szCs w:val="20"/>
          <w:color w:val="auto"/>
        </w:rPr>
      </w:pPr>
    </w:p>
    <w:p>
      <w:pPr>
        <w:ind w:left="760" w:hanging="73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Financial Statements</w:t>
      </w:r>
    </w:p>
    <w:p>
      <w:pPr>
        <w:spacing w:after="0" w:line="76" w:lineRule="exact"/>
        <w:rPr>
          <w:rFonts w:ascii="Times New Roman" w:cs="Times New Roman" w:eastAsia="Times New Roman" w:hAnsi="Times New Roman"/>
          <w:sz w:val="18"/>
          <w:szCs w:val="18"/>
          <w:color w:val="auto"/>
        </w:rPr>
      </w:pPr>
    </w:p>
    <w:p>
      <w:pPr>
        <w:ind w:left="760" w:right="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Ducommun Incorporated and subsidiaries, are incorporated by reference in Item 8 of this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7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740" w:type="dxa"/>
            <w:vAlign w:val="bottom"/>
          </w:tcPr>
          <w:p>
            <w:pPr>
              <w:spacing w:after="0"/>
              <w:rPr>
                <w:sz w:val="19"/>
                <w:szCs w:val="19"/>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 December 31, 2022 and 2021</w:t>
            </w: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5"/>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6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Years Ended December 31, 2022, 2021, and 2020</w:t>
            </w:r>
          </w:p>
        </w:tc>
        <w:tc>
          <w:tcPr>
            <w:tcW w:w="2600" w:type="dxa"/>
            <w:vAlign w:val="bottom"/>
            <w:gridSpan w:val="4"/>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7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2022, 2021, and 2020</w:t>
            </w:r>
          </w:p>
        </w:tc>
        <w:tc>
          <w:tcPr>
            <w:tcW w:w="1420" w:type="dxa"/>
            <w:vAlign w:val="bottom"/>
            <w:gridSpan w:val="2"/>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 Years Ended December 31, 2022, 2021, and 2020</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December 31, 2022, 2021, and 2020</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6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00" w:type="dxa"/>
            <w:vAlign w:val="bottom"/>
            <w:gridSpan w:val="3"/>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 Schedule</w:t>
            </w:r>
          </w:p>
        </w:tc>
        <w:tc>
          <w:tcPr>
            <w:tcW w:w="6340" w:type="dxa"/>
            <w:vAlign w:val="bottom"/>
            <w:gridSpan w:val="9"/>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740" w:type="dxa"/>
            <w:vAlign w:val="bottom"/>
          </w:tcPr>
          <w:p>
            <w:pPr>
              <w:spacing w:after="0"/>
              <w:rPr>
                <w:sz w:val="24"/>
                <w:szCs w:val="24"/>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schedule for the years ended December 31, 2022, 2021 and 2020 is filed herewith:</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Schedule II - Consolidated Valuation and Qualifying Accounts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1"/>
                <w:szCs w:val="21"/>
                <w:color w:val="auto"/>
              </w:rPr>
            </w:pPr>
          </w:p>
        </w:tc>
      </w:tr>
      <w:tr>
        <w:trPr>
          <w:trHeight w:val="259"/>
        </w:trPr>
        <w:tc>
          <w:tcPr>
            <w:tcW w:w="740" w:type="dxa"/>
            <w:vAlign w:val="bottom"/>
          </w:tcPr>
          <w:p>
            <w:pPr>
              <w:spacing w:after="0"/>
              <w:rPr>
                <w:sz w:val="22"/>
                <w:szCs w:val="22"/>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not required, or the information has been otherwise</w:t>
            </w:r>
          </w:p>
        </w:tc>
        <w:tc>
          <w:tcPr>
            <w:tcW w:w="138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740" w:type="dxa"/>
            <w:vAlign w:val="bottom"/>
          </w:tcPr>
          <w:p>
            <w:pPr>
              <w:spacing w:after="0"/>
              <w:rPr>
                <w:sz w:val="20"/>
                <w:szCs w:val="20"/>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supplied in the financial statements or notes thereto.</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880" w:type="dxa"/>
            <w:vAlign w:val="bottom"/>
            <w:gridSpan w:val="10"/>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See Item 15(b) for a list of exhibits.</w:t>
            </w: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962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Ducommun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Ducommun Incorporated and its subsidiaries (the “Company”) as of December 31, 2022 and 2021, and the related consolidated statements of income, of comprehensive income, of changes in shareholders’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Structural Systems Reporting Unit</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Notes 1 and 7 to the consolidated financial statements, the Company’s consolidated goodwill balance was $203.4 million as of December 31, 2022, and the goodwill associated with the Structural Systems reporting unit was $86.0 million. Goodwill is evaluated for impairment on an annual basis on the first day of the fourth fiscal quarter. If certain factors occur, management may be required to perform an interim impairment test. 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management’s best estimate of future revenues, gross margins, and adjusted after-tax earnings. The market approach also requires management judgment in selecting comparable business acquisitions and the transaction values observed and its related control premiums.</w:t>
      </w:r>
    </w:p>
    <w:p>
      <w:pPr>
        <w:spacing w:after="0" w:line="1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Structural Systems reporting unit is a critical audit matter are (i) the significant judgment by management when developing the fair value estimate of the Structural Systems reporting unit based on a discounted cash flow model; (ii) a high degree of auditor judgment, subjectivity, and effort in performing procedures and evaluating management’s significant assumption related to the estimate of gross margins; and (iii) the audit effort involved the use of professionals with specialized skill and knowledge.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Structural Systems reporting unit. These procedures also included, among others (i) testing management’s process for developing the fair value estimate of the Structural Systems reporting unit based on a discounted cash flow model; (ii) evaluating the appropriateness of the discounted cash flow model; (iii) testing the completeness and accuracy of underlying data used in the discounted cash flow model; and (iv) evaluating the reasonableness of the significant assumption used by management related to the estimate of gross margins. Evaluating management’s assumption related to the estimate of gross margins involved evaluating whether the assumption used by management was reasonable considering (i) the current and past performance of the Structural Systems reporting unit; (ii) the consistency with external market and industry data; and (iii) whether the assumption was consistent with evidence obtained in other areas of the audit. Professionals with specialized skill and knowledge were used to assist in the evaluation of the appropriateness of the discounted cash flow model.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$589 and $1,098 at December 31, 2022</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2021, 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13, 15)</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12,106,285 and 11,925,087 shares</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2022 and 2021, respectively</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474,602</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628,941</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491,203</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Sale-Leaseback</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42" w:lineRule="exact"/>
        <w:rPr>
          <w:sz w:val="20"/>
          <w:szCs w:val="20"/>
          <w:color w:val="auto"/>
        </w:rPr>
      </w:pPr>
    </w:p>
    <w:p>
      <w:pPr>
        <w:jc w:val="both"/>
        <w:ind w:left="7000"/>
        <w:spacing w:after="0"/>
        <w:tabs>
          <w:tab w:leader="none" w:pos="8620" w:val="left"/>
          <w:tab w:leader="none" w:pos="10300" w:val="left"/>
        </w:tabs>
        <w:rPr>
          <w:sz w:val="20"/>
          <w:szCs w:val="20"/>
          <w:color w:val="auto"/>
        </w:rPr>
      </w:pPr>
      <w:r>
        <w:rPr>
          <w:rFonts w:ascii="Times New Roman" w:cs="Times New Roman" w:eastAsia="Times New Roman" w:hAnsi="Times New Roman"/>
          <w:sz w:val="14"/>
          <w:szCs w:val="14"/>
          <w:color w:val="auto"/>
        </w:rPr>
        <w:t>2022</w:t>
      </w:r>
      <w:r>
        <w:rPr>
          <w:sz w:val="20"/>
          <w:szCs w:val="20"/>
          <w:color w:val="auto"/>
        </w:rPr>
        <w:tab/>
      </w:r>
      <w:r>
        <w:rPr>
          <w:rFonts w:ascii="Times New Roman" w:cs="Times New Roman" w:eastAsia="Times New Roman" w:hAnsi="Times New Roman"/>
          <w:sz w:val="14"/>
          <w:szCs w:val="14"/>
          <w:color w:val="auto"/>
        </w:rPr>
        <w:t>2021</w:t>
      </w:r>
      <w:r>
        <w:rPr>
          <w:sz w:val="20"/>
          <w:szCs w:val="20"/>
          <w:color w:val="auto"/>
        </w:rPr>
        <w:tab/>
      </w:r>
      <w:r>
        <w:rPr>
          <w:rFonts w:ascii="Times New Roman" w:cs="Times New Roman" w:eastAsia="Times New Roman" w:hAnsi="Times New Roman"/>
          <w:sz w:val="14"/>
          <w:szCs w:val="14"/>
          <w:color w:val="auto"/>
        </w:rPr>
        <w:t>2020</w:t>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ind w:left="60"/>
        <w:spacing w:after="0"/>
        <w:tabs>
          <w:tab w:leader="none" w:pos="638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-127635</wp:posOffset>
            </wp:positionV>
            <wp:extent cx="710628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10628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Pension Adjustments:</w:t>
      </w:r>
    </w:p>
    <w:p>
      <w:pPr>
        <w:spacing w:after="0" w:line="23" w:lineRule="exact"/>
        <w:rPr>
          <w:sz w:val="20"/>
          <w:szCs w:val="20"/>
          <w:color w:val="auto"/>
        </w:rPr>
      </w:pPr>
    </w:p>
    <w:p>
      <w:pPr>
        <w:ind w:left="400" w:right="400"/>
        <w:spacing w:after="0" w:line="234" w:lineRule="auto"/>
        <w:rPr>
          <w:sz w:val="20"/>
          <w:szCs w:val="20"/>
          <w:color w:val="auto"/>
        </w:rPr>
      </w:pPr>
      <w:r>
        <w:rPr>
          <w:rFonts w:ascii="Times New Roman" w:cs="Times New Roman" w:eastAsia="Times New Roman" w:hAnsi="Times New Roman"/>
          <w:sz w:val="18"/>
          <w:szCs w:val="18"/>
          <w:color w:val="auto"/>
        </w:rPr>
        <w:t>Amortization of actuarial losses and prior service costs, net of tax of $143, $309, and $236 for 2022, 2021, and 2020, respectively</w:t>
      </w:r>
    </w:p>
    <w:p>
      <w:pPr>
        <w:spacing w:after="0" w:line="10" w:lineRule="exact"/>
        <w:rPr>
          <w:sz w:val="20"/>
          <w:szCs w:val="20"/>
          <w:color w:val="auto"/>
        </w:rPr>
      </w:pPr>
    </w:p>
    <w:p>
      <w:pPr>
        <w:ind w:left="400" w:right="540"/>
        <w:spacing w:after="0" w:line="237" w:lineRule="auto"/>
        <w:rPr>
          <w:sz w:val="20"/>
          <w:szCs w:val="20"/>
          <w:color w:val="auto"/>
        </w:rPr>
      </w:pPr>
      <w:r>
        <w:rPr>
          <w:rFonts w:ascii="Times New Roman" w:cs="Times New Roman" w:eastAsia="Times New Roman" w:hAnsi="Times New Roman"/>
          <w:sz w:val="18"/>
          <w:szCs w:val="18"/>
          <w:color w:val="auto"/>
        </w:rPr>
        <w:t>Actuarial gains (losses) arising during the period, net of tax of $722, $902, and $701 for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-255905</wp:posOffset>
            </wp:positionV>
            <wp:extent cx="7106285" cy="266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220" w:right="500"/>
        <w:spacing w:after="0" w:line="237" w:lineRule="auto"/>
        <w:rPr>
          <w:sz w:val="20"/>
          <w:szCs w:val="20"/>
          <w:color w:val="auto"/>
        </w:rPr>
      </w:pPr>
      <w:r>
        <w:rPr>
          <w:rFonts w:ascii="Times New Roman" w:cs="Times New Roman" w:eastAsia="Times New Roman" w:hAnsi="Times New Roman"/>
          <w:sz w:val="18"/>
          <w:szCs w:val="18"/>
          <w:color w:val="auto"/>
        </w:rPr>
        <w:t>Change in net unrealized (losses) gains on cash flow hedges, net of tax of $3,753, $391, and $57 for 2022, 2021, and 2020, respectively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28,789</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29,174</w:t>
            </w:r>
          </w:p>
        </w:tc>
      </w:tr>
      <w:tr>
        <w:trPr>
          <w:trHeight w:val="873"/>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442</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41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2,259</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417"/>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12,077</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 w:lineRule="exact"/>
        <w:rPr>
          <w:sz w:val="20"/>
          <w:szCs w:val="20"/>
          <w:color w:val="auto"/>
        </w:rPr>
      </w:pPr>
    </w:p>
    <w:p>
      <w:pPr>
        <w:sectPr>
          <w:pgSz w:w="11900" w:h="16838" w:orient="portrait"/>
          <w:cols w:equalWidth="0" w:num="2">
            <w:col w:w="6600" w:space="720"/>
            <w:col w:w="392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6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(1,332)</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27,842</w:t>
            </w:r>
          </w:p>
        </w:tc>
      </w:tr>
      <w:tr>
        <w:trPr>
          <w:trHeight w:val="20"/>
        </w:trPr>
        <w:tc>
          <w:tcPr>
            <w:tcW w:w="6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020" w:type="dxa"/>
            <w:vAlign w:val="bottom"/>
          </w:tcPr>
          <w:p>
            <w:pPr>
              <w:jc w:val="center"/>
              <w:ind w:right="52"/>
              <w:spacing w:after="0" w:line="145"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11,572,668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292,800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28,789</w:t>
            </w:r>
          </w:p>
        </w:tc>
        <w:tc>
          <w:tcPr>
            <w:tcW w:w="4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 write-down and property and equipment impairment due to restructuring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Insurance recoveries related to loss on operating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sale-leaseback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(47,358)</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Production cost of contracts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32,680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12,611</w:t>
            </w:r>
          </w:p>
        </w:tc>
        <w:tc>
          <w:tcPr>
            <w:tcW w:w="0" w:type="dxa"/>
            <w:vAlign w:val="bottom"/>
          </w:tcPr>
          <w:p>
            <w:pPr>
              <w:spacing w:after="0"/>
              <w:rPr>
                <w:sz w:val="1"/>
                <w:szCs w:val="1"/>
                <w:color w:val="auto"/>
              </w:rPr>
            </w:pPr>
          </w:p>
        </w:tc>
      </w:tr>
      <w:tr>
        <w:trPr>
          <w:trHeight w:val="194"/>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sale-leaseback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Insurance recoveries related to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life insurance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162"/>
        </w:trPr>
        <w:tc>
          <w:tcPr>
            <w:tcW w:w="7000" w:type="dxa"/>
            <w:vAlign w:val="bottom"/>
          </w:tcPr>
          <w:p>
            <w:pPr>
              <w:ind w:left="660"/>
              <w:spacing w:after="0" w:line="162" w:lineRule="exact"/>
              <w:rPr>
                <w:sz w:val="20"/>
                <w:szCs w:val="20"/>
                <w:color w:val="auto"/>
              </w:rPr>
            </w:pPr>
            <w:r>
              <w:rPr>
                <w:rFonts w:ascii="Times New Roman" w:cs="Times New Roman" w:eastAsia="Times New Roman" w:hAnsi="Times New Roman"/>
                <w:sz w:val="16"/>
                <w:szCs w:val="16"/>
                <w:color w:val="auto"/>
              </w:rPr>
              <w:t>Post closing cash received from (payments for acquisition of) Magnetic Seal LLC, net of cash</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Post closing cash received from the acquisition of Nobles Worldwide, Inc.,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(19,242)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57,750</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(5,472)</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Borrowings from senior secured revolving credit 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Repayments of senior secured revolving credit facility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(40,900)</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Borrowings from term loans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Repayments of term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(289,274)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Repayments of other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paid upon issuance of common stock under stock plans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(43,508)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(37,335)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9,743</w:t>
            </w:r>
          </w:p>
        </w:tc>
        <w:tc>
          <w:tcPr>
            <w:tcW w:w="0" w:type="dxa"/>
            <w:vAlign w:val="bottom"/>
          </w:tcPr>
          <w:p>
            <w:pPr>
              <w:spacing w:after="0"/>
              <w:rPr>
                <w:sz w:val="1"/>
                <w:szCs w:val="1"/>
                <w:color w:val="auto"/>
              </w:rPr>
            </w:pPr>
          </w:p>
        </w:tc>
      </w:tr>
      <w:tr>
        <w:trPr>
          <w:trHeight w:val="207"/>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w:t>
            </w:r>
          </w:p>
        </w:tc>
        <w:tc>
          <w:tcPr>
            <w:tcW w:w="0" w:type="dxa"/>
            <w:vAlign w:val="bottom"/>
          </w:tcPr>
          <w:p>
            <w:pPr>
              <w:spacing w:after="0"/>
              <w:rPr>
                <w:sz w:val="1"/>
                <w:szCs w:val="1"/>
                <w:color w:val="auto"/>
              </w:rPr>
            </w:pPr>
          </w:p>
        </w:tc>
      </w:tr>
      <w:tr>
        <w:trPr>
          <w:trHeight w:val="208"/>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46,246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76,316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56,466</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5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money market funds and they are included as cash and cash equivalents. We also have forward interest rate swap agreements and had interest rate cap hedge agreements and the fair value of the forward interest rate swap agreements and interest rate cap hedge agreements were determined using pricing models that use observable market inputs as of the balance sheet date, a Level 2 measurement. The interest rate cap hedges matured during the second quarter of 2020 and as such, the premium was zero as of both December 31, 2022 and December 31, 2021.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either 2022 or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On July 14,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9. As of December 31, 2022, all of our derivative instruments were designated as cash flow hedges.</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Amended Forward Interest Rate Swaps are not effective until January 1, 2024, we only record the changes in fair value of the derivative instruments that were highly effective and that were designated and qualified as cash flow hedges. As such, during 2022, we recorded changes of $15.8 million to other assets, deferred income taxes, and accumulated other comprehensive income (loss). During the fourth quarter of 2022, we recorded an adjustment of $6.7 million to correct an understatement of the hedge asset balance as of the end of the third quarter of 2022, with a corresponding increase of $5.1 million to other comprehensive income, net of tax of $1.6 million. There was no impact to net income.</w:t>
      </w:r>
    </w:p>
    <w:p>
      <w:pPr>
        <w:spacing w:after="0" w:line="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using the point in time method, inventory is not reduced until it is shipped or transfer of control to the customer has occurred. Our ending inventory consists of raw materials, work-in-process, and finished goods.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p>
    <w:p>
      <w:pPr>
        <w:spacing w:after="0" w:line="10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 assets for recoverability considering undiscounted cash flows, when significant changes in conditions occur, and recognize impairment losses if any, based upon the fair value of the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be completed no later than one year from the date of acquisition.</w:t>
      </w:r>
    </w:p>
    <w:p>
      <w:pPr>
        <w:spacing w:after="0" w:line="5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 for customer relationships is typically estimated based on a multi-period excess earnings approach. The more significant inputs used in the customer relationships intangible asset valuation include (i) future revenue growth rates, (ii) projected gross margins, (iii) the customer attrition rate, and (iv) the discount rate. The useful lives are estimated based on the underlying agreements or the future economic benefit expected to be received from the assets.</w:t>
      </w:r>
    </w:p>
    <w:p>
      <w:pPr>
        <w:spacing w:after="0" w:line="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fourth quarter of 2022, the carrying amount of goodwill at the date of the most recent annual impairment evaluation for Electronic Systems and Structural Systems was $117.4 million and $86.0 million,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100% of the equity interests of Magnetic Seal LLC (f/k/a Magnetic Seal Corporation, “MagSeal”) in December 2021, for an original purchase price of $69.5 million, net of cash acquired. We recorded goodwill of $32.6 million in our Structural Systems segment, which is also our reporting unit. See Note 2.</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commercial aerospace end-use market business continues to be negatively impacted by the COVID-19 pandemic, we performed a step one goodwill impairment test for our Structural Systems reporting unit as of the first day of the fourth quarter of 2022. The fair value of our Structural Systems segment exceeded its carrying value and thus, was not deemed impaired.</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our 2022 annual evaluation for goodwill impairment for the Electronic Systems segment, which is also our reporting unit, we performed a qualitative assessment as of the first day of the fourth quarter of 2022, which considered each of the following: 1) margin of passing most recent step one analysis, 2) actual operating results as compared to prior forecasts,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to 19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as reflected on the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catch-up adjustments on profit recorded were not material for both years ended December 31, 2022 and December 31, 2021.</w:t>
      </w:r>
    </w:p>
    <w:p>
      <w:pPr>
        <w:spacing w:after="0" w:line="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2022 and 2021, provision for estimated losses on contracts were $3.9 million and $2.8 million, respectively.</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2022 and 2021, production costs of contracts were $5.7 million and $8.0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3"/>
                <w:szCs w:val="13"/>
                <w:color w:val="auto"/>
              </w:rPr>
            </w:pPr>
          </w:p>
        </w:tc>
        <w:tc>
          <w:tcPr>
            <w:tcW w:w="1140" w:type="dxa"/>
            <w:vAlign w:val="bottom"/>
          </w:tcPr>
          <w:p>
            <w:pPr>
              <w:jc w:val="right"/>
              <w:ind w:right="17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w:t>
            </w:r>
          </w:p>
        </w:tc>
      </w:tr>
    </w:tbl>
    <w:p>
      <w:pPr>
        <w:spacing w:after="0" w:line="22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December 31, 2022 compared to December 31, 2021 was primarily due to a net increase of products in work in process.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our contract liabilities as of December 31, 2022 compared to December 31, 2021 was primarily due to a net increase of advance or progress payments received from our customers in the current year. We recognized $32.7 million of the contract liabilities as of December 31, 2021 as revenues during the year ended December 31, 2022.</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December 31, 2022 totaled $853.0 million. We anticipate recognizing an estimated 70% of our remaining performance obligations as revenue during the next 12 months with the remaining performance obligations being recognized in 2024 and beyond.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20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420,701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453,848</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2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232,765</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Commitments</w:t>
      </w:r>
    </w:p>
    <w:p>
      <w:pPr>
        <w:spacing w:after="0" w:line="9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Liabilities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of</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$4.0 million. As part of the award, we had to meet, and did complete, certain requirements over a six month performance period from November 15, 2021 to May 14, 2022. As of December 31, 2022, we have received the entire $4.0 million grant balance, $2.0 million of which was received during 2021. We recorded $2.7 million and $0.3 million as a reduction of cost of sales and selling, general and administrative expenses, respectively, during 2022 and $0.9 million and $0.1 million as a reduction of cost of sales and selling, general and administrative expenses, respectively, during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Charitable Contributions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contributed $0.1 million to the Ducommun Foundation during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color w:val="auto"/>
        </w:rPr>
        <w:t>(In thousands, except per share data)</w:t>
      </w:r>
    </w:p>
    <w:p>
      <w:pPr>
        <w:jc w:val="center"/>
        <w:ind w:left="612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8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p>
      <w:pPr>
        <w:jc w:val="center"/>
        <w:ind w:left="6340"/>
        <w:spacing w:after="0" w:line="226" w:lineRule="auto"/>
        <w:rPr>
          <w:sz w:val="20"/>
          <w:szCs w:val="20"/>
          <w:color w:val="auto"/>
        </w:rPr>
      </w:pPr>
      <w:r>
        <w:rPr>
          <w:rFonts w:ascii="Times New Roman" w:cs="Times New Roman" w:eastAsia="Times New Roman" w:hAnsi="Times New Roman"/>
          <w:sz w:val="14"/>
          <w:szCs w:val="14"/>
          <w:color w:val="auto"/>
        </w:rPr>
        <w:t>(In thousands)</w:t>
      </w:r>
    </w:p>
    <w:p>
      <w:pPr>
        <w:jc w:val="center"/>
        <w:ind w:left="63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2022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2022</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was our interim period beginning January 1, 2022. The adoption of this standard did not have a material impact on our consolidated financial statements.</w:t>
      </w:r>
    </w:p>
    <w:p>
      <w:pPr>
        <w:spacing w:after="0" w:line="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which provides optional guidance for a limited time for contracts that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Prior to the adoption of this standard, during the three months ended October 1, 2022, we had made the following elections related to our current cash flow hedging relationships as our current term loans mature before the expiration of the Forward Interest Rate Swaps: 1) Probability of forecasted transactions, and 2) Assessment of effectiveness. The adoption of this standard during the three months ended October 1, 2022, did not have a material impact on our consolidated financial statements. See Note 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(“ASU 2022-06”), which defers the sunset date of Topic 848 from December 31, 2022, to December 31, 2024, after which entities will no longer be permitted to apply the relief in Topic 848. Since we adopted ASU 2020-04 during 2022, ASU 2022-06 will not have a material impact on our consolidated financial statements. See Note 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will continue to advance our strategy to diversify and offer more customized, value-driven engineered products with aftermarket opportunities.</w:t>
      </w:r>
    </w:p>
    <w:p>
      <w:pPr>
        <w:spacing w:after="0" w:line="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original purchase price for MagSeal was $69.5 million, net of cash acquired, all payable in cash. We paid a gross aggregate of $71.3 million in cash upon the closing of the transaction. Subsequent to the closing of the transaction, during the second quarter of 2022, as part of finalizing the working capital adjustment, we received $0.4 million back from the seller which lowered the purchase price to $69.1 million, net of cash acquired. We allocated the final gross purchase price of $70.9 million to the assets acquired and liabilities assumed at their estimated fair values. The excess of the purchase price over the aggregate fair values of the net assets was recorded as goodwill.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estimated fair value of the assets acquired and liabilities assumed at the date of acquisition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2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24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3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248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382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Backlog</w:t>
            </w:r>
          </w:p>
        </w:tc>
        <w:tc>
          <w:tcPr>
            <w:tcW w:w="382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26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intangible assets acquired of $30.1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 for customer relationships and backlog were estimated based on a multi-period excess earnings approach, while the value for trade name was assessed using the relief from royalty methodology. Inputs to the income approach models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goodwill of $32.6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MagSeal acquisition, for tax purposes, is deemed an asset acquisition and thus, is deductible for income tax purposes.</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$0.9 million during 2021 and charged to selling, general and administrative expenses.</w:t>
      </w:r>
    </w:p>
    <w:p>
      <w:pPr>
        <w:spacing w:after="0" w:line="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MagSeal’s results of operations have been included in our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 for both 2022 and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year ended December 31, 2022, we recorded total charges of $6.7 million. As of December 31, 2022, we estimate the remaining amount of charges related to this initiative will be $12.0 million to $16.0 million in total pre-tax restructuring charges during 2023. Of these charges, we estimate $9.0 million to $12.0 million to be cash payments for employee separation and other facility consolidation related expenses, and $3.0 million to $4.0 million to be non-cash charges for impairment of long-lived assets.</w:t>
      </w:r>
    </w:p>
    <w:p>
      <w:pPr>
        <w:spacing w:after="0" w:line="6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 the Electronics Systems segment, we recorded $3.5 million and $0.3 million during the year ended December 31, 2022, for severance and benefits that were classified as restructuring charges and accelerated depreciation of property and equipment that was classified as restructuring charges, respectively.</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Structural Systems segment, we recorded $0.5 million, $1.6 million, $0.5 million, and $0.3 million during the year ended December 31, 2022 for inventory write down that was classified as cost of sales, severance and benefits that were classified as restructuring charges, accelerated depreciation of property and equipment that was classified as restructuring charges, and impairment of property and equipment that was classified as restructuring charges,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for 2022 were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Balance</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Pr>
          <w:p>
            <w:pPr>
              <w:spacing w:after="0"/>
              <w:rPr>
                <w:sz w:val="11"/>
                <w:szCs w:val="11"/>
                <w:color w:val="auto"/>
              </w:rPr>
            </w:pPr>
          </w:p>
        </w:tc>
        <w:tc>
          <w:tcPr>
            <w:tcW w:w="102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color w:val="auto"/>
              </w:rPr>
              <w:t>Non-Cash</w:t>
            </w:r>
          </w:p>
        </w:tc>
        <w:tc>
          <w:tcPr>
            <w:tcW w:w="180" w:type="dxa"/>
            <w:vAlign w:val="bottom"/>
          </w:tcPr>
          <w:p>
            <w:pPr>
              <w:spacing w:after="0"/>
              <w:rPr>
                <w:sz w:val="11"/>
                <w:szCs w:val="11"/>
                <w:color w:val="auto"/>
              </w:rPr>
            </w:pPr>
          </w:p>
        </w:tc>
        <w:tc>
          <w:tcPr>
            <w:tcW w:w="92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175"/>
        </w:trPr>
        <w:tc>
          <w:tcPr>
            <w:tcW w:w="4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accelerated depreciation due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 restructuring</w:t>
            </w:r>
          </w:p>
        </w:tc>
        <w:tc>
          <w:tcPr>
            <w:tcW w:w="1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impairment due to</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 down</w:t>
            </w: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activities accrual for severance and benefits of $2.8 million as of December 31, 2022 was included as part of accrued and other liabilities.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3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color w:val="auto"/>
        </w:rPr>
        <w:t>(In thousands)</w:t>
      </w:r>
    </w:p>
    <w:p>
      <w:pPr>
        <w:ind w:left="8940"/>
        <w:spacing w:after="0"/>
        <w:rPr>
          <w:sz w:val="20"/>
          <w:szCs w:val="20"/>
          <w:color w:val="auto"/>
        </w:rPr>
      </w:pPr>
      <w:r>
        <w:rPr>
          <w:rFonts w:ascii="Times New Roman" w:cs="Times New Roman" w:eastAsia="Times New Roman" w:hAnsi="Times New Roman"/>
          <w:sz w:val="14"/>
          <w:szCs w:val="14"/>
          <w:color w:val="auto"/>
        </w:rPr>
        <w:t>December 31,</w:t>
      </w:r>
    </w:p>
    <w:p>
      <w:pPr>
        <w:spacing w:after="0" w:line="26" w:lineRule="exact"/>
        <w:rPr>
          <w:sz w:val="20"/>
          <w:szCs w:val="20"/>
          <w:color w:val="auto"/>
        </w:rPr>
      </w:pPr>
    </w:p>
    <w:p>
      <w:pPr>
        <w:jc w:val="both"/>
        <w:ind w:left="8220"/>
        <w:spacing w:after="0"/>
        <w:tabs>
          <w:tab w:leader="none" w:pos="10160" w:val="left"/>
        </w:tabs>
        <w:rPr>
          <w:sz w:val="20"/>
          <w:szCs w:val="20"/>
          <w:color w:val="auto"/>
        </w:rPr>
      </w:pPr>
      <w:r>
        <w:rPr>
          <w:rFonts w:ascii="Times New Roman" w:cs="Times New Roman" w:eastAsia="Times New Roman" w:hAnsi="Times New Roman"/>
          <w:sz w:val="14"/>
          <w:szCs w:val="14"/>
          <w:color w:val="auto"/>
        </w:rPr>
        <w:t>2022</w:t>
      </w:r>
      <w:r>
        <w:rPr>
          <w:sz w:val="20"/>
          <w:szCs w:val="20"/>
          <w:color w:val="auto"/>
        </w:rPr>
        <w:tab/>
      </w:r>
      <w:r>
        <w:rPr>
          <w:rFonts w:ascii="Times New Roman" w:cs="Times New Roman" w:eastAsia="Times New Roman" w:hAnsi="Times New Roman"/>
          <w:sz w:val="14"/>
          <w:szCs w:val="14"/>
          <w:color w:val="auto"/>
        </w:rPr>
        <w:t>2021</w:t>
      </w:r>
    </w:p>
    <w:p>
      <w:pPr>
        <w:sectPr>
          <w:pgSz w:w="11900" w:h="16838" w:orient="portrait"/>
          <w:cols w:equalWidth="0" w:num="1">
            <w:col w:w="11240"/>
          </w:cols>
          <w:pgMar w:left="320" w:top="887" w:right="339" w:bottom="1440" w:gutter="0" w:footer="0" w:header="0"/>
        </w:sectPr>
      </w:pP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 and supplies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Finished goods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8"/>
        </w:trPr>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143,495</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125,334</w:t>
            </w:r>
          </w:p>
        </w:tc>
      </w:tr>
      <w:tr>
        <w:trPr>
          <w:trHeight w:val="229"/>
        </w:trPr>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234"/>
        </w:trPr>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3"/>
        </w:trPr>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150,938</w:t>
            </w: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-633730</wp:posOffset>
            </wp:positionV>
            <wp:extent cx="710628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-334010</wp:posOffset>
            </wp:positionV>
            <wp:extent cx="71062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3"/>
                <w:szCs w:val="13"/>
                <w:color w:val="auto"/>
              </w:rPr>
            </w:pP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Range of</w:t>
            </w:r>
          </w:p>
        </w:tc>
      </w:tr>
      <w:tr>
        <w:trPr>
          <w:trHeight w:val="190"/>
        </w:trPr>
        <w:tc>
          <w:tcPr>
            <w:tcW w:w="16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December 31,</w:t>
            </w:r>
          </w:p>
        </w:tc>
        <w:tc>
          <w:tcPr>
            <w:tcW w:w="1080" w:type="dxa"/>
            <w:vAlign w:val="bottom"/>
          </w:tcPr>
          <w:p>
            <w:pPr>
              <w:spacing w:after="0"/>
              <w:rPr>
                <w:sz w:val="16"/>
                <w:szCs w:val="16"/>
                <w:color w:val="auto"/>
              </w:rPr>
            </w:pP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1"/>
        </w:trPr>
        <w:tc>
          <w:tcPr>
            <w:tcW w:w="162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w w:val="99"/>
              </w:rPr>
              <w:t>2022</w:t>
            </w:r>
          </w:p>
        </w:tc>
        <w:tc>
          <w:tcPr>
            <w:tcW w:w="10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2021</w:t>
            </w: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Useful Lives</w:t>
            </w:r>
          </w:p>
        </w:tc>
      </w:tr>
    </w:tbl>
    <w:p>
      <w:pPr>
        <w:spacing w:after="0" w:line="3" w:lineRule="exact"/>
        <w:rPr>
          <w:sz w:val="20"/>
          <w:szCs w:val="20"/>
          <w:color w:val="auto"/>
        </w:rPr>
      </w:pPr>
    </w:p>
    <w:p>
      <w:pPr>
        <w:sectPr>
          <w:pgSz w:w="11900" w:h="16838" w:orient="portrait"/>
          <w:cols w:equalWidth="0" w:num="2">
            <w:col w:w="5960" w:space="720"/>
            <w:col w:w="4560"/>
          </w:cols>
          <w:pgMar w:left="320" w:top="887" w:right="339" w:bottom="1440" w:gutter="0" w:footer="0" w:header="0"/>
          <w:type w:val="continuous"/>
        </w:sectPr>
      </w:pPr>
    </w:p>
    <w:tbl>
      <w:tblPr>
        <w:tblLayout w:type="fixed"/>
        <w:tblInd w:w="40" w:type="dxa"/>
        <w:tblCellMar>
          <w:top w:w="0" w:type="dxa"/>
          <w:left w:w="0" w:type="dxa"/>
          <w:bottom w:w="0" w:type="dxa"/>
          <w:right w:w="0" w:type="dxa"/>
        </w:tblCellMar>
      </w:tblPr>
      <w:tr>
        <w:trPr>
          <w:trHeight w:val="24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5 - 40 Years</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2 - 20 Years</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2 - 10 Years</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270,551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102,419</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$14.5 million, $14.1 million, and $13.8 million, for the years ended December 31, 2022, 2021 and 2020,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$143.1 million and we had no continuing involvement. The carrying value of the building and related land was $9.4 million and we recognized a gain of $132.5 million. As part of the Sale-Leaseback Agreement, we entered into an initial five year lease for the usage of the just sold building and related land, with three options to renew in five year increments. The lease was classified as an operating lease and the future minimum base monthly lease payments during the initial five year period in aggregate total $19.6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elected to utilize the following practical expedients that are permitted under ASC 842:</w:t>
      </w:r>
    </w:p>
    <w:p>
      <w:pPr>
        <w:spacing w:after="0" w:line="131" w:lineRule="exact"/>
        <w:rPr>
          <w:sz w:val="20"/>
          <w:szCs w:val="20"/>
          <w:color w:val="auto"/>
        </w:rPr>
      </w:pPr>
    </w:p>
    <w:p>
      <w:pPr>
        <w:ind w:left="660" w:right="160" w:hanging="328"/>
        <w:spacing w:after="0" w:line="312"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spacing w:after="0" w:line="45"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spacing w:after="0" w:line="10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have operating and finance leases for manufacturing facilities, corporate offices, and various equipment. Our leases have remaining lease terms of 1 to 10 years, some of which include options to extend the leases for up to 15 years, and some of which include options to terminate the leases within 1 year.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consisted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Years Ended</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December 31, 2022</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2021</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expense</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 term and variable lease expenses for the year ended December 31, 2022 were not material.</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Years Ended</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December 31, 2022</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2021</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3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45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2022</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2021</w:t>
            </w:r>
          </w:p>
        </w:tc>
        <w:tc>
          <w:tcPr>
            <w:tcW w:w="0" w:type="dxa"/>
            <w:vAlign w:val="bottom"/>
          </w:tcPr>
          <w:p>
            <w:pPr>
              <w:spacing w:after="0"/>
              <w:rPr>
                <w:sz w:val="1"/>
                <w:szCs w:val="1"/>
                <w:color w:val="auto"/>
              </w:rPr>
            </w:pP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which is a secured rate. After we completed a financing of all our existing debt on July 14, 2022, the interest rate on our term loan was based on Term Secured Overnight Financing Rate (“Term SOFR”) plus an applicable margin. Prior to the refinancing, the interest rate on our term loans were based on London Interbank Offered Rate (“LIBOR”) plus an applicable margin.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380" w:type="dxa"/>
            <w:vAlign w:val="bottom"/>
            <w:gridSpan w:val="3"/>
          </w:tcPr>
          <w:p>
            <w:pPr>
              <w:ind w:left="1320"/>
              <w:spacing w:after="0"/>
              <w:rPr>
                <w:sz w:val="20"/>
                <w:szCs w:val="20"/>
                <w:color w:val="auto"/>
              </w:rPr>
            </w:pPr>
            <w:r>
              <w:rPr>
                <w:rFonts w:ascii="Times New Roman" w:cs="Times New Roman" w:eastAsia="Times New Roman" w:hAnsi="Times New Roman"/>
                <w:sz w:val="14"/>
                <w:szCs w:val="14"/>
                <w:color w:val="auto"/>
              </w:rPr>
              <w:t>Years Ended</w:t>
            </w:r>
          </w:p>
        </w:tc>
      </w:tr>
      <w:tr>
        <w:trPr>
          <w:trHeight w:val="236"/>
        </w:trPr>
        <w:tc>
          <w:tcPr>
            <w:tcW w:w="33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2022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120" w:type="dxa"/>
            <w:vAlign w:val="bottom"/>
            <w:gridSpan w:val="2"/>
          </w:tcPr>
          <w:p>
            <w:pPr>
              <w:jc w:val="center"/>
              <w:ind w:left="437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859"/>
        </w:trPr>
        <w:tc>
          <w:tcPr>
            <w:tcW w:w="3380" w:type="dxa"/>
            <w:vAlign w:val="bottom"/>
          </w:tcPr>
          <w:p>
            <w:pPr>
              <w:spacing w:after="0"/>
              <w:rPr>
                <w:sz w:val="24"/>
                <w:szCs w:val="24"/>
                <w:color w:val="auto"/>
              </w:rPr>
            </w:pPr>
          </w:p>
        </w:tc>
        <w:tc>
          <w:tcPr>
            <w:tcW w:w="448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61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Maturity of operating and finance lease liabilities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6"/>
                <w:szCs w:val="16"/>
                <w:color w:val="auto"/>
              </w:rPr>
            </w:pPr>
          </w:p>
        </w:tc>
      </w:tr>
      <w:tr>
        <w:trPr>
          <w:trHeight w:val="203"/>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400" w:type="dxa"/>
            <w:vAlign w:val="bottom"/>
          </w:tcPr>
          <w:p>
            <w:pPr>
              <w:spacing w:after="0"/>
              <w:rPr>
                <w:sz w:val="17"/>
                <w:szCs w:val="17"/>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3"/>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lease payments related to options to extend lease terms that are reasonably certain of being exercised are $3.3 million. As of December 31, 2022, there are no legally binding minimum lease payments for leases signed but not yet commenced.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lease payments related to options to extend lease terms that are reasonably certain of being exercised are not significant. As of December 31, 2022, there are no legally binding minimum lease payments for leases signed but not yet commenced.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goodwill, by operating segment, for the years ended December 31, 2022 and 2021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3"/>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Electronic</w:t>
            </w: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Structural</w:t>
            </w:r>
          </w:p>
        </w:tc>
        <w:tc>
          <w:tcPr>
            <w:tcW w:w="220" w:type="dxa"/>
            <w:vAlign w:val="bottom"/>
          </w:tcPr>
          <w:p>
            <w:pPr>
              <w:spacing w:after="0"/>
              <w:rPr>
                <w:sz w:val="14"/>
                <w:szCs w:val="14"/>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6"/>
                <w:szCs w:val="16"/>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203,694</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allocation refinements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6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most recent step one goodwill impairment test for our Electronic Systems reporting unit was as of the first day of the fourth quarter of 2019 where the fair value of our Electronic Systems reporting unit exceeded its carrying value. No material adverse factors/changes have occurred since the fourth quarter of 2019 and thus, for our annual goodwill impairment test of our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3" w:name="page64"/>
    <w:bookmarkEnd w:id="63"/>
    <w:p>
      <w:pPr>
        <w:ind w:right="20"/>
        <w:spacing w:after="0" w:line="258" w:lineRule="auto"/>
        <w:rPr>
          <w:sz w:val="20"/>
          <w:szCs w:val="20"/>
          <w:color w:val="auto"/>
        </w:rPr>
      </w:pPr>
      <w:r>
        <w:rPr>
          <w:rFonts w:ascii="Times New Roman" w:cs="Times New Roman" w:eastAsia="Times New Roman" w:hAnsi="Times New Roman"/>
          <w:sz w:val="18"/>
          <w:szCs w:val="18"/>
          <w:color w:val="auto"/>
        </w:rPr>
        <w:t>Electronic Systems reporting unit as of the first day of the fourth quarter of 2022, we used a qualitative assessment and determined it was not more likely than not that the fair value of a reporting unit was less than its carrying amount. As our commercial aerospace end-use market business continues to be negatively impacted by the COVID-19 pandemic, we performed a step one goodwill impairment test for our Structural Systems reporting unit as of the first day of the fourth quarter of 2022, where the fair value of our Structural Systems reporting unit exceeded its carrying value. Thus, the respective goodwill amounts were not deemed impaired.</w:t>
      </w:r>
    </w:p>
    <w:p>
      <w:pPr>
        <w:spacing w:after="0" w:line="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December 2021, we acquired 100% of the outstanding equity of Magnetic Seal LLC (f/k/a Magnetic Seal Corporation, “MagSeal”) for an original purchase price of $69.5 million, net of cash acquired. We allocated the final gross purchase price of $70.9 million to the assets acquired and the liabilities assumed at their estimated fair values. The excess of the purchase price over the aggregate fair values was recorded as goodwill within the Structural Systems reporting unit. See Note 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intangible assets are related to acquisitions, including MagSeal, and recorded at fair value at the time of the acquisition. Other intangible assets with finite lives are generally amortized on the straight-line method over periods ranging from 2 to 19 years.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Wtd. Avg</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6"/>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5"/>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7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Life</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5"/>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(Yrs)</w:t>
            </w: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assets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renewal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137,064</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other intangible assets by operating segment as of December 31, 2022 and 2021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9"/>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Gross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3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3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15"/>
        </w:trPr>
        <w:tc>
          <w:tcPr>
            <w:tcW w:w="3700" w:type="dxa"/>
            <w:vAlign w:val="bottom"/>
            <w:tcBorders>
              <w:top w:val="single" w:sz="8" w:color="CCEEFF"/>
            </w:tcBorders>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Other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Amortization expense of other intangible assets was $14.6 million, $13.1 million and $13.2 million for the years ended December 31, 2022, 2021 and 2020, respectively. Future amortization expense by operating segment is expected to be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Electronic</w:t>
            </w:r>
          </w:p>
        </w:tc>
        <w:tc>
          <w:tcPr>
            <w:tcW w:w="20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Structural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Systems</w:t>
            </w:r>
          </w:p>
        </w:tc>
        <w:tc>
          <w:tcPr>
            <w:tcW w:w="2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Systems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Ducommun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and Other Liabilities</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consisted of the following:</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color w:val="auto"/>
              </w:rPr>
              <w:t>December 31,</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4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248,438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287,712</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248,438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287,712</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1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242,188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280,712</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1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240,595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279,384</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3"/>
        </w:trPr>
        <w:tc>
          <w:tcPr>
            <w:tcW w:w="7200" w:type="dxa"/>
            <w:vAlign w:val="bottom"/>
            <w:tcBorders>
              <w:bottom w:val="single" w:sz="8" w:color="CCEEFF"/>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Debt issuance costs - revolving credit facility </w:t>
            </w:r>
            <w:r>
              <w:rPr>
                <w:rFonts w:ascii="Times New Roman" w:cs="Times New Roman" w:eastAsia="Times New Roman" w:hAnsi="Times New Roman"/>
                <w:sz w:val="22"/>
                <w:szCs w:val="22"/>
                <w:color w:val="auto"/>
                <w:vertAlign w:val="superscript"/>
              </w:rPr>
              <w:t>(1)</w:t>
            </w:r>
          </w:p>
        </w:tc>
        <w:tc>
          <w:tcPr>
            <w:tcW w:w="1120" w:type="dxa"/>
            <w:vAlign w:val="bottom"/>
            <w:tcBorders>
              <w:bottom w:val="single" w:sz="8" w:color="auto"/>
            </w:tcBorders>
            <w:shd w:val="clear" w:color="auto" w:fill="CCEEFF"/>
          </w:tcPr>
          <w:p>
            <w:pPr>
              <w:jc w:val="right"/>
              <w:ind w:right="9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1,136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20" w:type="dxa"/>
            <w:vAlign w:val="bottom"/>
          </w:tcPr>
          <w:p>
            <w:pPr>
              <w:spacing w:after="0"/>
              <w:rPr>
                <w:sz w:val="22"/>
                <w:szCs w:val="22"/>
                <w:color w:val="auto"/>
              </w:rPr>
            </w:pPr>
          </w:p>
        </w:tc>
      </w:tr>
      <w:tr>
        <w:trPr>
          <w:trHeight w:val="34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Future long-term debt payments at December 31, 2022 were as follows: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7"/>
                <w:szCs w:val="17"/>
                <w:color w:val="auto"/>
              </w:rPr>
            </w:pPr>
          </w:p>
        </w:tc>
      </w:tr>
      <w:tr>
        <w:trPr>
          <w:trHeight w:val="23"/>
        </w:trPr>
        <w:tc>
          <w:tcPr>
            <w:tcW w:w="720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 w:type="dxa"/>
            <w:vAlign w:val="bottom"/>
            <w:shd w:val="clear" w:color="auto" w:fill="CCEEFF"/>
          </w:tcPr>
          <w:p>
            <w:pPr>
              <w:spacing w:after="0"/>
              <w:rPr>
                <w:sz w:val="19"/>
                <w:szCs w:val="19"/>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0" w:type="dxa"/>
            <w:vAlign w:val="bottom"/>
          </w:tcPr>
          <w:p>
            <w:pPr>
              <w:spacing w:after="0"/>
              <w:rPr>
                <w:sz w:val="19"/>
                <w:szCs w:val="19"/>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 w:type="dxa"/>
            <w:vAlign w:val="bottom"/>
            <w:shd w:val="clear" w:color="auto" w:fill="CCEEFF"/>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0" w:type="dxa"/>
            <w:vAlign w:val="bottom"/>
          </w:tcPr>
          <w:p>
            <w:pPr>
              <w:spacing w:after="0"/>
              <w:rPr>
                <w:sz w:val="19"/>
                <w:szCs w:val="19"/>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207,812</w:t>
            </w:r>
          </w:p>
        </w:tc>
        <w:tc>
          <w:tcPr>
            <w:tcW w:w="20" w:type="dxa"/>
            <w:vAlign w:val="bottom"/>
            <w:shd w:val="clear" w:color="auto" w:fill="CCEEFF"/>
          </w:tcPr>
          <w:p>
            <w:pPr>
              <w:spacing w:after="0"/>
              <w:rPr>
                <w:sz w:val="19"/>
                <w:szCs w:val="19"/>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first quarterly amortization payment of $1.6 million was required to be paid and was paid during the fourth quarter of 2022.</w:t>
      </w:r>
    </w:p>
    <w:p>
      <w:pPr>
        <w:spacing w:after="0" w:line="57"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The undrawn portion of the commitment of the 2022 Revolving Credit Facility is subject to a commitment fee ranging from 0.175% to</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0.275%, based upon the consolidated total net adjusted leverage ratio, typically paid on a quarterly basis, on the last business day each quarter. However, the 2022 Revolving Credit Facility does not require any principal installment payments.</w:t>
      </w:r>
    </w:p>
    <w:p>
      <w:pPr>
        <w:spacing w:after="0" w:line="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prior credit facilities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were in compliance with all covenants required under the 2022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we completed the refinancing of a portion of our then existing debt by entering into a new revolving credit facility (“2019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replace the then existing revolving credit facility that was entered into in November 2018 (“2018 Revolving Credit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new term loan (“2019 Term Loan”). The 2019 Revolving Credit Facility was a $100.0 million senior secured revolving credit facility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matured on December 20, 2024 and replaced the $100.0 million 2018 Revolving Credit Facility that would have matured on November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2019 Term Loan was a $140.0 million senior secured term loan that would have matured on December 20, 2024. We also had a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 million senior secured term loan that was entered into in November 2018 that would have matured on November 21, 2025 (“2018 Term Loan”).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amounts available under the 2019 Revolving Credit Facility, 2019 Term Loan, and 2018 Term Loan (collectively, the “Existing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totaled $480.0 million at that time.</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 1.25% of the original outstanding principal balance of the 2019 Term Loan amount on a quarterly basis, on the last day of the calendar quarter. During 2022, we made the required quarterly payments on the 2019 Term Loan before it was refinanced, in aggregate totaling $3.5 million.</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is greater than 3.25 to 1.0, (ii) 25% of the excess cash flow amount if the adjusted leverage ratio was less than or equal to 3.25 to 1.0 but greater than 2.50 to 1.0, and (iii) zero percent of the excess cash flow amount if the consolidated adjusted leverage ratio was less than or equal to 2.50 to 1.0. We did not exceed the annual excess cash flow threshold for 2021 and thus, no annual excess cash flow payment was required to be paid during the first quarter of 2022.</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drew down $50.0 million on the 2019 Revolving Credit Facility during the first quarter of 2020 to hold as cash on hand, $25.0 million of which was repaid during the fourth quarter of 2020. The remaining $25.0 million was repaid during 2021.</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since we were paying down on the term loans during the first quarter of 2022, we were required to pay down on the 2019 Term Loan and 2018 Term Loan on a pro-rata basis and thus, we paid down $13.0 million and $17.0 million on the 2019 Term Loan and 2018 Term Loan, respectively, for an aggregate total pay down of $30.0 million.</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2022, we had $199.8 million of unused borrowing capacity under the 2022 Revolving Credit Facility, after deducting $0.2 million for standby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2019 Term Loan and 2018 Term Loan of $1.0 million as of the modification date will be amortized over the life of the 2022 Term Loan, using the effective interest method.</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2019 Revolving Credit Facility of $0.8 million as of the modification date will also be amortized over the life of the 2022 Revolving Credit Facility.</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2019 Term Loan and 2018 Term Loan were considered a modification of debt in 2019 and thus, no gain or loss was recorded at that time. Instead, the new fees paid to the lenders at that time of $0.6 million were capitalized and were being amortized over the life of the 2019 Term Loan. The remaining debt issuance costs related to the 2018 Term Loan of $1.5 million as of the modification date in 2019 were being amortized over its remaining life.</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in 2019. As a result, we expensed the portion of the unamortized debt issuance costs related to the 2018 Revolving Credit Facility that was considered an extinguishment of debt of $0.5 million in 2019. In addition, the new fees paid to the lenders of $0.5 million as part of the 2019 Revolving Credit Facility were capitalized and were being amortized over its remaining life. Further, the remaining debt issuance costs related to the 2018 Revolving Credit Facility of $1.1 million were also being amortized over its remaining life.</w:t>
      </w:r>
    </w:p>
    <w:p>
      <w:pPr>
        <w:spacing w:after="0" w:line="6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for an original purchase price of $69.5 million, net of cash acquired, all payable in cash. Upon the closing of the transaction, we paid a gross total aggregate of $71.3 million in cash, $65.0 million of which was from drawing down on the 2019 Revolving Credit Facility. This draw down on the 2019 Revolving Credit Facility was paid off by December 31, 2021. See Note 2.</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Also in December 2021, we entered into a sale-leaseback transaction for the building and related land for our Gardena performance center located in Carson, California, for a sale price of $143.1 million. A portion of the net proceeds were used to pay down on the $65.0 million that was drawn on the 2019 Revolving Credit Facility for the MagSeal acquisition. See Note 5.</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Forward Interest Rate Swaps are not effective until January 1, 2024, we only recorded the changes in the fair value of the Forward Interest Rate Swaps and recorded in other assets, deferred income taxes, and accumulated other comprehensive income (loss) of $15.8 million during December 31, 2022. See Note 1 for further information.</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14,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1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authorized to issue five million shares of preferred stock. At December 31, 2022 and 2021, no preferred shares were issued or outstanding.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Compensation Plans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currently have two active stock incentive plans: i) the Amended and Restated 2020 Stock Incentive Plan (the “2020 Plan”), which expires on April 20, 2032, and ii) the 2018 Employee Stock Purchase Plan (“ESPP”). The 2013 Stock Incentive Plan, as Amended (the “2013 Plan”) was closed to further issuances of stock awards in May 2020 and any remaining shares available were folded into the 2020 Plan as part of the approval of the 2020 Plan by shareholders at the 2020 Annual Meeting of Shareholders in May 2020. The 2020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2020 Plan is 1,031,162 plus any outstanding awards issued under the 2013 Plan that are subsequently forfeited, terminated, expire or otherwise lapse without being exercised. As of December 31, 2022, shares available for future grant under the 2020 Plan are 338,061. Prior to the adoption of the 2020 Plan, we granted stock-based awards to purchase shares of our common stock under certain predecessor plans. No further awards can be granted under these predecessor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purchase common stock using payroll deductions, which may not exceed 10% of their eligible compensation and other limitations. The Compensation Committee administers the ESPP. As of December 31, 2022, there are 549,977 shares available for future award grants.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2022, 2021, and 2020, we granted stock options to our officers and key employees of zero, zero, and 8,000, respectively, with weighted-average grant date fair values of zero, zero, and $16.48, respectively. Stock options have been granted with an exercise price equal to the fair market value of our stock on the date of grant and expire not more than ten years from the date of grant. The stock options typically vest over a period of three or four years from the date of grant.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option price and number of shares are subject to adjustment under certain dilutive circumstances. If an employee terminates employment, the non-vested portion of the stock options will not vest and all rights to the non-vested portion will terminate completely.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2022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40" w:type="dxa"/>
            <w:vAlign w:val="bottom"/>
          </w:tcPr>
          <w:p>
            <w:pPr>
              <w:spacing w:after="0"/>
              <w:rPr>
                <w:sz w:val="13"/>
                <w:szCs w:val="13"/>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Weighted-Average</w:t>
            </w:r>
          </w:p>
        </w:tc>
        <w:tc>
          <w:tcPr>
            <w:tcW w:w="4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Aggregate Intrinsic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40" w:type="dxa"/>
            <w:vAlign w:val="bottom"/>
          </w:tcPr>
          <w:p>
            <w:pPr>
              <w:spacing w:after="0"/>
              <w:rPr>
                <w:sz w:val="12"/>
                <w:szCs w:val="12"/>
                <w:color w:val="auto"/>
              </w:rPr>
            </w:pPr>
          </w:p>
        </w:tc>
        <w:tc>
          <w:tcPr>
            <w:tcW w:w="12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Exercise</w:t>
            </w:r>
          </w:p>
        </w:tc>
        <w:tc>
          <w:tcPr>
            <w:tcW w:w="40" w:type="dxa"/>
            <w:vAlign w:val="bottom"/>
          </w:tcPr>
          <w:p>
            <w:pPr>
              <w:spacing w:after="0"/>
              <w:rPr>
                <w:sz w:val="12"/>
                <w:szCs w:val="12"/>
                <w:color w:val="auto"/>
              </w:rPr>
            </w:pPr>
          </w:p>
        </w:tc>
        <w:tc>
          <w:tcPr>
            <w:tcW w:w="12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Contractual Life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58"/>
              <w:spacing w:after="0" w:line="149" w:lineRule="exact"/>
              <w:rPr>
                <w:sz w:val="20"/>
                <w:szCs w:val="20"/>
                <w:color w:val="auto"/>
              </w:rPr>
            </w:pPr>
            <w:r>
              <w:rPr>
                <w:rFonts w:ascii="Times New Roman" w:cs="Times New Roman" w:eastAsia="Times New Roman" w:hAnsi="Times New Roman"/>
                <w:sz w:val="14"/>
                <w:szCs w:val="14"/>
                <w:color w:val="auto"/>
              </w:rPr>
              <w:t>Value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 Stock Options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Price Per Share</w:t>
            </w:r>
          </w:p>
        </w:tc>
        <w:tc>
          <w:tcPr>
            <w:tcW w:w="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(Years)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18"/>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317,779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Exerciseable at December 31, 2022</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199,276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nonvested stock options for the year ended December 31, 2022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Number of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color w:val="auto"/>
              </w:rPr>
              <w:t>Grant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Times New Roman" w:cs="Times New Roman" w:eastAsia="Times New Roman" w:hAnsi="Times New Roman"/>
                <w:sz w:val="14"/>
                <w:szCs w:val="14"/>
                <w:color w:val="auto"/>
              </w:rPr>
              <w:t>Date Fair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(52,438)</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(7,167)</w:t>
            </w:r>
          </w:p>
        </w:tc>
        <w:tc>
          <w:tcPr>
            <w:tcW w:w="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amount by which the market price of our common stock exceeds the exercise price of the stock option. The aggregate intrinsic value of stock options exercised for the years ended December 31, 2022, 2021 and 2020 was $2.0 million, $1.0 million, and $0.9 million, respectively. Cash received from stock options exercised for the years ended December 31, 2022, 2021 and 2020 was $3.5 million, $1.7 million, and $1.6 million, respectively, with related tax benefits of $0.8 million, $0.4 million, and $0.4 million, respectively. The total amount of stock options vested and expected to vest in the future is 199,276 shares with a weighted-average exercise price of $36.89 and an aggregate intrinsic value of $2.5 million. These stock options have a weighted-average remaining contractual term of 5.4 years.</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share-based compensation cost expensed for stock options for the years ended December 31, 2022, 2021, and 2020 (before tax benefits) was $0.3 million, $1.2 million, and $1.8 million, respectively, and is included in selling, general and administrative expenses on the consolidated income statements. At December 31, 2022, there was no remaining unrecognized compensation cost related to stock options. The total fair value of stock options vested during the years ended December 31, 2022, 2021, and 2020 was $0.8 million, $1.7 million, and $2.0 million, respectively.</w:t>
      </w:r>
    </w:p>
    <w:p>
      <w:pPr>
        <w:spacing w:after="0" w:line="4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apply fair value accounting for stock-based compensation based on the grant date fair value estimated using a Black-Scholes-Merton (“Black-Scholes”) valuation model. The assumptions used to compute the fair value of stock option grants under the 2020 Stock Incentive Plan for years ended December 31, 2022, 2021, and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Years Ended December 31,</w:t>
            </w:r>
          </w:p>
        </w:tc>
        <w:tc>
          <w:tcPr>
            <w:tcW w:w="1700" w:type="dxa"/>
            <w:vAlign w:val="bottom"/>
          </w:tcPr>
          <w:p>
            <w:pPr>
              <w:spacing w:after="0"/>
              <w:rPr>
                <w:sz w:val="16"/>
                <w:szCs w:val="16"/>
                <w:color w:val="auto"/>
              </w:rPr>
            </w:pPr>
          </w:p>
        </w:tc>
      </w:tr>
      <w:tr>
        <w:trPr>
          <w:trHeight w:val="203"/>
        </w:trPr>
        <w:tc>
          <w:tcPr>
            <w:tcW w:w="6160" w:type="dxa"/>
            <w:vAlign w:val="bottom"/>
          </w:tcPr>
          <w:p>
            <w:pPr>
              <w:spacing w:after="0"/>
              <w:rPr>
                <w:sz w:val="17"/>
                <w:szCs w:val="17"/>
                <w:color w:val="auto"/>
              </w:rPr>
            </w:pPr>
          </w:p>
        </w:tc>
        <w:tc>
          <w:tcPr>
            <w:tcW w:w="15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15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7"/>
                <w:szCs w:val="17"/>
                <w:color w:val="auto"/>
              </w:rPr>
            </w:pPr>
          </w:p>
        </w:tc>
        <w:tc>
          <w:tcPr>
            <w:tcW w:w="1700" w:type="dxa"/>
            <w:vAlign w:val="bottom"/>
          </w:tcPr>
          <w:p>
            <w:pPr>
              <w:jc w:val="right"/>
              <w:ind w:right="614"/>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6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37.75 %</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months)</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based on historic exercise patterns and post-vesting termination behavior. The risk-free interest rate for periods within the contractual life of the award is based on the U.S. Treasury yield curve in effect at the time of grant. The expected volatility is derived from historical volatility of our common stock. We suspended payments of dividends after the first quarter of 2011.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granted restricted stock units (“RSUs”) to certain officers, key employees and non-employee directors of 118,847, 118,995, and 118,835 RSUs during the years ended December 31, 2022, 2021, and 2020, respectively, with weighted-average grant date fair values (equal to the fair market value of our stock on the date of grant) of $51.76, $55.92, and $27.62 per share, respectively. RSUs represent a right to receive a share of stock at future vesting dates with no cash payment required from the holder. The RSUs typically have a three year vesting term of 33.3%, 33.3% and 33.4% on the first, second and third anniversaries of the date of grant, respectively. If an employee terminates employment, their non-vested portion of the RSUs will not vest and all rights to the non-vested portion will terminate.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for the year ended December 31, 2022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3"/>
                <w:szCs w:val="13"/>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39"/>
        </w:trPr>
        <w:tc>
          <w:tcPr>
            <w:tcW w:w="8600" w:type="dxa"/>
            <w:vAlign w:val="bottom"/>
          </w:tcPr>
          <w:p>
            <w:pPr>
              <w:spacing w:after="0"/>
              <w:rPr>
                <w:sz w:val="12"/>
                <w:szCs w:val="12"/>
                <w:color w:val="auto"/>
              </w:rPr>
            </w:pPr>
          </w:p>
        </w:tc>
        <w:tc>
          <w:tcPr>
            <w:tcW w:w="13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1120" w:type="dxa"/>
            <w:vAlign w:val="bottom"/>
          </w:tcPr>
          <w:p>
            <w:pPr>
              <w:jc w:val="center"/>
              <w:ind w:right="98"/>
              <w:spacing w:after="0" w:line="13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14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118,847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(74,222)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(45,112)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201,795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share-based compensation cost expensed for RSUs for the years ended December 31, 2022, 2021, and 2020 (before tax benefits) was $3.8 million, $4.1 million, and $2.6 million respectively, and is included in selling, general and administrative expenses on the consolidated income statements. At December 31, 2022, total unrecognized compensation cost (before tax benefits) related to RSUs of $5.7 million is expected to be recognized over a weighted average period of 1.6 years. The total fair value of RSUs vested for the years ended December 31, 2022, 2021, and 2020 was $3.5 million, $4.2 million, and $2.3 million, respectively. The tax benefit realized from vested RSUs for the years ended December 31, 2022, 2021, and 2020 was $0.8 million, $1 million, and $0.5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granted performance stock awards (“PSUs”) to certain key employees of 111,654, 182,886, and 159,136 PSUs during the years ended December 31, 2022, 2021, and 2020, respectively, with weighted-average grant date fair values of $48.18, $49.76, and $29.65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activity for the year ended December 31, 2022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3"/>
                <w:szCs w:val="13"/>
                <w:color w:val="auto"/>
              </w:rPr>
            </w:pP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87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Performance Stock</w:t>
            </w:r>
          </w:p>
        </w:tc>
        <w:tc>
          <w:tcPr>
            <w:tcW w:w="120" w:type="dxa"/>
            <w:vAlign w:val="bottom"/>
          </w:tcPr>
          <w:p>
            <w:pPr>
              <w:spacing w:after="0"/>
              <w:rPr>
                <w:sz w:val="12"/>
                <w:szCs w:val="12"/>
                <w:color w:val="auto"/>
              </w:rPr>
            </w:pPr>
          </w:p>
        </w:tc>
        <w:tc>
          <w:tcPr>
            <w:tcW w:w="10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tcPr>
          <w:p>
            <w:pPr>
              <w:spacing w:after="0"/>
              <w:rPr>
                <w:sz w:val="17"/>
                <w:szCs w:val="17"/>
                <w:color w:val="auto"/>
              </w:rPr>
            </w:pPr>
          </w:p>
        </w:tc>
        <w:tc>
          <w:tcPr>
            <w:tcW w:w="106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30"/>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29"/>
        </w:trPr>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share-based compensation cost expensed for PSUs for the years ended December 31, 2022, 2021, and 2020 (before tax benefits) was $5.1 million, $5.9 million and $4.9 million, respectively, and is included in selling, general and administrative expenses on the consolidated income statements. At December 31, 2022, total unrecognized compensation cost (before tax benefits) related to PSUs of $5.5 million is expected to be recognized over a weighted-average period of 1.4 years. The total fair value of PSUs vested during the years ended December 31, 2022, 2021, and 2020, was $4.4 million, $9.6 million, and $3.7</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million, respectively. The tax benefit realized from PSUs for the years ended December 31, 2022, 2021, and 2020 were $1.1 million, $2.3 million, and $0.9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With Market Condition Cash Settled Long-Term Incentive Awards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permitted under the 2020 Plan, performance-based with market condition cash settled long-term incentive awards (“Performance-Based Cash LTIPs”) were granted in 2022. Performance-Based Cash LTIPs will be settled in cash and are subject to the attainment of performance goals established by the Compensation Committee (including achievement of relative total shareholder return market condition), the periods during which performance is to be measured, and all other limitations and conditions applicable to the Performance-Based Cash LTIPs’ values. Performance goals are based on a pre-established objective formula that specifies the manner of determining the value of the Performance-Based Cash LTIPs that will be issued if performance goals are attained. If an employee terminates employment, their non-vested portion of the Performance-Based Cash LTIPs will not vest and all rights to the non-vested portion of the Performance-Based Cash LTIPs will terminate. The Compensation Committee administers the Performance-Based Cash LTIPs. The share-based compensation expense recorded for the Performance-Based Cash LTIPs for the years ended December 31, 2022, 2021, and 2020 (before tax benefits) was $1.2 million, zero, and zero, respectively.</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401(k) Plans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2022, 2021, and 2020 was $2.9 million, $2.8 million, and $2.6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and LaBarge Retirement Plan</w:t>
      </w:r>
    </w:p>
    <w:p>
      <w:pPr>
        <w:spacing w:after="0" w:line="1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consolidation of one of our performance centers as part of the 2022 Restructuring Plan as discussed in Note 2 resulted in the curtailment of the Pension Plan during the fourth quarter of 2022, but it had an immaterial impact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Pension Plan and LaBarge Retirement Plan in aggregate are as follows:</w:t>
      </w:r>
    </w:p>
    <w:p>
      <w:pPr>
        <w:spacing w:after="0" w:line="3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1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6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reclassifications of net actuarial losses from accumulated other comprehensive loss to net income for 2022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(In thousands)</w:t>
            </w:r>
          </w:p>
        </w:tc>
      </w:tr>
      <w:tr>
        <w:trPr>
          <w:trHeight w:val="188"/>
        </w:trPr>
        <w:tc>
          <w:tcPr>
            <w:tcW w:w="960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89"/>
        </w:trPr>
        <w:tc>
          <w:tcPr>
            <w:tcW w:w="9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of actuarial loss - total before tax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6"/>
              </w:rPr>
              <w:t>585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6"/>
              </w:rPr>
              <w:t>442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80" w:right="560" w:hanging="329"/>
        <w:spacing w:after="0" w:line="282"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expense is included in the computation of periodic pension cost and is a decrease to net income upon reclassification from accumulated other comprehensive loss.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estimated net actuarial loss for both plans that will be amortized from accumulated other comprehensive loss into net periodic cost during 2023 is $0.6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fair value of plan assets, and funded status of both plans are as follows:</w:t>
      </w:r>
    </w:p>
    <w:p>
      <w:pPr>
        <w:spacing w:after="0" w:line="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0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Change in benefit obligation</w:t>
            </w:r>
            <w:r>
              <w:rPr>
                <w:rFonts w:ascii="Times New Roman" w:cs="Times New Roman" w:eastAsia="Times New Roman" w:hAnsi="Times New Roman"/>
                <w:sz w:val="19"/>
                <w:szCs w:val="19"/>
                <w:b w:val="1"/>
                <w:bCs w:val="1"/>
                <w:color w:val="auto"/>
                <w:vertAlign w:val="superscript"/>
              </w:rPr>
              <w:t>(1)</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Beginning benefit obligation (January 1)</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benefit obligation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 of plan assets (January 1)</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Return on assets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fair value of plan assets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status underfunded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gridSpan w:val="5"/>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Amounts recognized in the consolidated balance sheet</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Unrecognized loss included in accumulated other comprehensive loss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unrecognized loss, before tax (January 1)</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gain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Asset loss (gain)</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unrecognized loss, before tax (December 31)</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Tax impact</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loss included in accumulated other comprehensive loss, net of tax</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Projected benefit obligation equals the accumulated benefit obligation for the plans.</w:t>
      </w:r>
    </w:p>
    <w:p>
      <w:pPr>
        <w:spacing w:after="0" w:line="1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December 31, 2022, our annual measurement date, the accumulated benefit obligation exceeded the fair value of the plans assets by $1.1 million. Such excess is referred to as an unfunded accumulated benefit obligation. We recorded an unrecognized loss included in accumulated other comprehensive loss, net of tax at December 31, 2022 and 2021 of $3.0 million and $5.7 million, respectively, which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Pension Plan asset allocations at December 31, 2022 and 2021, by asset category,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December 31,</w:t>
            </w:r>
          </w:p>
        </w:tc>
      </w:tr>
      <w:tr>
        <w:trPr>
          <w:trHeight w:val="202"/>
        </w:trPr>
        <w:tc>
          <w:tcPr>
            <w:tcW w:w="7700" w:type="dxa"/>
            <w:vAlign w:val="bottom"/>
          </w:tcPr>
          <w:p>
            <w:pPr>
              <w:spacing w:after="0"/>
              <w:rPr>
                <w:sz w:val="17"/>
                <w:szCs w:val="17"/>
                <w:color w:val="auto"/>
              </w:rPr>
            </w:pPr>
          </w:p>
        </w:tc>
        <w:tc>
          <w:tcPr>
            <w:tcW w:w="1200" w:type="dxa"/>
            <w:vAlign w:val="bottom"/>
          </w:tcPr>
          <w:p>
            <w:pPr>
              <w:jc w:val="center"/>
              <w:ind w:left="414"/>
              <w:spacing w:after="0"/>
              <w:rPr>
                <w:sz w:val="20"/>
                <w:szCs w:val="20"/>
                <w:color w:val="auto"/>
              </w:rPr>
            </w:pPr>
            <w:r>
              <w:rPr>
                <w:rFonts w:ascii="Times New Roman" w:cs="Times New Roman" w:eastAsia="Times New Roman" w:hAnsi="Times New Roman"/>
                <w:sz w:val="14"/>
                <w:szCs w:val="14"/>
                <w:color w:val="auto"/>
              </w:rPr>
              <w:t>2022</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20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w w:val="99"/>
              </w:rPr>
              <w:t>4%</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35%</w:t>
            </w:r>
          </w:p>
        </w:tc>
        <w:tc>
          <w:tcPr>
            <w:tcW w:w="2320" w:type="dxa"/>
            <w:vAlign w:val="bottom"/>
            <w:gridSpan w:val="3"/>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color w:val="auto"/>
                <w:w w:val="96"/>
              </w:rPr>
              <w:t>30%</w:t>
            </w:r>
          </w:p>
        </w:tc>
      </w:tr>
      <w:tr>
        <w:trPr>
          <w:trHeight w:val="223"/>
        </w:trPr>
        <w:tc>
          <w:tcPr>
            <w:tcW w:w="7700" w:type="dxa"/>
            <w:vAlign w:val="bottom"/>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Our overall investment strategy is to achieve an asset allocation within the following ranges to achieve an appropriate rate of return relative to risk.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660" w:type="dxa"/>
            <w:vAlign w:val="bottom"/>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w w:val="99"/>
              </w:rPr>
              <w:t>0-10%</w:t>
            </w:r>
          </w:p>
        </w:tc>
        <w:tc>
          <w:tcPr>
            <w:tcW w:w="6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6660" w:type="dxa"/>
            <w:vAlign w:val="bottom"/>
          </w:tcPr>
          <w:p>
            <w:pPr>
              <w:jc w:val="center"/>
              <w:ind w:left="4790"/>
              <w:spacing w:after="0"/>
              <w:rPr>
                <w:sz w:val="20"/>
                <w:szCs w:val="20"/>
                <w:color w:val="auto"/>
              </w:rPr>
            </w:pPr>
            <w:r>
              <w:rPr>
                <w:rFonts w:ascii="Times New Roman" w:cs="Times New Roman" w:eastAsia="Times New Roman" w:hAnsi="Times New Roman"/>
                <w:sz w:val="18"/>
                <w:szCs w:val="18"/>
                <w:color w:val="auto"/>
              </w:rPr>
              <w:t>15-75%</w:t>
            </w:r>
          </w:p>
        </w:tc>
        <w:tc>
          <w:tcPr>
            <w:tcW w:w="6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6660" w:type="dxa"/>
            <w:vAlign w:val="bottom"/>
            <w:shd w:val="clear" w:color="auto" w:fill="CCEEFF"/>
          </w:tcPr>
          <w:p>
            <w:pPr>
              <w:jc w:val="center"/>
              <w:ind w:left="4790"/>
              <w:spacing w:after="0"/>
              <w:rPr>
                <w:sz w:val="20"/>
                <w:szCs w:val="20"/>
                <w:color w:val="auto"/>
              </w:rPr>
            </w:pPr>
            <w:r>
              <w:rPr>
                <w:rFonts w:ascii="Times New Roman" w:cs="Times New Roman" w:eastAsia="Times New Roman" w:hAnsi="Times New Roman"/>
                <w:sz w:val="18"/>
                <w:szCs w:val="18"/>
                <w:color w:val="auto"/>
              </w:rPr>
              <w:t>30-80%</w:t>
            </w:r>
          </w:p>
        </w:tc>
        <w:tc>
          <w:tcPr>
            <w:tcW w:w="660" w:type="dxa"/>
            <w:vAlign w:val="bottom"/>
          </w:tcPr>
          <w:p>
            <w:pPr>
              <w:spacing w:after="0"/>
              <w:rPr>
                <w:sz w:val="19"/>
                <w:szCs w:val="19"/>
                <w:color w:val="auto"/>
              </w:rPr>
            </w:pPr>
          </w:p>
        </w:tc>
      </w:tr>
      <w:tr>
        <w:trPr>
          <w:trHeight w:val="864"/>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66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6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Pension Plan assets consist primarily of listed stocks and bonds and do not include any of the Company’s securities. The return on assets assumption reflects the average rate of return expected on funds invested or to be invested to provide for the benefits included in the projected benefit obligation. We select the return on asset assumption by considering our current and target asset allocation. We consider information from various external investment managers, forward-looking information regarding expected returns by asset class and our own judgment when determining the expected returns.</w:t>
      </w: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5"/>
          </w:tcPr>
          <w:p>
            <w:pPr>
              <w:ind w:left="760"/>
              <w:spacing w:after="0" w:line="149" w:lineRule="exact"/>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Equities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Pooled funds</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5"/>
            <w:vMerge w:val="restart"/>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Equities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48"/>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Pooled funds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0" w:type="dxa"/>
            <w:vAlign w:val="bottom"/>
          </w:tcPr>
          <w:p>
            <w:pPr>
              <w:spacing w:after="0" w:line="20" w:lineRule="exact"/>
              <w:rPr>
                <w:sz w:val="1"/>
                <w:szCs w:val="1"/>
                <w:color w:val="auto"/>
              </w:rPr>
            </w:pPr>
          </w:p>
        </w:tc>
      </w:tr>
      <w:tr>
        <w:trPr>
          <w:trHeight w:val="176"/>
        </w:trPr>
        <w:tc>
          <w:tcPr>
            <w:tcW w:w="6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80" w:right="260" w:hanging="329"/>
        <w:spacing w:after="0" w:line="282"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mutual funds and commingled accounts which invest primarily in equities, but may also hold fixed income securities, cash and other investments. Commingled funds with publicly quoted prices and actively traded are classified as Level 1 investments.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Pooled funds are measured using the net asset value (“NAV”) as a practical expedient for fair value as permissible under the accounting standard for fair value measurements and have not been categorized in the fair value hierarchy in accordance with ASU 2015-07, “Fair Value Measurement (Topic 820): Disclosures for Investments in Certain Entities That Calculate Net Asset Value per Share (or Its Equivalent).” Pooled fund NAVs are provided by the trustee and are determined by reference to the fair value of the underlying securities of the trust, less its liabilities, which are valued primarily through the use of directly or indirectly observable inputs. Depending on the pooled fund, underlying securities may include marketable equity securities or fixed income securities.</w:t>
      </w:r>
    </w:p>
    <w:p>
      <w:pPr>
        <w:spacing w:after="0" w:line="6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equity securities. The estimated cash flows from the plans for all future years are determined based on the plans’ population at the measurement date. We used the expected benefit payouts from the plans for each year into the future and discounted them back to the present using the Wells Fargo yield curve rate for that duration.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under the two plans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pension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benefit obligations under the two plans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value of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rate of return - Pension Plan only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under both plans, which reflect expected future service, as appropriate, are expected to be paid: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LaBarge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Pension Plan</w:t>
            </w:r>
          </w:p>
        </w:tc>
        <w:tc>
          <w:tcPr>
            <w:tcW w:w="480" w:type="dxa"/>
            <w:vAlign w:val="bottom"/>
          </w:tcPr>
          <w:p>
            <w:pPr>
              <w:spacing w:after="0"/>
              <w:rPr>
                <w:sz w:val="12"/>
                <w:szCs w:val="12"/>
                <w:color w:val="auto"/>
              </w:rPr>
            </w:pPr>
          </w:p>
        </w:tc>
        <w:tc>
          <w:tcPr>
            <w:tcW w:w="1380" w:type="dxa"/>
            <w:vAlign w:val="bottom"/>
          </w:tcPr>
          <w:p>
            <w:pPr>
              <w:jc w:val="center"/>
              <w:ind w:right="416"/>
              <w:spacing w:after="0" w:line="145" w:lineRule="exact"/>
              <w:rPr>
                <w:sz w:val="20"/>
                <w:szCs w:val="20"/>
                <w:color w:val="auto"/>
              </w:rPr>
            </w:pPr>
            <w:r>
              <w:rPr>
                <w:rFonts w:ascii="Times New Roman" w:cs="Times New Roman" w:eastAsia="Times New Roman" w:hAnsi="Times New Roman"/>
                <w:sz w:val="14"/>
                <w:szCs w:val="14"/>
                <w:color w:val="auto"/>
              </w:rPr>
              <w:t>Retirement</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funding policy is to contribute cash to our plans so that the minimum contribution requirements established by government funding and taxing authorities are met. We expect to make contributions of $0.8 million to the plans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Retirement Plans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three unfunded supplemental retirement plans. The first plan was suspended in 1986, but continues to cover certain former executives. The second plan was suspended in 1997, but continues to cover certain current and retired directors. The third plan covers certain current and retired employees and further employee contributions to this plan were suspended on August 5, 2011. The liability for the third plan and interest thereon is included in accrued employee compensation and long-term liabilities were both zero at December 31, 2022, and both zero at December 31, 2021. The accumulated benefit obligations of the first two plans at December 31, 2022 and December 31, 2021 were both $0.3 million, and are included in accrued liabilities.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Indemnifications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pre-tax income attributable to foreign operations was not material. The provision for income tax expense consisted of the following:</w:t>
      </w:r>
    </w:p>
    <w:p>
      <w:pPr>
        <w:spacing w:after="0" w:line="35"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1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recognized net income tax benefits from deductions of share-based payments in excess of compensation cost recognized for financial reporting purposes of $0.2 million, $0.9 million, and $0.4 million for the years ended December 31, 2022, 2021, and 2020, respectively.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assets were comprised of the following:</w:t>
      </w:r>
    </w:p>
    <w:p>
      <w:pPr>
        <w:spacing w:after="0" w:line="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overrun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Employment-related accruals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obligation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expenses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3"/>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37,176</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 net of valuation allowance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29,458</w:t>
            </w: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hedge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(48,185)</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(18,727)</w:t>
            </w:r>
          </w:p>
        </w:tc>
      </w:tr>
      <w:tr>
        <w:trPr>
          <w:trHeight w:val="20"/>
        </w:trPr>
        <w:tc>
          <w:tcPr>
            <w:tcW w:w="7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federal and state tax net operating losses of $11.4 million and $17.3 million, respectively, as of December 31, 2022. The federal net operating losses acquired from the acquisition of Nobles are subject to an annual limitation under Internal Revenue Code Section 382; however, we expect to fully realize them under ASC Subtopic 740-10 before they begin to expire in 2036. The state net operating loss carryforwards include $10.6 million that is not expected to be realized due to various limitations and has been reduced by a valuation allowance. If not realized, the state net operating loss carryforwards, depending on the tax jurisdiction, will begin to expire between 2027 and 2038.</w:t>
      </w:r>
    </w:p>
    <w:p>
      <w:pPr>
        <w:spacing w:after="0" w:line="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federal and state tax credit carryforwards of $0.1 million and $10.9 million, respectively, as of December 31, 2022. A valuation allowance of $8.8 million has been provided on state tax credit carryforwards that are not expected to be realized under ASC Subtopic 740-10. If not realized, the federal tax carryforwards will begin to expire in 2032 and state tax credit carryforwards, depending on the tax jurisdiction, will begin to expire between 2023 and 2037.</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it is more likely than not that we will generate sufficient taxable income to realize the benefit of the remaining deferred tax assets.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reasons for the variation between the statutory and effective tax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62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r>
      <w:tr>
        <w:trPr>
          <w:trHeight w:val="230"/>
        </w:trPr>
        <w:tc>
          <w:tcPr>
            <w:tcW w:w="6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tax credits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book compensation expenses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deferred tax assets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tax reserves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6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For 2020, (3.4)% is additional research and development tax credits related to 2019.</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$4.9 million, $4.4 million, and $4.1 million at December 31, 2022, 2021, and 2020, respectively. We record interest and penalty charges, if any, related to uncertain tax positions as a component of tax expense and unrecognized tax benefits. The amounts accrued for interest and penalty charges as of December 31, 2022, 2021, and 2020 were not significant. If recognized, $2.5 million would affect the effective income tax rate. As a result of statute of limitations set to expire in 2023, we expect decreases to our unrecognized tax benefits of approximately $0.6 million in the next twelve months.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3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4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6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that provided tax relief to individuals and businesses affected by the coronavirus pandemic. We considered the provisions of the CARES Act and determined they do not have a material impact on our overall income taxes. We utilized the option to defer payment of the employer portion of payroll taxes (Social Security) that would otherwise be required to be made during the period beginning March 27, 2020 to December 31, 2020. As such, as of December 31, 2020, we deferred payment of income tax deductions related to payroll taxes of $6.1 million and recorded the related deferred tax asset of $1.4 million, which was included as part of the net deferred income taxes on the consolidated balance sheet. We were required to and made the payments for 50% of the deferred payroll taxes by December 31, 2021. We were required to and made the payments for the remaining 50% of the deferred payroll taxes by December 31, 2022.</w:t>
      </w:r>
    </w:p>
    <w:p>
      <w:pPr>
        <w:spacing w:after="0" w:line="13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As of December 31, 2022, we recorded an increase to income taxes payable of approximately $10.6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and a decrease to net deferred tax liabilities of a similar amount. We are monitoring legislation for any further changes to Section 174 and the potential impact to our financial statements in 2023.</w:t>
      </w:r>
    </w:p>
    <w:p>
      <w:pPr>
        <w:spacing w:after="0" w:line="108"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9, 2022, the U.S. enacted the Creating Helpful Incentives to Produce Semiconductors Act of 2022 (“CHIPS Act”) which provides new funding to boost domestic research and manufacturing of semiconductors in the United States. We are evaluating the provisions in the CHIPS Act. Any impact to our overall income taxes would be for 2023 and thereafter.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alleges violations of California’s wage and hour laws relating to our current and former employees and seeks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and remained unchanged as of December 31, 2022 as we were awaiting final court approval of this settlement. Subsequent to December 31, 2022, we received final court approval and paid the $0.9 million on January 17, 2023.</w:t>
      </w:r>
    </w:p>
    <w:p>
      <w:pPr>
        <w:spacing w:after="0" w:line="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as of both December 31, 2022 and December 31, 2021, which is reflected in other long-term liabilities on our consolidated balance sheets.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December 31, 2022 and December 31, 2021, which is reflected in other long-term liabilities on our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consolidated statements of income resulting in no net impact, with the anticipated insurance recoveries receivable included as part of other current assets on the consolidated balance sheets. During the year ended December 31, 2022, we received insurance recoveries in aggregate total of $5.4 million for business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interruption and since the contingencies related to this amount are deemed to be resolved, we recorded this amount as other income. In addition, during the year ended December 31, 2022, we received insurance recoveries of $1.0 million for property and equipment and tooling damage and since the contingencies related to property and equipment and tooling were not deemed to be resolved, we did not recognize it as other income during the year ended December 31, 2022. Further, as of December 31, 2022, we have received $13.5 million of general insurance recoveries, all during 2020. The timing of and the remaining amounts of insurance recoveries, including for business interruption, are not known at this time.</w:t>
      </w:r>
    </w:p>
    <w:p>
      <w:pPr>
        <w:spacing w:after="0" w:line="4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Major Customers and Concentrations of Credit Risk</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proprietary products and services to the Department of Defense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General Dynamics Corporation (“GD”), Lockheed Martin Corporation (“Lockheed Martin”), Northrop Grumman Corporation (“Northrop”), Raytheon Technologies Corporation (“Raytheon”), Spirit AeroSystems Holdings, Inc. (“Spirit”), and Viasat, Inc. (“Viasat”), represented the following percentages of total net revenues: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Years Ended December 31,</w:t>
            </w:r>
          </w:p>
        </w:tc>
        <w:tc>
          <w:tcPr>
            <w:tcW w:w="1740" w:type="dxa"/>
            <w:vAlign w:val="bottom"/>
          </w:tcPr>
          <w:p>
            <w:pPr>
              <w:spacing w:after="0"/>
              <w:rPr>
                <w:sz w:val="16"/>
                <w:szCs w:val="16"/>
                <w:color w:val="auto"/>
              </w:rPr>
            </w:pPr>
          </w:p>
        </w:tc>
      </w:tr>
      <w:tr>
        <w:trPr>
          <w:trHeight w:val="203"/>
        </w:trPr>
        <w:tc>
          <w:tcPr>
            <w:tcW w:w="6880" w:type="dxa"/>
            <w:vAlign w:val="bottom"/>
            <w:gridSpan w:val="2"/>
          </w:tcPr>
          <w:p>
            <w:pPr>
              <w:ind w:left="6500"/>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2020</w:t>
            </w:r>
          </w:p>
        </w:tc>
      </w:tr>
      <w:tr>
        <w:trPr>
          <w:trHeight w:val="23"/>
        </w:trPr>
        <w:tc>
          <w:tcPr>
            <w:tcW w:w="5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 Martin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312"/>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Top ten customers </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Boeing, GD, Lockheed Martin, Northrop, Raytheon, and Spirit for 2022, 2021, and 2020, and Viasat for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Lockheed Martin, Northrop, Raytheon, Spirit, and Viasat represented the following percentages of total accounts receivable: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tcPr>
          <w:p>
            <w:pPr>
              <w:spacing w:after="0"/>
              <w:rPr>
                <w:sz w:val="16"/>
                <w:szCs w:val="16"/>
                <w:color w:val="auto"/>
              </w:rPr>
            </w:pPr>
          </w:p>
        </w:tc>
      </w:tr>
      <w:tr>
        <w:trPr>
          <w:trHeight w:val="203"/>
        </w:trPr>
        <w:tc>
          <w:tcPr>
            <w:tcW w:w="8500" w:type="dxa"/>
            <w:vAlign w:val="bottom"/>
            <w:gridSpan w:val="2"/>
          </w:tcPr>
          <w:p>
            <w:pPr>
              <w:ind w:left="8080"/>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 Martin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2022, 2021 and 2020, net revenues from foreign customers based on the location of the customer were $60.7 million, $43.6 million and $58.5 million, respectively. No net revenues from a foreign country were greater than 3.0% of total net revenues in 2022, 2021, and 2020. We have manufacturing facilities in Thailand and Mexico. Our net revenues, profitability and identifiable long-lived assets attributable to foreign revenues activity were not material compared to our net revenues,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profitability and identifiable long-lived assets attributable to our domestic operations during 2022, 2021, and 2020. We are not subject to any significant foreign currency risks as all our sales are made in United States dollars.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Information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was as follows:</w:t>
      </w:r>
    </w:p>
    <w:p>
      <w:pPr>
        <w:spacing w:after="0" w:line="3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(In thousands)</w:t>
      </w:r>
    </w:p>
    <w:p>
      <w:pPr>
        <w:jc w:val="center"/>
        <w:ind w:left="59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3"/>
        </w:trPr>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412,648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392,633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628,941</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Segment Operating Income (Loss)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45,506</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right="140" w:hanging="329"/>
        <w:spacing w:after="0" w:line="261"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2021 include MagSeal’s results of operations which have been included in our consolidated statements of income since the date of acquisition as part of the Structural Systems segment. See Note 2.</w:t>
      </w: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Segment assets include assets directly identifiable with each segment. Corporate assets include assets not specifically identified with a business segment, including cash. The following table summarizes our segment assets for 2022 and 2021:</w:t>
      </w:r>
    </w:p>
    <w:p>
      <w:pPr>
        <w:spacing w:after="0" w:line="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543,298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490,814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79,803</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191,789</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MagSeal for an original purchase price of $69.5 million, net of cash acquired. We allocated the final gross purchase price of $70.9 million to the assets acquired and liabilities assumed at their estimated fair values. The excess of the purchase price over the aggregate fair values of the net assets was recorded as goodwill. See Note 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Charged to</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(Reduction of)</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Balance at End of</w:t>
            </w:r>
          </w:p>
        </w:tc>
        <w:tc>
          <w:tcPr>
            <w:tcW w:w="0" w:type="dxa"/>
            <w:vAlign w:val="bottom"/>
          </w:tcPr>
          <w:p>
            <w:pPr>
              <w:spacing w:after="0"/>
              <w:rPr>
                <w:sz w:val="1"/>
                <w:szCs w:val="1"/>
                <w:color w:val="auto"/>
              </w:rPr>
            </w:pPr>
          </w:p>
        </w:tc>
      </w:tr>
      <w:tr>
        <w:trPr>
          <w:trHeight w:val="144"/>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Beginning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Costs and</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Deductions/(Recoveries)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of Period</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Expenses</w:t>
            </w:r>
          </w:p>
        </w:tc>
        <w:tc>
          <w:tcPr>
            <w:tcW w:w="158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29"/>
        </w:trPr>
        <w:tc>
          <w:tcPr>
            <w:tcW w:w="46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4"/>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opening balance of Nobles Worldwide, Inc. acquired in October 2019.</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79"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2.4 Agreement of Purchase and Sale and Agreement to Enter into Lease dated as of December 16, 2021 by and among Ducommun Aerostructures, Inc. and</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Centerpoint 268 Gardena LLC. Incorporated by reference to Exhibit 2.1 to Form 8-K filed on December 20, 2021.</w:t>
        </w:r>
      </w:hyperlink>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72" w:lineRule="exact"/>
        <w:rPr>
          <w:sz w:val="20"/>
          <w:szCs w:val="20"/>
          <w:color w:val="auto"/>
        </w:rPr>
      </w:pPr>
    </w:p>
    <w:p>
      <w:pPr>
        <w:ind w:left="340" w:right="360" w:hanging="323"/>
        <w:spacing w:after="0" w:line="282"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3.3 Amended and Restated Bylaws of Ducommun Incorporated, dated as of November 4, 2022.</w:t>
      </w:r>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10-K for the year ended December 31, 2019.</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10.1 Second Amendment to Amended and Restated Credit Agreement entered into on March 20, 2020.</w:t>
        </w:r>
      </w:hyperlink>
    </w:p>
    <w:p>
      <w:pPr>
        <w:spacing w:after="0" w:line="104" w:lineRule="exact"/>
        <w:rPr>
          <w:sz w:val="20"/>
          <w:szCs w:val="20"/>
          <w:color w:val="auto"/>
        </w:rPr>
      </w:pPr>
    </w:p>
    <w:p>
      <w:pPr>
        <w:ind w:left="420" w:right="180" w:hanging="404"/>
        <w:spacing w:after="0" w:line="261"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10.2 Incremental Term Loan Lender Joinder Agreement and Additional Credit Extension Amendment, dated as of December 20, 2019, by and among</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Ducommun Incorporated, as Borrower, the subsidiaries of the Borrower party thereto, as Guarantors, Bank of America, N.A., as Administrative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Agent, Swingline Lender and an L.C. Issuer, and the lender party thereto. Incorporated by reference to Exhibit 10.1 to Form 8-K filed on December</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20, 2019.</w:t>
        </w:r>
      </w:hyperlink>
    </w:p>
    <w:p>
      <w:pPr>
        <w:spacing w:after="0" w:line="58" w:lineRule="exact"/>
        <w:rPr>
          <w:rFonts w:ascii="Times New Roman" w:cs="Times New Roman" w:eastAsia="Times New Roman" w:hAnsi="Times New Roman"/>
          <w:sz w:val="18"/>
          <w:szCs w:val="18"/>
          <w:u w:val="single" w:color="auto"/>
          <w:color w:val="0000FF"/>
        </w:rPr>
      </w:pPr>
    </w:p>
    <w:p>
      <w:pPr>
        <w:ind w:left="500" w:right="40" w:hanging="485"/>
        <w:spacing w:after="0" w:line="26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10.3 Credit Agreement, dated as of November 21, 2018, among Ducommun Incorporated, certain of its subsidiaries, Bank of America, N.A., as</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administrative agent, swingline lender and issuing bank, and other lenders party thereto. Incorporated by reference to Exhibit 10.1 to Form 8-K filed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on November 26, 2018.</w:t>
        </w:r>
      </w:hyperlink>
    </w:p>
    <w:p>
      <w:pPr>
        <w:spacing w:after="0" w:line="41" w:lineRule="exact"/>
        <w:rPr>
          <w:rFonts w:ascii="Times New Roman" w:cs="Times New Roman" w:eastAsia="Times New Roman" w:hAnsi="Times New Roman"/>
          <w:sz w:val="18"/>
          <w:szCs w:val="18"/>
          <w:u w:val="single" w:color="auto"/>
          <w:color w:val="0000FF"/>
        </w:rPr>
      </w:pPr>
    </w:p>
    <w:p>
      <w:pPr>
        <w:ind w:left="500" w:right="580" w:hanging="485"/>
        <w:spacing w:after="0" w:line="282"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*10.4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Schedule 14a, filed on March 23, 2018.</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*10.5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*10.6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2018.</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*10.7 2020 Employee Stock Purchase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*10.8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2003.</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*10.9 Form of Stock Option Agreement for 2017. Incorporated by reference to Exhibit 10.5 to Form 10-K for the year ended December 31, 2016.</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*10.10 Form of Stock Option Agreement for 2018 and after. Incorporated by reference to Exhibit 4.7 to Form S-8, filed on May 10, 2018.</w:t>
        </w:r>
      </w:hyperlink>
    </w:p>
    <w:p>
      <w:pPr>
        <w:spacing w:after="0" w:line="104" w:lineRule="exact"/>
        <w:rPr>
          <w:sz w:val="20"/>
          <w:szCs w:val="20"/>
          <w:color w:val="auto"/>
        </w:rPr>
      </w:pPr>
    </w:p>
    <w:p>
      <w:pPr>
        <w:ind w:left="580" w:right="540" w:hanging="566"/>
        <w:spacing w:after="0" w:line="282"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*10.11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December 31, 2016.</w:t>
        </w:r>
      </w:hyperlink>
    </w:p>
    <w:p>
      <w:pPr>
        <w:spacing w:after="0" w:line="54" w:lineRule="exact"/>
        <w:rPr>
          <w:sz w:val="20"/>
          <w:szCs w:val="20"/>
          <w:color w:val="auto"/>
        </w:rPr>
      </w:pPr>
    </w:p>
    <w:p>
      <w:pPr>
        <w:ind w:left="580" w:right="120" w:hanging="566"/>
        <w:spacing w:after="0" w:line="282"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*10.12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*10.13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27, 2020.</w:t>
        </w:r>
      </w:hyperlink>
    </w:p>
    <w:p>
      <w:pPr>
        <w:spacing w:after="0" w:line="85"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*10.14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4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*10.15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2020.</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*10.16 Form of Stock Option Agreement for 2020 and after. Incorporated by reference to Exhibit 10.21 to Form 10-Q for the period ended June 27, 2020.</w:t>
        </w:r>
      </w:hyperlink>
    </w:p>
    <w:p>
      <w:pPr>
        <w:spacing w:after="0" w:line="104"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*10.17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June 27, 2020.</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*10.18 Form of Performance Stock Unit Cash-Based Long-Term Incentive Award Agreement for 2022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10.20 to Form 10-Q for the period ended July 2, 2022.</w:t>
        </w:r>
      </w:hyperlink>
    </w:p>
    <w:p>
      <w:pPr>
        <w:spacing w:after="0" w:line="72" w:lineRule="exact"/>
        <w:rPr>
          <w:sz w:val="20"/>
          <w:szCs w:val="20"/>
          <w:color w:val="auto"/>
        </w:rPr>
      </w:pPr>
    </w:p>
    <w:p>
      <w:pPr>
        <w:ind w:left="580" w:right="240" w:hanging="566"/>
        <w:spacing w:after="0" w:line="282"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*10.19 Form of Performance Restricted Stock Unit Cash-Based Long-Term Incentive Award Agreement for 2022 and after. Incorporated by reference to</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Exhibit 10.21 to Form 10-Q for the period ended July 2, 2022.</w:t>
        </w:r>
      </w:hyperlink>
    </w:p>
    <w:p>
      <w:pPr>
        <w:spacing w:after="0" w:line="54"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*10.20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Form 10-K for the year ended December 31, 2009.</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*10.21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*10.22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to Exhibit 99.1 to Form 8-K dated January 27, 2017.</w:t>
        </w:r>
      </w:hyperlink>
    </w:p>
    <w:p>
      <w:pPr>
        <w:spacing w:after="0" w:line="27"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*10.23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person, the address for notice, and the date of the Agreement:</w:t>
        </w:r>
      </w:hyperlink>
    </w:p>
    <w:tbl>
      <w:tblPr>
        <w:tblLayout w:type="fixed"/>
        <w:tblInd w:w="1840" w:type="dxa"/>
        <w:tblCellMar>
          <w:top w:w="0" w:type="dxa"/>
          <w:left w:w="0" w:type="dxa"/>
          <w:bottom w:w="0" w:type="dxa"/>
          <w:right w:w="0" w:type="dxa"/>
        </w:tblCellMar>
      </w:tblPr>
      <w:tr>
        <w:trPr>
          <w:trHeight w:val="194"/>
        </w:trPr>
        <w:tc>
          <w:tcPr>
            <w:tcW w:w="4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Executive Officer</w:t>
            </w:r>
          </w:p>
        </w:tc>
        <w:tc>
          <w:tcPr>
            <w:tcW w:w="14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252"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*10.24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ind w:left="580" w:right="160" w:hanging="566"/>
        <w:spacing w:after="0" w:line="282"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*10.25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2" w:lineRule="exact"/>
        <w:rPr>
          <w:sz w:val="20"/>
          <w:szCs w:val="20"/>
          <w:color w:val="auto"/>
        </w:rPr>
      </w:pPr>
    </w:p>
    <w:p>
      <w:pPr>
        <w:jc w:val="both"/>
        <w:ind w:left="500" w:hanging="485"/>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10.26</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tbl>
      <w:tblPr>
        <w:tblLayout w:type="fixed"/>
        <w:tblInd w:w="0" w:type="dxa"/>
        <w:tblCellMar>
          <w:top w:w="0" w:type="dxa"/>
          <w:left w:w="0" w:type="dxa"/>
          <w:bottom w:w="0" w:type="dxa"/>
          <w:right w:w="0" w:type="dxa"/>
        </w:tblCellMar>
      </w:tblPr>
      <w:tr>
        <w:trPr>
          <w:trHeight w:val="194"/>
        </w:trPr>
        <w:tc>
          <w:tcPr>
            <w:tcW w:w="1800" w:type="dxa"/>
            <w:vAlign w:val="bottom"/>
          </w:tcPr>
          <w:p>
            <w:pPr>
              <w:spacing w:after="0"/>
              <w:rPr>
                <w:sz w:val="16"/>
                <w:szCs w:val="16"/>
                <w:color w:val="auto"/>
              </w:rPr>
            </w:pPr>
          </w:p>
        </w:tc>
        <w:tc>
          <w:tcPr>
            <w:tcW w:w="1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w w:val="99"/>
              </w:rPr>
              <w:t>Director/Officer</w:t>
            </w:r>
          </w:p>
        </w:tc>
        <w:tc>
          <w:tcPr>
            <w:tcW w:w="238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30"/>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31, 1985</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June 1, 2021</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29"/>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230"/>
        </w:trPr>
        <w:tc>
          <w:tcPr>
            <w:tcW w:w="1800" w:type="dxa"/>
            <w:vAlign w:val="bottom"/>
          </w:tcPr>
          <w:p>
            <w:pPr>
              <w:spacing w:after="0"/>
              <w:rPr>
                <w:sz w:val="19"/>
                <w:szCs w:val="19"/>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180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445"/>
        </w:trPr>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21 Subsidiaries of the registrant.</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3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4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23 Consent of Independent Registered Public Accounting Firm.</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1"/>
        </w:trPr>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3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52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8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38" w:lineRule="exact"/>
        <w:rPr>
          <w:sz w:val="20"/>
          <w:szCs w:val="20"/>
          <w:color w:val="auto"/>
        </w:rPr>
      </w:pPr>
    </w:p>
    <w:p>
      <w:pPr>
        <w:ind w:right="140" w:firstLine="44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duly signed below by the following persons on behalf of the registrant and in the capacities indicated on February 16, 2023.</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4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7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 Baldridge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Baldridge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Shirley G. Drazba</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Shirley G. Drazba</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C. Ducommun</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C. Ducommun</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Dean M. Flatt</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 M. Flatt</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Haberland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Haberland</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Sheila G. Kramer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G. Kramer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Samara A. Strycker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Samara A. Strycker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3.3</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November 4,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DUCOMMUN INCORPORATED</w:t>
      </w:r>
    </w:p>
    <w:p>
      <w:pPr>
        <w:spacing w:after="0" w:line="183"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color w:val="auto"/>
        </w:rPr>
        <w:t>Ducommun Incorporated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pursuant to the provisions of Section 109 of the Delaware General Corporation Law, hereby adopts these Amended and Restated Bylaws, which restate, amend and supersede the Bylaws of the Corporation, as previously amended, in their entirety as described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83"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at 2711 Centerville Road, Suite 400, in the City of Wilmington 19808, County of New Castle, and the name of the Registered Agent in charge thereof shall be Corporation Service Company.</w:t>
      </w:r>
    </w:p>
    <w:p>
      <w:pPr>
        <w:spacing w:after="0" w:line="153"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for the transaction of business of the Corporation shall be 200 Sandpointe Avenue, Suite 700, in the City of Santa Ana, County of Orange, State of California. The Board of Directors has full power and authority to change said principal office from one location to another, whether within or outside said City, County or State, by amendment of this Section 2.</w:t>
      </w:r>
    </w:p>
    <w:p>
      <w:pPr>
        <w:spacing w:after="0" w:line="15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an office or offices at such other place or places, either within or without the State of Delaware, as the Board of Directors may from time to time determine as the business of the Corporation may require.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183" w:lineRule="exact"/>
        <w:rPr>
          <w:sz w:val="20"/>
          <w:szCs w:val="20"/>
          <w:color w:val="auto"/>
        </w:rPr>
      </w:pPr>
    </w:p>
    <w:p>
      <w:pPr>
        <w:ind w:right="8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color w:val="auto"/>
        </w:rPr>
        <w:t>. The Annual Meeting of Stockholders shall be held each year on such day, other than a legal holiday, and at such time and place, or by virtual platform, as may be designated by the Board of Directors and stated in the notice of the meeting or in a duly executed waiver of notice thereof, for the purpose of electing Directors and for the transaction of such other business as may be brought before the meeting. If such annual meeting is not held, or the Directors are not elected thereat, Directors may be elected at a special meeting held for that purpose, and it shall be the duty of the Chairman of the Board of Directors, the Chief Executive Officer, the President, any Executive Vice President, any Senior Vice President, any Vice President or the Secretary, upon the demand of any stockholder entitled to vote, to call such special meeting.</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for any purpose or purposes may be called at any time by the Board of Directors or by a majority of the members of the Board of Directors.</w:t>
      </w:r>
    </w:p>
    <w:p>
      <w:pPr>
        <w:spacing w:after="0" w:line="150"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Except as otherwise required by law, notice of meetings of stockholders, annual or special, shall be given to stockholders entitled to vote thereat by the Secretary or an Assistant Secretary or other person charged with that duty not less than ten</w:t>
      </w:r>
    </w:p>
    <w:p>
      <w:pPr>
        <w:sectPr>
          <w:pgSz w:w="11900" w:h="16838" w:orient="portrait"/>
          <w:cols w:equalWidth="0" w:num="1">
            <w:col w:w="11240"/>
          </w:cols>
          <w:pgMar w:left="320" w:top="1391" w:right="339" w:bottom="1440" w:gutter="0" w:footer="0" w:header="0"/>
        </w:sectPr>
      </w:pPr>
    </w:p>
    <w:bookmarkStart w:id="88" w:name="page89"/>
    <w:bookmarkEnd w:id="88"/>
    <w:p>
      <w:pPr>
        <w:ind w:firstLine="8"/>
        <w:spacing w:after="0" w:line="215" w:lineRule="auto"/>
        <w:tabs>
          <w:tab w:leader="none" w:pos="41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more than sixty (60) days before the date of any such meeting. Such notice may be printed, typewritten, or in handwriting, and may be given to any stockholder either personally or by sending a copy of the notice through the mail, or by telegram, charges prepaid, to his address appearing on the books of the Corporation or supplied by him to the Corporation for the purpose of notice. Except as otherwise expressly required by law, no publication of any notice of a meeting of the stockholders shall be required. Every notice of a meeting of the stockholders shall state the place, date and hour of the meeting, and in the case of a special meeting, the purpose or purposes for which the meeting is called.</w:t>
      </w:r>
    </w:p>
    <w:p>
      <w:pPr>
        <w:spacing w:after="0" w:line="152" w:lineRule="exact"/>
        <w:rPr>
          <w:sz w:val="20"/>
          <w:szCs w:val="20"/>
          <w:color w:val="auto"/>
        </w:rPr>
      </w:pPr>
    </w:p>
    <w:p>
      <w:pPr>
        <w:jc w:val="both"/>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the stockholders shall be held at the principal office of the Corporation in the State of California or at such other place within or without the State of Delaware as the Board of Directors may from time to time designate.</w:t>
      </w:r>
    </w:p>
    <w:p>
      <w:pPr>
        <w:spacing w:after="0" w:line="153"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quorum at any meeting of the stockholders shall consist of stockholders holding a majority of the voting power of the shares of this Corporation outstanding and entitled to vote thereat, represented either in person or by proxy, except as otherwise specifically provided by law or in the Certificate of Incorporation. In the absence of a quorum, any meeting of stockholders may be adjourned from time to time by the vote of a majority of the voting stock, the holders of which are either present in person or represented by proxy thereat. The stockholders present at a meeting at which a quorum is present may continue to do business until adjournment, notwithstanding the withdrawal of enough stockholders to leave less than a quorum.</w:t>
      </w:r>
    </w:p>
    <w:p>
      <w:pPr>
        <w:spacing w:after="0" w:line="154"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When a meeting is adjourned for thirty (30) days or more, notice of the adjourned meeting shall be given as in the case of the original meeting, but when a meeting is adjourned for less than thirty (30) days it is not necessary to give any notice of the time and place of the adjourned meeting or of the business to be transacted thereat other than by announcement at the meeting at which the adjournment is taken. At any such adjourned meeting at which a quorum shall be present, any business may be transacted which might have been transacted at the meeting as originally noticed.</w:t>
      </w:r>
    </w:p>
    <w:p>
      <w:pPr>
        <w:spacing w:after="0" w:line="152" w:lineRule="exact"/>
        <w:rPr>
          <w:sz w:val="20"/>
          <w:szCs w:val="20"/>
          <w:color w:val="auto"/>
        </w:rPr>
      </w:pPr>
    </w:p>
    <w:p>
      <w:pPr>
        <w:ind w:right="10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Chairman of the Board of Directors, or, in his absence, the Chief Executive Officer, or in the absence of the Chairman of the Board of Directors and the Chief Executive Officer, the President, the Executive Vice President, a Senior Vice President or a Vice President shall call meetings of stockholders to order, and shall act as Chairman of such meetings. In the absence of the Chairman of the Board of Directors, the Chief Executive Officer, the President, the Executive Vice President, any Senior Vice President and the Vice Presidents, the stockholders shall appoint a Chairman for such meeting. The Secretary of the Corporation shall act as Secretary at all meetings of the stockholders, but in the absence of the Secretary at any meeting of the stockholders, the presiding officer may appoint any person to act as Secretary of the meeting.</w:t>
      </w:r>
    </w:p>
    <w:p>
      <w:pPr>
        <w:spacing w:after="0" w:line="15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19"/>
          <w:szCs w:val="19"/>
          <w:u w:val="single" w:color="auto"/>
          <w:color w:val="auto"/>
        </w:rPr>
        <w:t>Voting</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right="300" w:firstLine="644"/>
        <w:spacing w:after="0" w:line="225" w:lineRule="auto"/>
        <w:tabs>
          <w:tab w:leader="none" w:pos="17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stockholder shall, at each meeting of the stockholders, be entitled to vote in person or by proxy each share or fractional share of the stock of the Corporation having voting rights on the matter in question and which shall have been held by him and registered in his name on the books of the Corporation:</w:t>
      </w:r>
    </w:p>
    <w:p>
      <w:pPr>
        <w:spacing w:after="0" w:line="152" w:lineRule="exact"/>
        <w:rPr>
          <w:rFonts w:ascii="Times New Roman" w:cs="Times New Roman" w:eastAsia="Times New Roman" w:hAnsi="Times New Roman"/>
          <w:sz w:val="22"/>
          <w:szCs w:val="22"/>
          <w:color w:val="auto"/>
        </w:rPr>
      </w:pPr>
    </w:p>
    <w:p>
      <w:pPr>
        <w:ind w:left="1300" w:right="860" w:firstLine="652"/>
        <w:spacing w:after="0" w:line="236" w:lineRule="auto"/>
        <w:tabs>
          <w:tab w:leader="none" w:pos="236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fixed pursuant to Article II, Section 11 of these Bylaws as the record date for the determination of stockholders entitled to notice of and to vote at such meeting, or</w:t>
      </w:r>
    </w:p>
    <w:p>
      <w:pPr>
        <w:sectPr>
          <w:pgSz w:w="11900" w:h="16838" w:orient="portrait"/>
          <w:cols w:equalWidth="0" w:num="1">
            <w:col w:w="11200"/>
          </w:cols>
          <w:pgMar w:left="320" w:top="1395" w:right="379" w:bottom="1440" w:gutter="0" w:footer="0" w:header="0"/>
        </w:sectPr>
      </w:pPr>
    </w:p>
    <w:bookmarkStart w:id="89" w:name="page90"/>
    <w:bookmarkEnd w:id="89"/>
    <w:p>
      <w:pPr>
        <w:ind w:left="1300" w:right="40" w:firstLine="652"/>
        <w:spacing w:after="0" w:line="225" w:lineRule="auto"/>
        <w:tabs>
          <w:tab w:leader="none" w:pos="242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such record date shall have been so fixed, then (a) at the close of business on the day next preceding the day on which notice of the meeting shall be given, or (b) if notice of the meeting shall be waived, at the close of business on the day next preceding the day on which the meeting shall be held.</w:t>
      </w:r>
    </w:p>
    <w:p>
      <w:pPr>
        <w:spacing w:after="0" w:line="152" w:lineRule="exact"/>
        <w:rPr>
          <w:rFonts w:ascii="Times New Roman" w:cs="Times New Roman" w:eastAsia="Times New Roman" w:hAnsi="Times New Roman"/>
          <w:sz w:val="22"/>
          <w:szCs w:val="22"/>
          <w:color w:val="auto"/>
        </w:rPr>
      </w:pPr>
    </w:p>
    <w:p>
      <w:pPr>
        <w:ind w:left="660" w:firstLine="644"/>
        <w:spacing w:after="0" w:line="212" w:lineRule="auto"/>
        <w:tabs>
          <w:tab w:leader="none" w:pos="17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its own stock belonging to the Corporation shall not be entitled to vote. Persons holding in a fiduciary capacity stock of the Corporation shall be entitled to vote such stock so held. A person whose stock is pledged shall be entitled to vote such stock, unless in the transfer by the pledger on the books of the Corporation he shall have expressly empowered the pledgee to vote thereon, in which case only the pledgee, or his proxy, may represent such stock and vote thereon. 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156" w:lineRule="exact"/>
        <w:rPr>
          <w:rFonts w:ascii="Times New Roman" w:cs="Times New Roman" w:eastAsia="Times New Roman" w:hAnsi="Times New Roman"/>
          <w:sz w:val="22"/>
          <w:szCs w:val="22"/>
          <w:color w:val="auto"/>
        </w:rPr>
      </w:pPr>
    </w:p>
    <w:p>
      <w:pPr>
        <w:ind w:left="660" w:firstLine="644"/>
        <w:spacing w:after="0" w:line="209" w:lineRule="auto"/>
        <w:tabs>
          <w:tab w:leader="none" w:pos="175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voting rights may be exercised by the stockholder entitled thereto in person or by his proxy appointed by an instrument in writing or by a transmission permitted by law, including Rule 14a-19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subscribed by such stockholder or by his attorney thereunto authorized and delivered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any meeting of the stockholders all matters other than the election of Directors, except as otherwise provided in the Certificate of Incorporation, these Bylaws or by law, shall be decided by the vote of majority in voting interest of the stockholders present in person or by proxy and entitled to vote thereat and thereon, a quorum being present. The vote at any meeting of the stockholders on any question need not be by ballot, unless so directed by the Chairman of the meeting. On a vote by ballot each ballot shall be signed by the stockholder voting, or by his proxy, if there be such proxy, and it shall state the number of shares voted. Except as otherwise provided in the Certificate of Incorporation, Directors shall be elected by a plurality of the votes cast by the holders of the shares present in person or represented by proxy at the meeting and entitled to vote for the election of such Directors.</w:t>
      </w:r>
    </w:p>
    <w:p>
      <w:pPr>
        <w:spacing w:after="0" w:line="15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In advance of any meeting of stockholders, the Board of Directors may appoint inspectors of election to act at such meeting or any adjournment thereof. If inspectors of election be not so appointed, the Chairman of any such meeting may make such appointment at the meeting. The number of inspectors shall be either one or three.</w:t>
      </w:r>
    </w:p>
    <w:p>
      <w:pPr>
        <w:spacing w:after="0" w:line="152" w:lineRule="exact"/>
        <w:rPr>
          <w:sz w:val="20"/>
          <w:szCs w:val="20"/>
          <w:color w:val="auto"/>
        </w:rPr>
      </w:pPr>
    </w:p>
    <w:p>
      <w:pPr>
        <w:ind w:right="16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Consent of Absentees</w:t>
      </w:r>
      <w:r>
        <w:rPr>
          <w:rFonts w:ascii="Times New Roman" w:cs="Times New Roman" w:eastAsia="Times New Roman" w:hAnsi="Times New Roman"/>
          <w:sz w:val="22"/>
          <w:szCs w:val="22"/>
          <w:color w:val="auto"/>
        </w:rPr>
        <w:t>. The transactions of any meeting of stockholders, either annual or special, however called and noticed, shall be as valid as though had at a meeting duly held after regular call and notice, if a quorum be present either in person or by proxy, and if, either before or after the meeting, each of the stockholders entitled to vote, not present in person or by proxy, signs a written waiver of notice. All such waivers shall be filed with the corporate records or made a part of the minutes of the meeting. Attendance of a person at a meeting of stockholders shall constitute a waiver of notice of such meeting, except when the stockholder attends the meeting for the express purpose of objecting, at the beginning of the meeting, to the transaction of any business because the meeting is not lawfully called or convened.</w:t>
      </w:r>
    </w:p>
    <w:p>
      <w:pPr>
        <w:sectPr>
          <w:pgSz w:w="11900" w:h="16838" w:orient="portrait"/>
          <w:cols w:equalWidth="0" w:num="1">
            <w:col w:w="11200"/>
          </w:cols>
          <w:pgMar w:left="320" w:top="1395" w:right="379" w:bottom="1440" w:gutter="0" w:footer="0" w:header="0"/>
        </w:sectPr>
      </w:pPr>
    </w:p>
    <w:bookmarkStart w:id="90" w:name="page91"/>
    <w:bookmarkEnd w:id="90"/>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Record Date and Closing Stock Books</w:t>
      </w:r>
      <w:r>
        <w:rPr>
          <w:rFonts w:ascii="Times New Roman" w:cs="Times New Roman" w:eastAsia="Times New Roman" w:hAnsi="Times New Roman"/>
          <w:sz w:val="22"/>
          <w:szCs w:val="22"/>
          <w:color w:val="auto"/>
        </w:rPr>
        <w:t>. The Board of Directors may fix a record date for the determination of the stockholders entitled to notice of and to vote at any meeting of stockholders, or for the determination of the stockholders entitled to receive any dividend or distribution or any allotment of rights, or to exercise rights in respect to any change, conversion or exchange of shares. The record date so fixed shall not be more than sixty (60) nor less than ten (10) days before the date of any such meeting, nor more than sixty (60) days prior to any other action. When a record date is so fixed, only stockholders who are such of record on that date are entitled to notice of and to vote at the meeting or to receive the dividend, distribution, or allotment of rights, or to exercise the rights, as the case may be, notwithstanding any transfer of any shares on the books of the Corporation after the record date. The Board of Directors may close the books of the Corporation against transfers of shares during the whole or any part of a period not more than sixty (60) days prior to the date of a stockholders’ meeting, the date when the right to any dividend, distribution, or allotment of rights vests, or the effective date of any change, conversion or exchange of shares. A determination of stockholders entitled to notice of or to vote at a meeting of stockholders shall apply to any adjournment of such meeting; provided, however, that the Board of Directors may fix a new record date for the adjourned meeting.</w:t>
      </w:r>
    </w:p>
    <w:p>
      <w:pPr>
        <w:spacing w:after="0" w:line="160"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The Chairman of the Board of Directors shall have complete authority to establish rules of conduct governing all meetings of stockholders. These rules may include, but shall not be limited to, rules related to attendance, questions from the audience and similar matters. Notwithstanding the above, the nomination at any meeting of stockholders of any person to serve as a Director shall not be valid unless (i) the nomination of such person has been approved by resolution of the Board of Directors of the Corporation, or (ii) notice of the nomination of such person has been delivered to the Secretary of the Corporation in full compliance with the procedures set forth in Article II, Section 13 hereof.</w:t>
      </w:r>
    </w:p>
    <w:p>
      <w:pPr>
        <w:spacing w:after="0" w:line="15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right="40" w:firstLine="644"/>
        <w:spacing w:after="0" w:line="226" w:lineRule="auto"/>
        <w:tabs>
          <w:tab w:leader="none" w:pos="176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properly brought before the annual meeting of stockholders, business must be either (i) specified in the notice of annual meeting (or any supplement or amendment thereto) given by or at the direction of the Board of Directors,</w:t>
      </w:r>
    </w:p>
    <w:p>
      <w:pPr>
        <w:spacing w:after="0" w:line="1" w:lineRule="exact"/>
        <w:rPr>
          <w:rFonts w:ascii="Times New Roman" w:cs="Times New Roman" w:eastAsia="Times New Roman" w:hAnsi="Times New Roman"/>
          <w:sz w:val="21"/>
          <w:szCs w:val="21"/>
          <w:color w:val="auto"/>
        </w:rPr>
      </w:pPr>
    </w:p>
    <w:p>
      <w:pPr>
        <w:ind w:left="660" w:right="60" w:hanging="4"/>
        <w:spacing w:after="0" w:line="208" w:lineRule="auto"/>
        <w:tabs>
          <w:tab w:leader="none" w:pos="9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brought before the annual meeting by or at the direction of the Board of Directors, (iii) brought before the meeting in accordance with Rule 14a-8 under the Exchange Act, or (iv) otherwise properly brought before the annual meeting by a stockholder of record of the Corporation at the time the notice provided for in this Section 13(b) is delivered to the Secretary of the Corporation, who is entitled to vote at the annual meeting and who complies with the notice procedures set forth in this Section 13(b). No business (including nominations) shall be conducted at the annual meeting except in accordance with the procedures set forth in this Article II, Section 13. The officer of the Corporation presiding at an annual meeting shall, if the facts warrant, determine and declare to the annual meeting that business (including nominations) was not properly brought before the annual meeting in accordance with the provisions of this Article II, Section 13, and if he should so determine, he shall so declare to the annual meeting and any such business (including nominations) not properly brought before the meeting shall not be transacted.</w:t>
      </w:r>
    </w:p>
    <w:p>
      <w:pPr>
        <w:spacing w:after="0" w:line="159" w:lineRule="exact"/>
        <w:rPr>
          <w:rFonts w:ascii="Times New Roman" w:cs="Times New Roman" w:eastAsia="Times New Roman" w:hAnsi="Times New Roman"/>
          <w:sz w:val="22"/>
          <w:szCs w:val="22"/>
          <w:color w:val="auto"/>
        </w:rPr>
      </w:pPr>
    </w:p>
    <w:p>
      <w:pPr>
        <w:ind w:left="660" w:right="20" w:firstLine="644"/>
        <w:spacing w:after="0" w:line="215" w:lineRule="auto"/>
        <w:tabs>
          <w:tab w:leader="none" w:pos="177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stockholder pursuant to clause (iv) of Section 13(a), the stockholder must have given timely notice thereof in writing to the Secretary of the Corporation and any such nominations or proposed business must constitute a proper matter for stockholder action. To be timely, a stockholder’s notice must be delivered to, or mailed to and received by, the Secretary at the principal executive offices of the Corporation not later than the close of business on the ninetieth (90th) day nor earlier than the close of business</w:t>
      </w:r>
    </w:p>
    <w:p>
      <w:pPr>
        <w:sectPr>
          <w:pgSz w:w="11900" w:h="16838" w:orient="portrait"/>
          <w:cols w:equalWidth="0" w:num="1">
            <w:col w:w="11240"/>
          </w:cols>
          <w:pgMar w:left="320" w:top="1395" w:right="339" w:bottom="1440" w:gutter="0" w:footer="0" w:header="0"/>
        </w:sectPr>
      </w:pPr>
    </w:p>
    <w:bookmarkStart w:id="91" w:name="page92"/>
    <w:bookmarkEnd w:id="91"/>
    <w:p>
      <w:pPr>
        <w:spacing w:after="0" w:line="221" w:lineRule="auto"/>
        <w:rPr>
          <w:sz w:val="20"/>
          <w:szCs w:val="20"/>
          <w:color w:val="auto"/>
        </w:rPr>
      </w:pPr>
      <w:r>
        <w:rPr>
          <w:rFonts w:ascii="Times New Roman" w:cs="Times New Roman" w:eastAsia="Times New Roman" w:hAnsi="Times New Roman"/>
          <w:sz w:val="21"/>
          <w:szCs w:val="21"/>
          <w:color w:val="auto"/>
        </w:rPr>
        <w:t>on the one hundred twentieth (120th) day prior to the first anniversary of the preceding year’s annual meeting (provided, however, that in the event that the date of the annual meeting is more than thirty five (35) days before or more than seventy (70)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advanced or delayed annual meeting is less than one hundred (100) days prior to the date of such annual meeting, the tenth (10th) day following the day on which public announcement of the date of such meeting is first made by the Corporation). In no event shall the adjournment or postponement of an annual meeting or the announcement thereof commence a new time period (or extend any time period) for the giving of a stockholder’s notice as described above. Such stockholder’s notice shall: (i) as to each person whom the stockholder proposes to nominate for election as a director, set forth (1) all information relating to such person that is required to be disclosed in solicitations of proxies for election of directors in an election contest, or is otherwise required, in each case pursuant to Regulation 14A under the Exchange Act (and such person’s written consent to being named in the proxy statement and accompanying proxy card as a nominee and affirmation of such person’s intent to serve as a director for the full term if elected) and (2) a description of all direct and indirect compensation and other material monetary agreements, arrangements and understandings during the past three years, and any other material relationships, between or among such stockholder or beneficial owner, if any,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if any, were the “registrant” for purposes of such rule and the nominee were a director or executive officer of such registrant; (ii) as to any other business that the stockholder proposes to bring before the meeting, set forth (1)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(2) a description of all agreements, arrangements and understandings between such stockholder and beneficial owner, if any, and any other person or persons (including their names) in connection with the proposal of such business by such stockholder; (iii) as to the stockholder giving the notice and the beneficial owner, if any, on whose behalf the nomination or proposal is made, set forth (1) the name and address of such stockholder, as they appear on the Corporation’s books, and of such beneficial owner, (2) the class and number of shares of capital stock of the Corporation which are owned beneficially and of record by such stockholder and such beneficial owner, (3) a representation (I) that the stockholder is a holder of record of stock of the Corporation entitled to vote at such meeting and intends to appear in person or by proxy at the meeting to propose such business or nomination and (II) whether the stockholder or such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from stockholders in support of such proposal or nomination, (4) any derivative positions held or beneficially held, directly or indirectly, by or on behalf of such stockholder or beneficial owner and whether and the extent to which any hedging or other transaction or series of transactions has been entered into or any other agreement, arrangement or understanding (including any short position, profit interest, option or any borrowing or lending of shares) has been</w:t>
      </w:r>
    </w:p>
    <w:p>
      <w:pPr>
        <w:sectPr>
          <w:pgSz w:w="11900" w:h="16838" w:orient="portrait"/>
          <w:cols w:equalWidth="0" w:num="1">
            <w:col w:w="10580"/>
          </w:cols>
          <w:pgMar w:left="980" w:top="1395" w:right="339" w:bottom="1440" w:gutter="0" w:footer="0" w:header="0"/>
        </w:sectPr>
      </w:pPr>
    </w:p>
    <w:bookmarkStart w:id="92" w:name="page93"/>
    <w:bookmarkEnd w:id="92"/>
    <w:p>
      <w:pPr>
        <w:ind w:left="4" w:right="20"/>
        <w:spacing w:after="0" w:line="217" w:lineRule="auto"/>
        <w:rPr>
          <w:sz w:val="20"/>
          <w:szCs w:val="20"/>
          <w:color w:val="auto"/>
        </w:rPr>
      </w:pPr>
      <w:r>
        <w:rPr>
          <w:rFonts w:ascii="Times New Roman" w:cs="Times New Roman" w:eastAsia="Times New Roman" w:hAnsi="Times New Roman"/>
          <w:sz w:val="21"/>
          <w:szCs w:val="21"/>
          <w:color w:val="auto"/>
        </w:rPr>
        <w:t>made, directly or indirectly, by or on behalf of such stockholder or beneficial owner, the effect or intent of which is to mitigate loss to or manage or share risk or benefit of changes in the value or price of shares of the capital stock of the Corporation for, or to increase or decrease the voting power or economic interest of, such stockholder or any such beneficial owner with respect to any share of capital stock of the Corporation, (5) a description of any proxy, contract, arrangement, understanding or relationship pursuant to which such stockholder or any such beneficial owner has a right to vote any shares of capital stock of the Corporation or influence the voting over any such shares; (6) any rights to dividends on the shares of the Corporation owned beneficially, directly or indirectly, by such stockholder or any such beneficial owner that are separated or separable from the underlying shares of capital stock of the Corporation; (7) any performance-related fees (other than an asset-based fee) that such stockholder or any such beneficial owner is entitled to based on any increase or decrease in the value of shares of capital stock of the Corporation or any derivative position; and</w:t>
      </w:r>
    </w:p>
    <w:p>
      <w:pPr>
        <w:spacing w:after="0" w:line="1" w:lineRule="exact"/>
        <w:rPr>
          <w:sz w:val="20"/>
          <w:szCs w:val="20"/>
          <w:color w:val="auto"/>
        </w:rPr>
      </w:pPr>
    </w:p>
    <w:p>
      <w:pPr>
        <w:ind w:left="4" w:right="60" w:hanging="4"/>
        <w:spacing w:after="0" w:line="219" w:lineRule="auto"/>
        <w:tabs>
          <w:tab w:leader="none" w:pos="31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known by such stockholder or beneficial owner giving the notice, the name and address of any other stockholder or beneficial owner supporting the nomination or proposal of other business on the date of such stockholder’s or beneficial owner’s notice, if any, as of the date of such notice, including without limitation any such interests referred to in the foregoing clauses (1) through (8) held by members of such stockholder’s or any such beneficial owner’s immediate family sharing the same household; and (iv) with respect to each nominee for election as a director, include a completed and signed questionnaire, representation and agreement required by Section 13 of Article III of these Bylaws. The Corporation may require any proposed nominee to furnish such other information as it may reasonably require to determine the eligibility of such proposed nominee to serve as a director of the Corporation, including any information that could be material to a reasonable stockholder’s understanding of the independence, or lack thereof, of such nominee.</w:t>
      </w:r>
    </w:p>
    <w:p>
      <w:pPr>
        <w:spacing w:after="0" w:line="152" w:lineRule="exact"/>
        <w:rPr>
          <w:rFonts w:ascii="Times New Roman" w:cs="Times New Roman" w:eastAsia="Times New Roman" w:hAnsi="Times New Roman"/>
          <w:sz w:val="21"/>
          <w:szCs w:val="21"/>
          <w:color w:val="auto"/>
        </w:rPr>
      </w:pPr>
    </w:p>
    <w:p>
      <w:pPr>
        <w:ind w:left="4" w:right="20" w:firstLine="644"/>
        <w:spacing w:after="0" w:line="211" w:lineRule="auto"/>
        <w:tabs>
          <w:tab w:leader="none" w:pos="10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 meeting, including with respect to nominations of directors, shall, in order for such notice to be considered timely, further update and supplement such notice, if necessary, so that the information provided or required to be provided in such notice under this Section 13 shall be true and correct as of the record date for the meeting and as of the date that is ten (10) business days prior to the date of the meeting or any adjournment or postponement thereof, and such update and supplement shall be delivered in writing to the Secretary at the principal executive offices of the Corporation not later than ten (10)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51" w:lineRule="exact"/>
        <w:rPr>
          <w:rFonts w:ascii="Times New Roman" w:cs="Times New Roman" w:eastAsia="Times New Roman" w:hAnsi="Times New Roman"/>
          <w:sz w:val="22"/>
          <w:szCs w:val="22"/>
          <w:color w:val="auto"/>
        </w:rPr>
      </w:pPr>
    </w:p>
    <w:p>
      <w:pPr>
        <w:ind w:left="4" w:firstLine="644"/>
        <w:spacing w:after="0" w:line="211" w:lineRule="auto"/>
        <w:tabs>
          <w:tab w:leader="none" w:pos="11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13 with respect to any nomination proposed to be made at a meeting, each stockholder providing notice as to nominations pursuant to this Section 13 shall comply with all applicable requirements of the Exchange Act with respect to any such nominations. Notwithstanding the foregoing provisions of this Section 13, unless otherwise required by law, (i) no such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 and (ii) if such stockholder (1) provides notice pursuant to Rule 14a-19(b) promulgated under the Exchange Act and (2) subsequently fails to comply with the requirements of Rule 14a-19(a)(2) and Rule 14a-19(a)(3) promulgated under the Exchange Act, including the</w:t>
      </w:r>
    </w:p>
    <w:p>
      <w:pPr>
        <w:sectPr>
          <w:pgSz w:w="11900" w:h="16838" w:orient="portrait"/>
          <w:cols w:equalWidth="0" w:num="1">
            <w:col w:w="10584"/>
          </w:cols>
          <w:pgMar w:left="976" w:top="1395" w:right="339" w:bottom="1440" w:gutter="0" w:footer="0" w:header="0"/>
        </w:sectPr>
      </w:pPr>
    </w:p>
    <w:bookmarkStart w:id="93" w:name="page94"/>
    <w:bookmarkEnd w:id="93"/>
    <w:p>
      <w:pPr>
        <w:ind w:left="660" w:right="100"/>
        <w:spacing w:after="0" w:line="217" w:lineRule="auto"/>
        <w:rPr>
          <w:sz w:val="20"/>
          <w:szCs w:val="20"/>
          <w:color w:val="auto"/>
        </w:rPr>
      </w:pPr>
      <w:r>
        <w:rPr>
          <w:rFonts w:ascii="Times New Roman" w:cs="Times New Roman" w:eastAsia="Times New Roman" w:hAnsi="Times New Roman"/>
          <w:sz w:val="22"/>
          <w:szCs w:val="22"/>
          <w:color w:val="auto"/>
        </w:rPr>
        <w:t>provision to the Corporation of notices required thereunder in a timely manner, then the Corporation shall disregard any proxies or votes solicited for such stockholder’s director nominees. Upon request by the Corporation, if any such stockholder provides notice 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52" w:lineRule="exact"/>
        <w:rPr>
          <w:sz w:val="20"/>
          <w:szCs w:val="20"/>
          <w:color w:val="auto"/>
        </w:rPr>
      </w:pPr>
    </w:p>
    <w:p>
      <w:pPr>
        <w:ind w:left="660" w:firstLine="644"/>
        <w:spacing w:after="0" w:line="222" w:lineRule="auto"/>
        <w:tabs>
          <w:tab w:leader="none" w:pos="176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(i)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 w:lineRule="exact"/>
        <w:rPr>
          <w:rFonts w:ascii="Times New Roman" w:cs="Times New Roman" w:eastAsia="Times New Roman" w:hAnsi="Times New Roman"/>
          <w:sz w:val="21"/>
          <w:szCs w:val="21"/>
          <w:color w:val="auto"/>
        </w:rPr>
      </w:pPr>
    </w:p>
    <w:p>
      <w:pPr>
        <w:ind w:left="660" w:right="20" w:hanging="4"/>
        <w:spacing w:after="0" w:line="208" w:lineRule="auto"/>
        <w:tabs>
          <w:tab w:leader="none" w:pos="9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shall mean, when used with respect to securities of the Corporation owned by any stockholder, (1) any beneficial owner of any securities of the Corporation owned of record or beneficially by such stockholder, including any of such person’s associates or affiliates, (2) any person acting in concert (pursuant to any agreement, arrangement, understanding or otherwise, whether written or oral) with such stockholder or (3) any person directly or indirectly controlling, controlled by or under common control with such stockholder and (iii) “derivative position” shall mean any option, warrant, convertible security, stock appreciation right, swap or similar right or agreement, arrangement or understanding with an exercise or conversion privilege or a settlement payment or mechanism at a price related to any class or series of capital stock of the Corporation or with a value derived in whole or in part from the value of any class or series of capital stock of the Corporation, or which is intended to increase or decrease (or has the effect of increasing or decreasing) the voting power of any person with respect to the shares of any class or series of capital stock of the Corporation, whether or not such instrument or right or agreement shall be subject to settlement in the underlying class or series of capital stock of the Corporation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18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1(a).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corporate powers, business and property of this Corporation shall be exercised, conducted and controlled by a Board of Directors. In addition to the powers and authorities expressly conferred upon it by these Bylaws, the Board may exercise all such powers and do all such lawful acts and things as are not by statute or by these Bylaws directed or required to be exercised or done by the stockholders.</w:t>
      </w:r>
    </w:p>
    <w:p>
      <w:pPr>
        <w:spacing w:after="0" w:line="152"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1(b). </w:t>
      </w:r>
      <w:r>
        <w:rPr>
          <w:rFonts w:ascii="Times New Roman" w:cs="Times New Roman" w:eastAsia="Times New Roman" w:hAnsi="Times New Roman"/>
          <w:sz w:val="22"/>
          <w:szCs w:val="22"/>
          <w:u w:val="single" w:color="auto"/>
          <w:color w:val="auto"/>
        </w:rPr>
        <w:t>Minimum and Maximum Number</w:t>
      </w:r>
      <w:r>
        <w:rPr>
          <w:rFonts w:ascii="Times New Roman" w:cs="Times New Roman" w:eastAsia="Times New Roman" w:hAnsi="Times New Roman"/>
          <w:sz w:val="22"/>
          <w:szCs w:val="22"/>
          <w:color w:val="auto"/>
        </w:rPr>
        <w:t>. The authorized number of Directors of this Corporation shall not be less than six (6) nor more than nine (9) until changed by an amendment of this Bylaw; the exact number of Directors shall be fixed, within the limits specified in this Section 1(b), from time to time solely by resolution adopted by the affirmative vote of a majority of the total number of Directors then authorized.</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In case of a vacancy in the Directors through death, resignation, disqualification, or other cause, the remaining Directors, though less than a quorum, by affirmative vote of a majority thereof, or the sole remaining Director, may elect a successor or successors to hold office for the unexpired portion of the term of the Director whose place shall be vacant, and until the election of his successor.</w:t>
      </w:r>
    </w:p>
    <w:p>
      <w:pPr>
        <w:spacing w:after="0" w:line="152" w:lineRule="exact"/>
        <w:rPr>
          <w:sz w:val="20"/>
          <w:szCs w:val="20"/>
          <w:color w:val="auto"/>
        </w:rPr>
      </w:pPr>
    </w:p>
    <w:p>
      <w:pPr>
        <w:jc w:val="both"/>
        <w:ind w:right="5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Place of Meeting</w:t>
      </w:r>
      <w:r>
        <w:rPr>
          <w:rFonts w:ascii="Times New Roman" w:cs="Times New Roman" w:eastAsia="Times New Roman" w:hAnsi="Times New Roman"/>
          <w:sz w:val="21"/>
          <w:szCs w:val="21"/>
          <w:color w:val="auto"/>
        </w:rPr>
        <w:t>. The Directors may hold their meetings and have an office and keep the books of the Corporation in such place or places within or without the State of Delaware as the Board may from time to time determine.</w:t>
      </w:r>
    </w:p>
    <w:p>
      <w:pPr>
        <w:sectPr>
          <w:pgSz w:w="11900" w:h="16838" w:orient="portrait"/>
          <w:cols w:equalWidth="0" w:num="1">
            <w:col w:w="11220"/>
          </w:cols>
          <w:pgMar w:left="320" w:top="1395" w:right="359" w:bottom="1440" w:gutter="0" w:footer="0" w:header="0"/>
        </w:sectPr>
      </w:pPr>
    </w:p>
    <w:bookmarkStart w:id="94" w:name="page95"/>
    <w:bookmarkEnd w:id="94"/>
    <w:p>
      <w:pPr>
        <w:ind w:left="100" w:right="380" w:firstLine="352"/>
        <w:spacing w:after="0" w:line="217" w:lineRule="auto"/>
        <w:rPr>
          <w:sz w:val="20"/>
          <w:szCs w:val="20"/>
          <w:color w:val="auto"/>
        </w:rPr>
      </w:pPr>
      <w:r>
        <w:rPr>
          <w:rFonts w:ascii="Times New Roman" w:cs="Times New Roman" w:eastAsia="Times New Roman" w:hAnsi="Times New Roman"/>
          <w:sz w:val="22"/>
          <w:szCs w:val="22"/>
          <w:color w:val="auto"/>
        </w:rPr>
        <w:t xml:space="preserve">Section 4(a).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By resolution and notice thereof to all the Directors at the time in office, the Board of Directors may provide that regular meetings of said Board shall be held at stated intervals and at a place to be fixed in such resolution. In case such regular meetings are provided for, it shall not be necessary to give notice of any such meetings, or of the business to be transacted. A meeting of the Board of Directors may be held without notice immediately after the Annual Meeting of Stockholders.</w:t>
      </w:r>
    </w:p>
    <w:p>
      <w:pPr>
        <w:spacing w:after="0" w:line="152" w:lineRule="exact"/>
        <w:rPr>
          <w:sz w:val="20"/>
          <w:szCs w:val="20"/>
          <w:color w:val="auto"/>
        </w:rPr>
      </w:pPr>
    </w:p>
    <w:p>
      <w:pPr>
        <w:ind w:left="100" w:right="140" w:firstLine="352"/>
        <w:spacing w:after="0" w:line="210" w:lineRule="auto"/>
        <w:rPr>
          <w:sz w:val="20"/>
          <w:szCs w:val="20"/>
          <w:color w:val="auto"/>
        </w:rPr>
      </w:pPr>
      <w:r>
        <w:rPr>
          <w:rFonts w:ascii="Times New Roman" w:cs="Times New Roman" w:eastAsia="Times New Roman" w:hAnsi="Times New Roman"/>
          <w:sz w:val="22"/>
          <w:szCs w:val="22"/>
          <w:color w:val="auto"/>
        </w:rPr>
        <w:t xml:space="preserve">Section 4(b).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Chairman of the Board of Directors, the Chief Executive Officer, any two Vice Presidents, any two Directors, or by the sole remaining Director. Written notice of the time and place of special meetings shall be delivered personally to each Director or sent to each Director by email, mail or other form of written communication, charges prepaid, addressed at his business address or his residence address, as either may be shown upon the records of the Corporation, or if not so shown, or not readily ascertainable, at the principal office of the Corporation. In case such notice is delivered personally it shall be delivered at least twenty-four hours prior to the time of the holding of the meeting. In case such notice is sent by telegram, facsimile or e-mail, it shall be transmitted at least twenty-four hours prior to the time of the holding of the meeting. In case such notice is mailed, it shall be deposited in the United States mail at least sixty hours prior to the time of the holding of the meeting. Except where otherwise required by law or by these Bylaws, notice of the purpose of a special meeting need not be given. Notice of any meeting of the Board of Directors shall not be required to be given to any Director who shall have waived such notice and such notice shall be deemed to have been waived by any Director who is present at such meeting.</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authorized number of Directors shall constitute a quorum for the transaction of business, but if at any meeting of the Board there shall be less than a quorum present, a majority of those present may adjourn the meeting from time to time. Every act or decision done or made by a majority of the Directors present at a meeting duly held at which a quorum is present shall be regarded as the act of the Board of Directors, unless a greater number be required by law or by the Certificate of Incorporation.</w:t>
      </w:r>
    </w:p>
    <w:p>
      <w:pPr>
        <w:spacing w:after="0" w:line="152"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Board of Directors may be taken without a meeting if all members of the Board shall individually or collectively consent in writing to such action and such written consent or consents shall be filed with the minutes of the proceedings of the Board. Such action by written consent shall have the same force and effect as a unanimous vote of the Directors.</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Unless otherwise provided by the Certificate of Incorporation, the Board of Directors shall have authority to fix the compensation of Directors. Directors may be paid a fixed sum for attendance at each meeting of the Board of Directors and may be paid a stated compensation for serving as Directors. Directors may also be paid their expenses, if any, for attending each meeting of the Board of Directors. No payments to Directors shall preclude any Director from serving the Corporation in any other capacity and receiving compensation therefor.</w:t>
      </w:r>
    </w:p>
    <w:p>
      <w:pPr>
        <w:spacing w:after="0" w:line="15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The Board of Directors may elect a Lead Director to preside at all meetings of the Board of Directors at which the Chairman of the Board is not present and to perform such other duties and responsibilities as the Board of Directors may determine.</w:t>
      </w:r>
    </w:p>
    <w:p>
      <w:pPr>
        <w:spacing w:after="0" w:line="153" w:lineRule="exact"/>
        <w:rPr>
          <w:sz w:val="20"/>
          <w:szCs w:val="20"/>
          <w:color w:val="auto"/>
        </w:rPr>
      </w:pPr>
    </w:p>
    <w:p>
      <w:pPr>
        <w:ind w:right="2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Presiding Officers</w:t>
      </w:r>
      <w:r>
        <w:rPr>
          <w:rFonts w:ascii="Times New Roman" w:cs="Times New Roman" w:eastAsia="Times New Roman" w:hAnsi="Times New Roman"/>
          <w:sz w:val="22"/>
          <w:szCs w:val="22"/>
          <w:color w:val="auto"/>
        </w:rPr>
        <w:t>. At all meetings of the Board of Directors, the Chairman of the Board of Directors, or, in his absence, the Lead Director of the Corporation, or in the absence of the Chairman of the Board of Directors and the Lead Director, a Chairman chosen by the Directors present shall preside.</w:t>
      </w:r>
    </w:p>
    <w:p>
      <w:pPr>
        <w:sectPr>
          <w:pgSz w:w="11900" w:h="16838" w:orient="portrait"/>
          <w:cols w:equalWidth="0" w:num="1">
            <w:col w:w="11240"/>
          </w:cols>
          <w:pgMar w:left="320" w:top="1395" w:right="339" w:bottom="1440" w:gutter="0" w:footer="0" w:header="0"/>
        </w:sectPr>
      </w:pPr>
    </w:p>
    <w:bookmarkStart w:id="95" w:name="page96"/>
    <w:bookmarkEnd w:id="95"/>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Election of Officers</w:t>
      </w:r>
      <w:r>
        <w:rPr>
          <w:rFonts w:ascii="Times New Roman" w:cs="Times New Roman" w:eastAsia="Times New Roman" w:hAnsi="Times New Roman"/>
          <w:sz w:val="22"/>
          <w:szCs w:val="22"/>
          <w:color w:val="auto"/>
        </w:rPr>
        <w:t>. At the first meeting of the Board of Directors each year (at which a quorum shall be present) held next after the Annual Meeting of Stockholders, the Board of Directors shall proceed to the election of the Officers of the Corporation.</w:t>
      </w:r>
    </w:p>
    <w:p>
      <w:pPr>
        <w:spacing w:after="0" w:line="15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Committees of the Board of Directors</w:t>
      </w:r>
      <w:r>
        <w:rPr>
          <w:rFonts w:ascii="Times New Roman" w:cs="Times New Roman" w:eastAsia="Times New Roman" w:hAnsi="Times New Roman"/>
          <w:sz w:val="22"/>
          <w:szCs w:val="22"/>
          <w:color w:val="auto"/>
        </w:rPr>
        <w:t>. The Board of Directors may by resolution appoint an Executive Committee and other committees. Such Executive Committee and other committees shall be composed of two or more members of this Board of Directors and shall have such powers as may be expressly delegated to them by resolution of the Board of Directors, except that no such committee shall have the power to amend the Certificate of Incorporation, to adopt an agreement of merger or consolidation, to recommend to the stockholders the sale, lease or exchange of all or substantially all of the Corporation’s property and assets, to recommend to the stockholders the dissolution of the Corporation or a revocation of a dissolution, or to adopt, amend or repeal Bylaws. The Executive Committee, if there shall be one, shall have the right and authority to declare dividends. The Board of Directors shall have the authority to fix the compensation of members of the committees for attending committee meetings.</w:t>
      </w:r>
    </w:p>
    <w:p>
      <w:pPr>
        <w:spacing w:after="0" w:line="158"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Advisory Directors</w:t>
      </w:r>
      <w:r>
        <w:rPr>
          <w:rFonts w:ascii="Times New Roman" w:cs="Times New Roman" w:eastAsia="Times New Roman" w:hAnsi="Times New Roman"/>
          <w:sz w:val="22"/>
          <w:szCs w:val="22"/>
          <w:color w:val="auto"/>
        </w:rPr>
        <w:t>. The Board of Directors may elect one or more Advisory Directors who shall have such powers and perform such duties as the Directors shall assign to them. Advisory Directors shall, upon election, serve until the next Annual Meeting of Stockholders. Advisory Directors shall receive notice of all meetings of the Board of Directors in the same manner and at the same time as the Directors. They shall attend such meetings in an advisory capacity, but shall not cast a vote or be counted to determine a quorum. Any Advisory Director may be removed, either with or without cause, by a majority of the Directors. The Advisory Directors shall not receive any stated compensation for their services as Advisory Directors, but by resolution of the Board of Directors a fixed fee and expenses of attendance may be allowed for attendance at each meeting. Nothing herein shall be construed to preclude any Advisory Director from serving the Corporation in any other capacity as an officer, agent or otherwise, and receiving compensation therefor.</w:t>
      </w:r>
    </w:p>
    <w:p>
      <w:pPr>
        <w:spacing w:after="0" w:line="158"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Director Qualifications</w:t>
      </w:r>
      <w:r>
        <w:rPr>
          <w:rFonts w:ascii="Times New Roman" w:cs="Times New Roman" w:eastAsia="Times New Roman" w:hAnsi="Times New Roman"/>
          <w:sz w:val="21"/>
          <w:szCs w:val="21"/>
          <w:color w:val="auto"/>
        </w:rPr>
        <w:t>. To be eligible to be a nominee for election or reelection as a Director of the Corporation, the prospective nominee (whether nominated by or at the direction of the Board of Directors or by a stockholder), or someone acting on such prospective nominee’s behalf, must deliver (in the case of nominees proposed by a stockholder, in accordance with any applicable time periods prescribed for delivery of notice under Section 13 of Article II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in the form provided by the Corporation, which form shall be provided by the Secretary upon written request). The prospective nominee must also provide a written representation and agreement (which written representation and agreement shall be in the form provided by the Corporation, which form shall be provided by the Secretary upon written request) that such prospective nominee: (i)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beneficial owner on whose behalf the nomination is being made, would be in compliance if elected as a Director of</w:t>
      </w:r>
    </w:p>
    <w:p>
      <w:pPr>
        <w:sectPr>
          <w:pgSz w:w="11900" w:h="16838" w:orient="portrait"/>
          <w:cols w:equalWidth="0" w:num="1">
            <w:col w:w="11240"/>
          </w:cols>
          <w:pgMar w:left="320" w:top="1395" w:right="339" w:bottom="1440" w:gutter="0" w:footer="0" w:header="0"/>
        </w:sectPr>
      </w:pPr>
    </w:p>
    <w:bookmarkStart w:id="96" w:name="page97"/>
    <w:bookmarkEnd w:id="96"/>
    <w:p>
      <w:pPr>
        <w:ind w:right="420"/>
        <w:spacing w:after="0" w:line="220" w:lineRule="auto"/>
        <w:rPr>
          <w:sz w:val="20"/>
          <w:szCs w:val="20"/>
          <w:color w:val="auto"/>
        </w:rPr>
      </w:pPr>
      <w:r>
        <w:rPr>
          <w:rFonts w:ascii="Times New Roman" w:cs="Times New Roman" w:eastAsia="Times New Roman" w:hAnsi="Times New Roman"/>
          <w:sz w:val="22"/>
          <w:szCs w:val="22"/>
          <w:color w:val="auto"/>
        </w:rPr>
        <w:t>the Corporation, and will comply with all applicable corporate governance, code of business conduct and ethics, conflict of interest, confidentiality and stock ownership and trading policies and guidelines of the Corporation. Directors need not be stockholders. For purposes of this Section 13, a “nominee” shall include any person being considered to fill a vacancy on the Board of Directors.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83"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Officers of the Corporation shall be a Chief Executive Officer, a President, a Secretary and a Treasurer, who shall be elected by the Directors at their first meeting after the Annual Meeting of Stockholders, and who shall hold office until their successors are elected and qualify. The Board of Directors may also elect at its discretion a Chairman of the Board (who may or may not be an officer), one or more Executive Vice Presidents, one or more Senior Vice Presidents, one or more Vice Presidents, one or more Assistant Secretaries, one or more Assistant Treasurers, and such other Officers as the business of the Corporation may require. The Chairman of the Board, if there shall be such an officer, and the Chief Executive Officer must be members of the Board of Directors. So far as is permitted by law any two or more offices may be held by the same person.</w:t>
      </w:r>
    </w:p>
    <w:p>
      <w:pPr>
        <w:spacing w:after="0" w:line="156"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2(a)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of Directors, if there shall be such an officer, shall preside at meetings of the stockholders and of the Board of Directors, and shall perform such other duties, in major policy areas or otherwise, consistent with his office, as may be assigned to him by the Board of Directors.</w:t>
      </w:r>
    </w:p>
    <w:p>
      <w:pPr>
        <w:spacing w:after="0" w:line="153"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2(b). </w:t>
      </w:r>
      <w:r>
        <w:rPr>
          <w:rFonts w:ascii="Times New Roman" w:cs="Times New Roman" w:eastAsia="Times New Roman" w:hAnsi="Times New Roman"/>
          <w:sz w:val="22"/>
          <w:szCs w:val="22"/>
          <w:u w:val="single" w:color="auto"/>
          <w:color w:val="auto"/>
        </w:rPr>
        <w:t>Vice Chairman of the Board</w:t>
      </w:r>
      <w:r>
        <w:rPr>
          <w:rFonts w:ascii="Times New Roman" w:cs="Times New Roman" w:eastAsia="Times New Roman" w:hAnsi="Times New Roman"/>
          <w:sz w:val="22"/>
          <w:szCs w:val="22"/>
          <w:color w:val="auto"/>
        </w:rPr>
        <w:t>. The Vice Chairman of the Board of Directors, if there shall be such an officer, shall, during any period when so requested by the Chairman of the Board of Directors or during the absence of the Chairman of the Board of Directors or his inability to act, have the powers and perform the duties of the Chairman. The Vice Chairman shall perform such other duties consistent with his office as from time to time may be assigned to him by the Board of Directors.</w:t>
      </w:r>
    </w:p>
    <w:p>
      <w:pPr>
        <w:spacing w:after="0" w:line="152"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chief executive officer of the Corporation. Subject to the control of the Board of Directors, he shall have general executive powers concerning, and active management and supervision over, the property, business and affairs of the Corporation and its several officers. He shall have the powers and shall perform the duties usually incident to the office of Chief Executive Officer and, during any period when so requested by the Chairman of the Board of Directors, or during the absence of the Chairman and the Vice Chairman of the Board of Directors or the inability of both to act, shall also have the powers and perform the duties of the Chairman of the Board of Directors. The Chief Executive Officer shall perform such other duties consistent with his office as from time to time may be assigned to him by the Board of Directors.</w:t>
      </w:r>
    </w:p>
    <w:p>
      <w:pPr>
        <w:spacing w:after="0" w:line="156"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operating officer of the Corporation. The President shall exercise general supervision over and have executive control of the operations of the Corporation’s business and shall have such powers as may be assigned to him from time to time by the Board of Directors. He shall exercise the functions of the Chief Executive Officer during the absence or disability of the Chief Executive Officer.</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5(a) </w:t>
      </w:r>
      <w:r>
        <w:rPr>
          <w:rFonts w:ascii="Times New Roman" w:cs="Times New Roman" w:eastAsia="Times New Roman" w:hAnsi="Times New Roman"/>
          <w:sz w:val="21"/>
          <w:szCs w:val="21"/>
          <w:u w:val="single" w:color="auto"/>
          <w:color w:val="auto"/>
        </w:rPr>
        <w:t>Executive Vice President</w:t>
      </w:r>
      <w:r>
        <w:rPr>
          <w:rFonts w:ascii="Times New Roman" w:cs="Times New Roman" w:eastAsia="Times New Roman" w:hAnsi="Times New Roman"/>
          <w:sz w:val="21"/>
          <w:szCs w:val="21"/>
          <w:color w:val="auto"/>
        </w:rPr>
        <w:t>. The Executive Vice President(s), if there shall be such an officer, shall, subject to such powers as shall be assigned to him from time to time by the Board of Directors or by the President, have such managerial responsibility and authority and shall exercise such supervisory powers as shall be assigned to him from time to time by the</w:t>
      </w:r>
    </w:p>
    <w:p>
      <w:pPr>
        <w:sectPr>
          <w:pgSz w:w="11900" w:h="16838" w:orient="portrait"/>
          <w:cols w:equalWidth="0" w:num="1">
            <w:col w:w="11220"/>
          </w:cols>
          <w:pgMar w:left="320" w:top="1395" w:right="359" w:bottom="1440" w:gutter="0" w:footer="0" w:header="0"/>
        </w:sectPr>
      </w:pPr>
    </w:p>
    <w:bookmarkStart w:id="97" w:name="page98"/>
    <w:bookmarkEnd w:id="97"/>
    <w:p>
      <w:pPr>
        <w:ind w:right="440"/>
        <w:spacing w:after="0" w:line="236" w:lineRule="auto"/>
        <w:rPr>
          <w:sz w:val="20"/>
          <w:szCs w:val="20"/>
          <w:color w:val="auto"/>
        </w:rPr>
      </w:pPr>
      <w:r>
        <w:rPr>
          <w:rFonts w:ascii="Times New Roman" w:cs="Times New Roman" w:eastAsia="Times New Roman" w:hAnsi="Times New Roman"/>
          <w:sz w:val="22"/>
          <w:szCs w:val="22"/>
          <w:color w:val="auto"/>
        </w:rPr>
        <w:t>Board of Directors or by the President. He shall exercise the functions of the President during the absence or disability of the President.</w:t>
      </w:r>
    </w:p>
    <w:p>
      <w:pPr>
        <w:spacing w:after="0" w:line="150"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5(b). </w:t>
      </w:r>
      <w:r>
        <w:rPr>
          <w:rFonts w:ascii="Times New Roman" w:cs="Times New Roman" w:eastAsia="Times New Roman" w:hAnsi="Times New Roman"/>
          <w:sz w:val="22"/>
          <w:szCs w:val="22"/>
          <w:u w:val="single" w:color="auto"/>
          <w:color w:val="auto"/>
        </w:rPr>
        <w:t>Senior Vice President</w:t>
      </w:r>
      <w:r>
        <w:rPr>
          <w:rFonts w:ascii="Times New Roman" w:cs="Times New Roman" w:eastAsia="Times New Roman" w:hAnsi="Times New Roman"/>
          <w:sz w:val="22"/>
          <w:szCs w:val="22"/>
          <w:color w:val="auto"/>
        </w:rPr>
        <w:t>. The Senior Vice President(s) shall exercise general supervision over and have executive control of such departments of the Corporation’s business and shall have such powers and discharge such duties as may be assigned to him from time to time by the Board of Directors. The Senior Vice President, as designated by the Board of Directors, shall exercise the functions of the President during the absence or disability of the President and the Executive Vice President.</w:t>
      </w:r>
    </w:p>
    <w:p>
      <w:pPr>
        <w:spacing w:after="0" w:line="152"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5(c).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shall exercise general supervision over and have executive control of such departments of the Corporation’s business and shall have such powers and discharge such duties as may be assigned to each of them from time to time by the Board of Directors. The Vice Presidents in order of their rank, or if not ranked, as designated by the Board of Directors, shall exercise the functions of the President during the absence or disability of the President, the Executive Vice President and the Senior Vice President.</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issue due notice to stockholders and Directors in accordance with these Bylaws and as required by law, shall record all the proceedings of the meetings of the stockholders and Directors in a book to be kept for that purpose, shall have charge of the corporate seal, shall keep or cause to be kept a share register of stockholders of the Corporation, and shall make such reports and perform such other duties as are incident to his office, or assigned to him by the Board of Directors.</w:t>
      </w:r>
    </w:p>
    <w:p>
      <w:pPr>
        <w:spacing w:after="0" w:line="152"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Assistant Secretary</w:t>
      </w:r>
      <w:r>
        <w:rPr>
          <w:rFonts w:ascii="Times New Roman" w:cs="Times New Roman" w:eastAsia="Times New Roman" w:hAnsi="Times New Roman"/>
          <w:sz w:val="22"/>
          <w:szCs w:val="22"/>
          <w:color w:val="auto"/>
        </w:rPr>
        <w:t>. The Assistant Secretaries shall, in the absence or disability of the Secretary, perform the duties and exercise the power of the Secretary.</w:t>
      </w:r>
    </w:p>
    <w:p>
      <w:pPr>
        <w:spacing w:after="0" w:line="150"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all monies and securities of the Corporation and shall keep regular books of account. He shall disburse the funds of the Corporation in payment of the just demands against the Corporation, or as may be ordered by the Board of Directors, taking proper vouchers for such disbursements, and shall render to the Board of Directors from time to time, as may be required of him, an account of all his transactions as Treasurer and of the financial condition of the Corporation.</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Assistant Treasurer</w:t>
      </w:r>
      <w:r>
        <w:rPr>
          <w:rFonts w:ascii="Times New Roman" w:cs="Times New Roman" w:eastAsia="Times New Roman" w:hAnsi="Times New Roman"/>
          <w:sz w:val="22"/>
          <w:szCs w:val="22"/>
          <w:color w:val="auto"/>
        </w:rPr>
        <w:t>. The Assistant Treasurer shall, in the absence or disability of the Treasurer, perform the duties and exercise the powers of the Treasurer.</w:t>
      </w:r>
    </w:p>
    <w:p>
      <w:pPr>
        <w:spacing w:after="0" w:line="150"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General Counse</w:t>
      </w:r>
      <w:r>
        <w:rPr>
          <w:rFonts w:ascii="Times New Roman" w:cs="Times New Roman" w:eastAsia="Times New Roman" w:hAnsi="Times New Roman"/>
          <w:sz w:val="22"/>
          <w:szCs w:val="22"/>
          <w:color w:val="auto"/>
        </w:rPr>
        <w:t>l. The General Counsel shall provide legal advice to the Corporation, render legal opinions as necessary in connection with the business of the Corporation, exercise general supervision over the legal affairs of the Corporation and perform such other duties as assigned to him by the Board of Directors.</w:t>
      </w:r>
    </w:p>
    <w:p>
      <w:pPr>
        <w:spacing w:after="0" w:line="152" w:lineRule="exact"/>
        <w:rPr>
          <w:sz w:val="20"/>
          <w:szCs w:val="20"/>
          <w:color w:val="auto"/>
        </w:rPr>
      </w:pPr>
    </w:p>
    <w:p>
      <w:pPr>
        <w:jc w:val="both"/>
        <w:ind w:right="2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Except as otherwise provided in this Section, the said Officers shall have all the usual powers and shall perform all the usual duties incident to their respective offices and shall, in addition, perform such other duties as shall be assigned to them from time to time by the Board of Directors.</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or disability of any Officer of the Corporation, the Board of Directors may, subject to the provisions of this Section, delegate his powers and duties to any other Executive Officer, or to any Director, during such absence or disability, and the person so delegated shall, for the time being, be the Officer whose powers and duties he so assumes.</w:t>
      </w:r>
    </w:p>
    <w:p>
      <w:pPr>
        <w:sectPr>
          <w:pgSz w:w="11900" w:h="16838" w:orient="portrait"/>
          <w:cols w:equalWidth="0" w:num="1">
            <w:col w:w="11240"/>
          </w:cols>
          <w:pgMar w:left="320" w:top="1395" w:right="339" w:bottom="1440" w:gutter="0" w:footer="0" w:header="0"/>
        </w:sectPr>
      </w:pPr>
    </w:p>
    <w:bookmarkStart w:id="98" w:name="page99"/>
    <w:bookmarkEnd w:id="98"/>
    <w:p>
      <w:pPr>
        <w:ind w:right="5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existing at any time may be filled by the Directors at any regular or special meeting.</w:t>
      </w:r>
    </w:p>
    <w:p>
      <w:pPr>
        <w:spacing w:after="0" w:line="150"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Board of Directors may appoint such other Officers and agents as it shall deem necessary or expedient, who shall hold their offices for such terms and shall exercise such powers and perform such duties as shall be determined from time to time by the Board of Directors.</w:t>
      </w:r>
    </w:p>
    <w:p>
      <w:pPr>
        <w:spacing w:after="0" w:line="15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Salaries</w:t>
      </w:r>
      <w:r>
        <w:rPr>
          <w:rFonts w:ascii="Times New Roman" w:cs="Times New Roman" w:eastAsia="Times New Roman" w:hAnsi="Times New Roman"/>
          <w:sz w:val="21"/>
          <w:szCs w:val="21"/>
          <w:color w:val="auto"/>
        </w:rPr>
        <w:t>. The salaries of all Officers of the Corporation shall be approved by the Board of Directors.</w:t>
      </w:r>
    </w:p>
    <w:p>
      <w:pPr>
        <w:spacing w:after="0" w:line="179"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Bonds</w:t>
      </w:r>
      <w:r>
        <w:rPr>
          <w:rFonts w:ascii="Times New Roman" w:cs="Times New Roman" w:eastAsia="Times New Roman" w:hAnsi="Times New Roman"/>
          <w:sz w:val="22"/>
          <w:szCs w:val="22"/>
          <w:color w:val="auto"/>
        </w:rPr>
        <w:t>. The Board of Directors may require any and all Officers, respectively, to give a bond for the faithful performance of their respective duties in such sum as said Board of Directors may determine, such bond to be executed by a reliable surety company, but the expense of obtaining the same shall be borne by the Corporation.</w:t>
      </w:r>
    </w:p>
    <w:p>
      <w:pPr>
        <w:spacing w:after="0" w:line="153"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Representation of Shares of Other Corporations</w:t>
      </w:r>
      <w:r>
        <w:rPr>
          <w:rFonts w:ascii="Times New Roman" w:cs="Times New Roman" w:eastAsia="Times New Roman" w:hAnsi="Times New Roman"/>
          <w:sz w:val="22"/>
          <w:szCs w:val="22"/>
          <w:color w:val="auto"/>
        </w:rPr>
        <w:t>. The Chief Executive Officer, the President or any Vice President and the Secretary or any Assistant Secretary of this Corporation are authorized to vote, represent and exercise on behalf of this Corporation all rights incident to any and all shares of any other corporation or corporations standing in the name of this Corporation. The authority herein granted to said Officers to vote or represent on behalf of this Corporation any and all shares held by this Corporation in any other corporation or corporations may be exercised either by such Officers in person or by any person authorized so to do by proxy or power of attorney duly executed by said Officers.</w:t>
      </w:r>
    </w:p>
    <w:p>
      <w:pPr>
        <w:spacing w:after="0" w:line="15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Removal of Officers</w:t>
      </w:r>
      <w:r>
        <w:rPr>
          <w:rFonts w:ascii="Times New Roman" w:cs="Times New Roman" w:eastAsia="Times New Roman" w:hAnsi="Times New Roman"/>
          <w:sz w:val="22"/>
          <w:szCs w:val="22"/>
          <w:color w:val="auto"/>
        </w:rPr>
        <w:t>. Any Officer may be removed at any time by the affirmative vote of a majority of the Board of Directors.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CERTIFICATES OF STOCK</w:t>
      </w:r>
    </w:p>
    <w:p>
      <w:pPr>
        <w:spacing w:after="0" w:line="18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Form and Execution of Certificate</w:t>
      </w:r>
      <w:r>
        <w:rPr>
          <w:rFonts w:ascii="Times New Roman" w:cs="Times New Roman" w:eastAsia="Times New Roman" w:hAnsi="Times New Roman"/>
          <w:sz w:val="22"/>
          <w:szCs w:val="22"/>
          <w:color w:val="auto"/>
        </w:rPr>
        <w:t>. The certificates of shares of stock of the Corporation shall be in such form as shall be approved by the Board of Directors. All certificates shall be signed by the Chief Executive Officer, the President or a Vice President, and by the Secretary or an Assistant Secretary or by the Treasurer or an Assistant Treasurer; provided, however, that if any such certificate is countersigned by a transfer agent other than the Corporation or its employee, or by a registrar other than the Corporation or its employee, the signatures of such Chief Executive Officer, President or Vice President and of such Secretary or Assistant Secretary or Treasurer or Assistant Treasurer may be facsimiles.</w:t>
      </w:r>
    </w:p>
    <w:p>
      <w:pPr>
        <w:spacing w:after="0" w:line="152"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Certificates to be Entered</w:t>
      </w:r>
      <w:r>
        <w:rPr>
          <w:rFonts w:ascii="Times New Roman" w:cs="Times New Roman" w:eastAsia="Times New Roman" w:hAnsi="Times New Roman"/>
          <w:sz w:val="22"/>
          <w:szCs w:val="22"/>
          <w:color w:val="auto"/>
        </w:rPr>
        <w:t>. All certificates shall be consecutively numbered and the names in which they are issued, the number of shares and the date of issue shall be entered in the Corporation’s books.</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Shares shall be transferred only on the books of the Corporation by the holder thereof, in person or by his attorney, upon the surrender and cancellation of certificates for a like number of shares.</w:t>
      </w:r>
    </w:p>
    <w:p>
      <w:pPr>
        <w:spacing w:after="0" w:line="15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shall have power and authority to make all such rules and regulations as it may deem expedient concerning the issue, transfer and registration of certificates of stock, and may appoint a transfer agent or transfer agents and a registrar or registrars of transfers, and may require all stock certificates to bear the signature of any such transfer agent and registrar of transfers.</w:t>
      </w:r>
    </w:p>
    <w:p>
      <w:pPr>
        <w:sectPr>
          <w:pgSz w:w="11900" w:h="16838" w:orient="portrait"/>
          <w:cols w:equalWidth="0" w:num="1">
            <w:col w:w="11240"/>
          </w:cols>
          <w:pgMar w:left="320" w:top="1395"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18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The Board of Directors shall provide a corporate seal, which shall be in the form of a circle and shall bear the name of the Corporation in words and figures showing that it was incorporated in the State of Delaware in the year 1970.</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83"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Indemnification of Directors and Officers</w:t>
      </w:r>
      <w:r>
        <w:rPr>
          <w:rFonts w:ascii="Times New Roman" w:cs="Times New Roman" w:eastAsia="Times New Roman" w:hAnsi="Times New Roman"/>
          <w:sz w:val="22"/>
          <w:szCs w:val="22"/>
          <w:color w:val="auto"/>
        </w:rPr>
        <w:t xml:space="preserve">. The Corporation shall, to the fullest extent permitted by law, indemnify any person who was or is a party or is threatened to be made a party to any threatened, pending or completed action, suit or proceeding, whether civil, criminal, administrative or investigative (including without limitation any action by or in the right of the Corporation) by reason of the fact that he is or was a Director or Officer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that he had reasonable cause to believe that his conduct was unlawful. The right of indemnity provided herein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herein.</w:t>
      </w:r>
    </w:p>
    <w:p>
      <w:pPr>
        <w:spacing w:after="0" w:line="164"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VII.</w:t>
      </w:r>
    </w:p>
    <w:p>
      <w:pPr>
        <w:spacing w:after="0" w:line="14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commence on January 1, and end on December 31 of each year.</w:t>
      </w:r>
    </w:p>
    <w:p>
      <w:pPr>
        <w:sectPr>
          <w:pgSz w:w="11900" w:h="16838" w:orient="portrait"/>
          <w:cols w:equalWidth="0" w:num="1">
            <w:col w:w="11220"/>
          </w:cols>
          <w:pgMar w:left="320" w:top="1391" w:right="359" w:bottom="1440" w:gutter="0" w:footer="0" w:header="0"/>
        </w:sectPr>
      </w:pPr>
    </w:p>
    <w:bookmarkStart w:id="100" w:name="page101"/>
    <w:bookmarkEnd w:id="100"/>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183"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These Bylaws may be adopted, amended or repealed by the vote of stockholders as set forth in the Certificate of Incorporation. Subject to the right of stockholders to adopt, amend or repeal Bylaws, Bylaws may be adopted, amended or repealed by the Board of Directors.</w:t>
      </w:r>
    </w:p>
    <w:p>
      <w:pPr>
        <w:sectPr>
          <w:pgSz w:w="11900" w:h="16838" w:orient="portrait"/>
          <w:cols w:equalWidth="0" w:num="1">
            <w:col w:w="10580"/>
          </w:cols>
          <w:pgMar w:left="320" w:top="1391" w:right="9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40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Following is a list of the subsidiaries of the Company</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0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Name of Subsidiary</w:t>
            </w:r>
          </w:p>
        </w:tc>
        <w:tc>
          <w:tcPr>
            <w:tcW w:w="1160" w:type="dxa"/>
            <w:vAlign w:val="bottom"/>
            <w:tcBorders>
              <w:bottom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0" w:type="dxa"/>
            <w:vAlign w:val="bottom"/>
          </w:tcPr>
          <w:p>
            <w:pPr>
              <w:spacing w:after="0"/>
              <w:rPr>
                <w:sz w:val="20"/>
                <w:szCs w:val="20"/>
                <w:color w:val="auto"/>
              </w:rPr>
            </w:pPr>
          </w:p>
        </w:tc>
      </w:tr>
      <w:tr>
        <w:trPr>
          <w:trHeight w:val="385"/>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Certified Thermoplastics Co.,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87"/>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CMP Display Systems,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 Structures,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Mexico,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New York,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(England)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Technologies (Thailand) Co.,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26"/>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LaBarge Acquisition Company,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r>
      <w:tr>
        <w:trPr>
          <w:trHeight w:val="233"/>
        </w:trPr>
        <w:tc>
          <w:tcPr>
            <w:tcW w:w="20" w:type="dxa"/>
            <w:vAlign w:val="bottom"/>
          </w:tcPr>
          <w:p>
            <w:pPr>
              <w:spacing w:after="0"/>
              <w:rPr>
                <w:sz w:val="20"/>
                <w:szCs w:val="20"/>
                <w:color w:val="auto"/>
              </w:rPr>
            </w:pPr>
          </w:p>
        </w:tc>
        <w:tc>
          <w:tcPr>
            <w:tcW w:w="40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LaBarge/STC,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Lightning Diversion Systems,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 Holdings Company,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Magnetic Seal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Holdings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Parent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Worldwide, Inc.</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45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As of December 31, 2022.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Inactive.</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333-268218) and Form S-8 (Nos. 333-264389, 333-238040, 333-235278, 333-224838, 333-214408, and 333-188460) of Ducommun Incorporated of our report dated February 16, 2023 relating to the financial statements, financial statement schedule and the effectiveness of internal control over financial reporting, which appears in this Form 10-K.</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16, 2023</w:t>
      </w:r>
    </w:p>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2022;</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0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2022;</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2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Ducommun Incorporated (the “Company”) on Form 10-K for the period ending December 31, 2022,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spacing w:after="0" w:line="104" w:lineRule="exact"/>
        <w:rPr>
          <w:sz w:val="20"/>
          <w:szCs w:val="20"/>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Ducommun Incorporated (the “Company”) on Form 10-K for the period ending December 31, 2022,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our knowledge:</w:t>
      </w:r>
    </w:p>
    <w:p>
      <w:pPr>
        <w:spacing w:after="0" w:line="126" w:lineRule="exact"/>
        <w:rPr>
          <w:sz w:val="20"/>
          <w:szCs w:val="20"/>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r>
      <w:tr>
        <w:trPr>
          <w:trHeight w:val="230"/>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10-K solely pursuant to Section 906 of the Sarbanes-Oxley Act of 2002, and is not being filed as part of the Form 10-K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lowerLetter"/>
      <w:start w:val="1"/>
    </w:lvl>
    <w:lvl w:ilvl="1">
      <w:lvlJc w:val="left"/>
      <w:lvlText w:val="(%2)"/>
      <w:numFmt w:val="lowerLetter"/>
      <w:start w:val="9"/>
    </w:lvl>
  </w:abstractNum>
  <w:abstractNum w:abstractNumId="28">
    <w:nsid w:val="614FD4A1"/>
    <w:multiLevelType w:val="hybridMultilevel"/>
    <w:lvl w:ilvl="0">
      <w:lvlJc w:val="left"/>
      <w:lvlText w:val="%1"/>
      <w:numFmt w:val="lowerLetter"/>
      <w:start w:val="1"/>
    </w:lvl>
    <w:lvl w:ilvl="1">
      <w:lvlJc w:val="left"/>
      <w:lvlText w:val="(%2)"/>
      <w:numFmt w:val="lowerLetter"/>
      <w:start w:val="35"/>
    </w:lvl>
  </w:abstractNum>
  <w:abstractNum w:abstractNumId="29">
    <w:nsid w:val="419AC241"/>
    <w:multiLevelType w:val="hybridMultilevel"/>
    <w:lvl w:ilvl="0">
      <w:lvlJc w:val="left"/>
      <w:lvlText w:val="(%1)"/>
      <w:numFmt w:val="lowerLetter"/>
      <w:start w:val="2"/>
    </w:lvl>
    <w:lvl w:ilvl="1">
      <w:lvlJc w:val="left"/>
      <w:lvlText w:val="%2"/>
      <w:numFmt w:val="lowerLetter"/>
      <w:start w:val="1"/>
    </w:lvl>
  </w:abstractNum>
  <w:abstractNum w:abstractNumId="30">
    <w:nsid w:val="5577F8E1"/>
    <w:multiLevelType w:val="hybridMultilevel"/>
    <w:lvl w:ilvl="0">
      <w:lvlJc w:val="left"/>
      <w:lvlText w:val="%1"/>
      <w:numFmt w:val="lowerLetter"/>
      <w:start w:val="1"/>
    </w:lvl>
    <w:lvl w:ilvl="1">
      <w:lvlJc w:val="left"/>
      <w:lvlText w:val="(%2)"/>
      <w:numFmt w:val="lowerLetter"/>
      <w:start w:val="1"/>
    </w:lvl>
  </w:abstractNum>
  <w:abstractNum w:abstractNumId="31">
    <w:nsid w:val="440BADFC"/>
    <w:multiLevelType w:val="hybridMultilevel"/>
    <w:lvl w:ilvl="0">
      <w:lvlJc w:val="left"/>
      <w:lvlText w:val="(%1)"/>
      <w:numFmt w:val="lowerLetter"/>
      <w:start w:val="35"/>
    </w:lvl>
    <w:lvl w:ilvl="1">
      <w:lvlJc w:val="left"/>
      <w:lvlText w:val="(%2)"/>
      <w:numFmt w:val="lowerLetter"/>
      <w:start w:val="2"/>
    </w:lvl>
  </w:abstractNum>
  <w:abstractNum w:abstractNumId="32">
    <w:nsid w:val="5072367"/>
    <w:multiLevelType w:val="hybridMultilevel"/>
    <w:lvl w:ilvl="0">
      <w:lvlJc w:val="left"/>
      <w:lvlText w:val="(%1)"/>
      <w:numFmt w:val="decimal"/>
      <w:start w:val="8"/>
    </w:lvl>
    <w:lvl w:ilvl="1">
      <w:lvlJc w:val="left"/>
      <w:lvlText w:val="(%2)"/>
      <w:numFmt w:val="lowerLetter"/>
      <w:start w:val="3"/>
    </w:lvl>
  </w:abstractNum>
  <w:abstractNum w:abstractNumId="33">
    <w:nsid w:val="3804823E"/>
    <w:multiLevelType w:val="hybridMultilevel"/>
    <w:lvl w:ilvl="0">
      <w:lvlJc w:val="left"/>
      <w:lvlText w:val="%1"/>
      <w:numFmt w:val="lowerLetter"/>
      <w:start w:val="1"/>
    </w:lvl>
    <w:lvl w:ilvl="1">
      <w:lvlJc w:val="left"/>
      <w:lvlText w:val="(%2)"/>
      <w:numFmt w:val="lowerLetter"/>
      <w:start w:val="5"/>
    </w:lvl>
  </w:abstractNum>
  <w:abstractNum w:abstractNumId="34">
    <w:nsid w:val="77465F01"/>
    <w:multiLevelType w:val="hybridMultilevel"/>
    <w:lvl w:ilvl="0">
      <w:lvlJc w:val="left"/>
      <w:lvlText w:val="(%1)"/>
      <w:numFmt w:val="lowerLetter"/>
      <w:start w:val="35"/>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10" Type="http://schemas.openxmlformats.org/officeDocument/2006/relationships/hyperlink" Target="http://www.sec.gov/Archives/edgar/data/30305/000119312517281838/d414212dex21.htm" TargetMode="External"/><Relationship Id="rId111" Type="http://schemas.openxmlformats.org/officeDocument/2006/relationships/hyperlink" Target="http://www.sec.gov/Archives/edgar/data/30305/000119312519264787/d817718dex21.htm" TargetMode="External"/><Relationship Id="rId112" Type="http://schemas.openxmlformats.org/officeDocument/2006/relationships/hyperlink" Target="http://www.sec.gov/Archives/edgar/data/30305/000119312521358659/d203605dex21.htm" TargetMode="External"/><Relationship Id="rId113" Type="http://schemas.openxmlformats.org/officeDocument/2006/relationships/hyperlink" Target="http://www.sec.gov/Archives/edgar/data/30305/000119312521361798/d273590dex21.htm" TargetMode="External"/><Relationship Id="rId114" Type="http://schemas.openxmlformats.org/officeDocument/2006/relationships/hyperlink" Target="http://www.sec.gov/Archives/edgar/data/30305/0000892569-99-000620-index.html" TargetMode="External"/><Relationship Id="rId115" Type="http://schemas.openxmlformats.org/officeDocument/2006/relationships/hyperlink" Target="http://www.sec.gov/Archives/edgar/data/30305/000162828020001898/dco10-k2019exhibit4_1.htm" TargetMode="External"/><Relationship Id="rId116" Type="http://schemas.openxmlformats.org/officeDocument/2006/relationships/hyperlink" Target="http://www.sec.gov/Archives/edgar/data/30305/000162828021021193/dco-q3202110xqxex10_1x2nda.htm" TargetMode="External"/><Relationship Id="rId117" Type="http://schemas.openxmlformats.org/officeDocument/2006/relationships/hyperlink" Target="http://www.sec.gov/Archives/edgar/data/30305/000119312519321137/d834392dex101.htm" TargetMode="External"/><Relationship Id="rId118" Type="http://schemas.openxmlformats.org/officeDocument/2006/relationships/hyperlink" Target="http://www.sec.gov/Archives/edgar/data/30305/000119312518333904/0001193125-18-333904-index.htm" TargetMode="External"/><Relationship Id="rId119" Type="http://schemas.openxmlformats.org/officeDocument/2006/relationships/hyperlink" Target="http://www.sec.gov/Archives/edgar/data/30305/000119312518093774/d536991ddef14a.htm" TargetMode="External"/><Relationship Id="rId120" Type="http://schemas.openxmlformats.org/officeDocument/2006/relationships/hyperlink" Target="http://www.sec.gov/Archives/edgar/data/30305/000119312520080692/d859194ddef14a.htm" TargetMode="External"/><Relationship Id="rId121" Type="http://schemas.openxmlformats.org/officeDocument/2006/relationships/hyperlink" Target="http://www.sec.gov/Archives/edgar/data/30305/000119312504034525/dex108.htm" TargetMode="External"/><Relationship Id="rId122" Type="http://schemas.openxmlformats.org/officeDocument/2006/relationships/hyperlink" Target="http://www.sec.gov/Archives/edgar/data/30305/000162828017002221/dco10-k2016_ex105.htm" TargetMode="External"/><Relationship Id="rId123" Type="http://schemas.openxmlformats.org/officeDocument/2006/relationships/hyperlink" Target="http://www.sec.gov/Archives/edgar/data/30305/000119312518159343/d596690dex47.htm" TargetMode="External"/><Relationship Id="rId124" Type="http://schemas.openxmlformats.org/officeDocument/2006/relationships/hyperlink" Target="http://www.sec.gov/Archives/edgar/data/30305/000162828017002221/dco10-k2016_ex109.htm" TargetMode="External"/><Relationship Id="rId125" Type="http://schemas.openxmlformats.org/officeDocument/2006/relationships/hyperlink" Target="http://www.sec.gov/Archives/edgar/data/30305/000162828017002221/dco10-k2016_ex1011.htm" TargetMode="External"/><Relationship Id="rId128" Type="http://schemas.openxmlformats.org/officeDocument/2006/relationships/hyperlink" Target="http://www.sec.gov/Archives/edgar/data/30305/000162828020011005/dco-q2202010xqex1018.htm" TargetMode="External"/><Relationship Id="rId129" Type="http://schemas.openxmlformats.org/officeDocument/2006/relationships/hyperlink" Target="http://www.sec.gov/Archives/edgar/data/30305/000162828020011005/dco-q2202010xqex1019.htm" TargetMode="External"/><Relationship Id="rId130" Type="http://schemas.openxmlformats.org/officeDocument/2006/relationships/hyperlink" Target="http://www.sec.gov/Archives/edgar/data/30305/000162828020011005/dco-q2202010xqex1020.htm" TargetMode="External"/><Relationship Id="rId131" Type="http://schemas.openxmlformats.org/officeDocument/2006/relationships/hyperlink" Target="http://www.sec.gov/Archives/edgar/data/30305/000162828020011005/dco-q2202010xqex1021.htm" TargetMode="External"/><Relationship Id="rId132" Type="http://schemas.openxmlformats.org/officeDocument/2006/relationships/hyperlink" Target="http://www.sec.gov/Archives/edgar/data/30305/000162828020011005/dco-q2202010xqex1022.htm" TargetMode="External"/><Relationship Id="rId133" Type="http://schemas.openxmlformats.org/officeDocument/2006/relationships/hyperlink" Target="http://www.sec.gov/Archives/edgar/data/30305/000162828022020890/exhibit10_20xpsucashltipag.htm" TargetMode="External"/><Relationship Id="rId134" Type="http://schemas.openxmlformats.org/officeDocument/2006/relationships/hyperlink" Target="http://www.sec.gov/Archives/edgar/data/30305/000162828022020890/exhibit10_21xprsucashltipa.htm" TargetMode="External"/><Relationship Id="rId135" Type="http://schemas.openxmlformats.org/officeDocument/2006/relationships/hyperlink" Target="http://www.sec.gov/Archives/edgar/data/30305/000119312510036507/dex1015.htm" TargetMode="External"/><Relationship Id="rId136" Type="http://schemas.openxmlformats.org/officeDocument/2006/relationships/hyperlink" Target="http://www.sec.gov/Archives/edgar/data/30305/000119312519301183/0001193125-19-301183-index.htm" TargetMode="External"/><Relationship Id="rId137" Type="http://schemas.openxmlformats.org/officeDocument/2006/relationships/hyperlink" Target="http://www.sec.gov/Archives/edgar/data/30305/000119312517020975/d284517dex991.htm" TargetMode="External"/><Relationship Id="rId138" Type="http://schemas.openxmlformats.org/officeDocument/2006/relationships/hyperlink" Target="http://www.sec.gov/Archives/edgar/data/30305/000119312517020975/d284517dex992.htm" TargetMode="External"/><Relationship Id="rId139" Type="http://schemas.openxmlformats.org/officeDocument/2006/relationships/hyperlink" Target="http://www.sec.gov/Archives/edgar/data/30305/000119312517005088/d321215dex991.htm" TargetMode="External"/><Relationship Id="rId140" Type="http://schemas.openxmlformats.org/officeDocument/2006/relationships/hyperlink" Target="http://www.sec.gov/Archives/edgar/data/30305/000162828022003518/ex10_24xrroger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2023-02-16T05:43:45Z</dcterms:created>
  <dcterms:modified xsi:type="dcterms:W3CDTF">2023-02-16T05:43:45Z</dcterms:modified>
</cp:coreProperties>
</file>