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40" w:lineRule="exact"/>
        <w:rPr>
          <w:sz w:val="24"/>
          <w:szCs w:val="24"/>
          <w:color w:val="auto"/>
        </w:rPr>
      </w:pPr>
    </w:p>
    <w:p>
      <w:pPr>
        <w:ind w:left="960" w:right="680" w:hanging="646"/>
        <w:spacing w:after="0" w:line="185" w:lineRule="auto"/>
        <w:tabs>
          <w:tab w:leader="none" w:pos="960" w:val="left"/>
        </w:tabs>
        <w:numPr>
          <w:ilvl w:val="0"/>
          <w:numId w:val="1"/>
        </w:numPr>
        <w:rPr>
          <w:rFonts w:ascii="Arial" w:cs="Arial" w:eastAsia="Arial" w:hAnsi="Arial"/>
          <w:sz w:val="37"/>
          <w:szCs w:val="37"/>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1,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960" w:right="660" w:hanging="646"/>
        <w:spacing w:after="0" w:line="235" w:lineRule="auto"/>
        <w:tabs>
          <w:tab w:leader="none" w:pos="9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3675380</wp:posOffset>
            </wp:positionH>
            <wp:positionV relativeFrom="paragraph">
              <wp:posOffset>-7620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DUCOMMUN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 w:lineRule="exact"/>
        <w:rPr>
          <w:sz w:val="24"/>
          <w:szCs w:val="24"/>
          <w:color w:val="auto"/>
        </w:rPr>
      </w:pPr>
    </w:p>
    <w:tbl>
      <w:tblPr>
        <w:tblLayout w:type="fixed"/>
        <w:tblInd w:w="660" w:type="dxa"/>
        <w:tblCellMar>
          <w:top w:w="0" w:type="dxa"/>
          <w:left w:w="0" w:type="dxa"/>
          <w:bottom w:w="0" w:type="dxa"/>
          <w:right w:w="0" w:type="dxa"/>
        </w:tblCellMar>
      </w:tblPr>
      <w:tr>
        <w:trPr>
          <w:trHeight w:val="206"/>
        </w:trPr>
        <w:tc>
          <w:tcPr>
            <w:tcW w:w="734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_________________________________________________________</w:t>
            </w:r>
          </w:p>
        </w:tc>
        <w:tc>
          <w:tcPr>
            <w:tcW w:w="1160" w:type="dxa"/>
            <w:vAlign w:val="bottom"/>
          </w:tcPr>
          <w:p>
            <w:pPr>
              <w:spacing w:after="0"/>
              <w:rPr>
                <w:sz w:val="17"/>
                <w:szCs w:val="17"/>
                <w:color w:val="auto"/>
              </w:rPr>
            </w:pPr>
          </w:p>
        </w:tc>
      </w:tr>
      <w:tr>
        <w:trPr>
          <w:trHeight w:val="253"/>
        </w:trPr>
        <w:tc>
          <w:tcPr>
            <w:tcW w:w="7340" w:type="dxa"/>
            <w:vAlign w:val="bottom"/>
          </w:tcPr>
          <w:p>
            <w:pPr>
              <w:jc w:val="center"/>
              <w:ind w:right="2921"/>
              <w:spacing w:after="0"/>
              <w:rPr>
                <w:sz w:val="20"/>
                <w:szCs w:val="20"/>
                <w:color w:val="auto"/>
              </w:rPr>
            </w:pPr>
            <w:r>
              <w:rPr>
                <w:rFonts w:ascii="Arial" w:cs="Arial" w:eastAsia="Arial" w:hAnsi="Arial"/>
                <w:sz w:val="18"/>
                <w:szCs w:val="18"/>
                <w:b w:val="1"/>
                <w:bCs w:val="1"/>
                <w:color w:val="auto"/>
                <w:w w:val="93"/>
              </w:rPr>
              <w:t>Delaware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95-0693330</w:t>
            </w:r>
          </w:p>
        </w:tc>
      </w:tr>
      <w:tr>
        <w:trPr>
          <w:trHeight w:val="148"/>
        </w:trPr>
        <w:tc>
          <w:tcPr>
            <w:tcW w:w="7340" w:type="dxa"/>
            <w:vAlign w:val="bottom"/>
          </w:tcPr>
          <w:p>
            <w:pPr>
              <w:jc w:val="center"/>
              <w:ind w:right="292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340" w:type="dxa"/>
            <w:vAlign w:val="bottom"/>
          </w:tcPr>
          <w:p>
            <w:pPr>
              <w:jc w:val="center"/>
              <w:ind w:right="2941"/>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381"/>
        </w:trPr>
        <w:tc>
          <w:tcPr>
            <w:tcW w:w="7340" w:type="dxa"/>
            <w:vAlign w:val="bottom"/>
          </w:tcPr>
          <w:p>
            <w:pPr>
              <w:jc w:val="center"/>
              <w:ind w:right="2921"/>
              <w:spacing w:after="0"/>
              <w:rPr>
                <w:sz w:val="20"/>
                <w:szCs w:val="20"/>
                <w:color w:val="auto"/>
              </w:rPr>
            </w:pPr>
            <w:r>
              <w:rPr>
                <w:rFonts w:ascii="Arial" w:cs="Arial" w:eastAsia="Arial" w:hAnsi="Arial"/>
                <w:sz w:val="18"/>
                <w:szCs w:val="18"/>
                <w:b w:val="1"/>
                <w:bCs w:val="1"/>
                <w:color w:val="auto"/>
                <w:w w:val="89"/>
              </w:rPr>
              <w:t>200 Sandpointe Avenue, Suite 700, Santa Ana, California</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92707-5759</w:t>
            </w:r>
          </w:p>
        </w:tc>
      </w:tr>
      <w:tr>
        <w:trPr>
          <w:trHeight w:val="186"/>
        </w:trPr>
        <w:tc>
          <w:tcPr>
            <w:tcW w:w="7340" w:type="dxa"/>
            <w:vAlign w:val="bottom"/>
          </w:tcPr>
          <w:p>
            <w:pPr>
              <w:jc w:val="center"/>
              <w:ind w:right="29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(Zip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(657) 335-3665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Pr>
          <w:p>
            <w:pPr>
              <w:spacing w:after="0"/>
              <w:rPr>
                <w:sz w:val="16"/>
                <w:szCs w:val="16"/>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4"/>
        </w:trPr>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$.01 par value per share</w:t>
            </w:r>
          </w:p>
        </w:tc>
        <w:tc>
          <w:tcPr>
            <w:tcW w:w="2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DCO</w:t>
            </w:r>
          </w:p>
        </w:tc>
        <w:tc>
          <w:tcPr>
            <w:tcW w:w="32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93"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68" w:lineRule="exact"/>
        <w:rPr>
          <w:sz w:val="24"/>
          <w:szCs w:val="24"/>
          <w:color w:val="auto"/>
        </w:rPr>
      </w:pPr>
    </w:p>
    <w:p>
      <w:pPr>
        <w:ind w:right="300"/>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ind w:right="360"/>
        <w:spacing w:after="0" w:line="24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2"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284"/>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1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20" w:type="dxa"/>
            <w:vAlign w:val="bottom"/>
          </w:tcPr>
          <w:p>
            <w:pPr>
              <w:ind w:left="12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6" w:lineRule="exact"/>
        <w:rPr>
          <w:sz w:val="24"/>
          <w:szCs w:val="24"/>
          <w:color w:val="auto"/>
        </w:rPr>
      </w:pPr>
    </w:p>
    <w:p>
      <w:pPr>
        <w:ind w:right="160"/>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1740"/>
        <w:spacing w:after="0" w:line="30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r>
        <w:rPr>
          <w:rFonts w:ascii="Arial" w:cs="Arial" w:eastAsia="Arial" w:hAnsi="Arial"/>
          <w:sz w:val="18"/>
          <w:szCs w:val="18"/>
          <w:color w:val="auto"/>
        </w:rPr>
        <w:t xml:space="preserve"> As of July 26, 2023, the registrant had 14,569,589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ind w:left="6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6"/>
        </w:trPr>
        <w:tc>
          <w:tcPr>
            <w:tcW w:w="9700" w:type="dxa"/>
            <w:vAlign w:val="bottom"/>
            <w:gridSpan w:val="22"/>
            <w:vMerge w:val="restart"/>
          </w:tcPr>
          <w:p>
            <w:pPr>
              <w:spacing w:after="0"/>
              <w:rPr>
                <w:sz w:val="20"/>
                <w:szCs w:val="20"/>
                <w:color w:val="auto"/>
              </w:rPr>
            </w:pPr>
            <w:r>
              <w:rPr>
                <w:rFonts w:ascii="Arial" w:cs="Arial" w:eastAsia="Arial" w:hAnsi="Arial"/>
                <w:sz w:val="18"/>
                <w:szCs w:val="18"/>
                <w:b w:val="1"/>
                <w:bCs w:val="1"/>
                <w:color w:val="0000FF"/>
              </w:rPr>
              <w:t>PART I</w:t>
            </w:r>
            <w:r>
              <w:rPr>
                <w:rFonts w:ascii="Arial" w:cs="Arial" w:eastAsia="Arial" w:hAnsi="Arial"/>
                <w:sz w:val="18"/>
                <w:szCs w:val="18"/>
                <w:b w:val="1"/>
                <w:bCs w:val="1"/>
                <w:color w:val="000000"/>
              </w:rPr>
              <w:t>. FINANCIAL INFORMATION</w:t>
            </w: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700" w:type="dxa"/>
            <w:vAlign w:val="bottom"/>
            <w:gridSpan w:val="22"/>
            <w:vMerge w:val="continue"/>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8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580" w:type="dxa"/>
            <w:vAlign w:val="bottom"/>
            <w:gridSpan w:val="18"/>
          </w:tcPr>
          <w:p>
            <w:pPr>
              <w:spacing w:after="0"/>
              <w:rPr>
                <w:sz w:val="20"/>
                <w:szCs w:val="20"/>
                <w:color w:val="auto"/>
              </w:rPr>
            </w:pPr>
            <w:r>
              <w:rPr>
                <w:rFonts w:ascii="Arial" w:cs="Arial" w:eastAsia="Arial" w:hAnsi="Arial"/>
                <w:sz w:val="18"/>
                <w:szCs w:val="18"/>
                <w:color w:val="0000FF"/>
              </w:rPr>
              <w:t>Forward Looking Statements</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gridSpan w:val="4"/>
          </w:tcPr>
          <w:p>
            <w:pPr>
              <w:ind w:left="18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8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 as of July 1, 2023 and December 31, 2022</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580" w:type="dxa"/>
            <w:vAlign w:val="bottom"/>
            <w:gridSpan w:val="18"/>
          </w:tcPr>
          <w:p>
            <w:pPr>
              <w:spacing w:after="0"/>
              <w:rPr>
                <w:sz w:val="20"/>
                <w:szCs w:val="20"/>
                <w:color w:val="auto"/>
              </w:rPr>
            </w:pPr>
            <w:r>
              <w:rPr>
                <w:rFonts w:ascii="Arial" w:cs="Arial" w:eastAsia="Arial" w:hAnsi="Arial"/>
                <w:sz w:val="18"/>
                <w:szCs w:val="18"/>
                <w:color w:val="0000FF"/>
                <w:w w:val="93"/>
              </w:rPr>
              <w:t>Condensed Consolidated Statements of Income for the Three and Six Months Ended July 1, 2023 and July 2, 2022</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580" w:type="dxa"/>
            <w:vAlign w:val="bottom"/>
            <w:gridSpan w:val="18"/>
          </w:tcPr>
          <w:p>
            <w:pPr>
              <w:spacing w:after="0"/>
              <w:rPr>
                <w:sz w:val="20"/>
                <w:szCs w:val="20"/>
                <w:color w:val="auto"/>
              </w:rPr>
            </w:pPr>
            <w:r>
              <w:rPr>
                <w:rFonts w:ascii="Arial" w:cs="Arial" w:eastAsia="Arial" w:hAnsi="Arial"/>
                <w:sz w:val="18"/>
                <w:szCs w:val="18"/>
                <w:color w:val="0000FF"/>
                <w:w w:val="90"/>
              </w:rPr>
              <w:t>Condensed Consolidated Statements of Comprehensive Income for the Three and Six Months Ended July 1, 2023 and</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0"/>
              </w:rPr>
              <w:t>July 2, 2022</w:t>
            </w:r>
          </w:p>
        </w:tc>
        <w:tc>
          <w:tcPr>
            <w:tcW w:w="7600" w:type="dxa"/>
            <w:vAlign w:val="bottom"/>
            <w:tcBorders>
              <w:top w:val="single" w:sz="8" w:color="0000FF"/>
            </w:tcBorders>
            <w:gridSpan w:val="15"/>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580" w:type="dxa"/>
            <w:vAlign w:val="bottom"/>
            <w:gridSpan w:val="18"/>
          </w:tcPr>
          <w:p>
            <w:pPr>
              <w:spacing w:after="0"/>
              <w:rPr>
                <w:sz w:val="20"/>
                <w:szCs w:val="20"/>
                <w:color w:val="auto"/>
              </w:rPr>
            </w:pPr>
            <w:r>
              <w:rPr>
                <w:rFonts w:ascii="Arial" w:cs="Arial" w:eastAsia="Arial" w:hAnsi="Arial"/>
                <w:sz w:val="18"/>
                <w:szCs w:val="18"/>
                <w:color w:val="0000FF"/>
                <w:w w:val="91"/>
              </w:rPr>
              <w:t>Condensed Consolidated Statements of Changes in Shareholders’ Equity for the Three and Six Months Ended July 1,</w:t>
            </w:r>
          </w:p>
        </w:tc>
        <w:tc>
          <w:tcPr>
            <w:tcW w:w="15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2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2023 and July 2, 2022</w:t>
            </w:r>
          </w:p>
        </w:tc>
        <w:tc>
          <w:tcPr>
            <w:tcW w:w="160" w:type="dxa"/>
            <w:vAlign w:val="bottom"/>
            <w:gridSpan w:val="2"/>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80" w:type="dxa"/>
            <w:vAlign w:val="bottom"/>
            <w:gridSpan w:val="18"/>
          </w:tcPr>
          <w:p>
            <w:pPr>
              <w:spacing w:after="0"/>
              <w:rPr>
                <w:sz w:val="20"/>
                <w:szCs w:val="20"/>
                <w:color w:val="auto"/>
              </w:rPr>
            </w:pPr>
            <w:r>
              <w:rPr>
                <w:rFonts w:ascii="Arial" w:cs="Arial" w:eastAsia="Arial" w:hAnsi="Arial"/>
                <w:sz w:val="18"/>
                <w:szCs w:val="18"/>
                <w:color w:val="0000FF"/>
                <w:w w:val="99"/>
              </w:rPr>
              <w:t>Condensed Consolidated Statements of Cash Flows for the Six Months Ended July 1, 2023 and July 2, 2022</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3780" w:type="dxa"/>
            <w:vAlign w:val="bottom"/>
            <w:gridSpan w:val="4"/>
          </w:tcPr>
          <w:p>
            <w:pPr>
              <w:spacing w:after="0"/>
              <w:rPr>
                <w:sz w:val="22"/>
                <w:szCs w:val="22"/>
                <w:color w:val="auto"/>
              </w:rPr>
            </w:pPr>
          </w:p>
        </w:tc>
        <w:tc>
          <w:tcPr>
            <w:tcW w:w="800" w:type="dxa"/>
            <w:vAlign w:val="bottom"/>
            <w:gridSpan w:val="4"/>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gridSpan w:val="4"/>
          </w:tcPr>
          <w:p>
            <w:pPr>
              <w:ind w:left="18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120" w:type="dxa"/>
            <w:vAlign w:val="bottom"/>
            <w:gridSpan w:val="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120" w:type="dxa"/>
            <w:vAlign w:val="bottom"/>
            <w:gridSpan w:val="4"/>
          </w:tcPr>
          <w:p>
            <w:pPr>
              <w:ind w:left="18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220" w:type="dxa"/>
            <w:vAlign w:val="bottom"/>
            <w:gridSpan w:val="7"/>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20" w:type="dxa"/>
            <w:vAlign w:val="bottom"/>
            <w:gridSpan w:val="4"/>
          </w:tcPr>
          <w:p>
            <w:pPr>
              <w:ind w:left="18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6800" w:type="dxa"/>
            <w:vAlign w:val="bottom"/>
            <w:gridSpan w:val="11"/>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700" w:type="dxa"/>
            <w:vAlign w:val="bottom"/>
            <w:gridSpan w:val="22"/>
          </w:tcPr>
          <w:p>
            <w:pPr>
              <w:spacing w:after="0"/>
              <w:rPr>
                <w:sz w:val="20"/>
                <w:szCs w:val="20"/>
                <w:color w:val="auto"/>
              </w:rPr>
            </w:pPr>
            <w:r>
              <w:rPr>
                <w:rFonts w:ascii="Arial" w:cs="Arial" w:eastAsia="Arial" w:hAnsi="Arial"/>
                <w:sz w:val="18"/>
                <w:szCs w:val="18"/>
                <w:b w:val="1"/>
                <w:bCs w:val="1"/>
                <w:color w:val="0000FF"/>
              </w:rPr>
              <w:t>PART II</w:t>
            </w:r>
            <w:r>
              <w:rPr>
                <w:rFonts w:ascii="Arial" w:cs="Arial" w:eastAsia="Arial" w:hAnsi="Arial"/>
                <w:sz w:val="18"/>
                <w:szCs w:val="18"/>
                <w:b w:val="1"/>
                <w:bCs w:val="1"/>
                <w:color w:val="000000"/>
              </w:rPr>
              <w:t>. 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gridSpan w:val="4"/>
          </w:tcPr>
          <w:p>
            <w:pPr>
              <w:ind w:left="18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7240" w:type="dxa"/>
            <w:vAlign w:val="bottom"/>
            <w:gridSpan w:val="13"/>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20" w:type="dxa"/>
            <w:vAlign w:val="bottom"/>
            <w:gridSpan w:val="4"/>
          </w:tcPr>
          <w:p>
            <w:pPr>
              <w:ind w:left="18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7660" w:type="dxa"/>
            <w:vAlign w:val="bottom"/>
            <w:gridSpan w:val="1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gridSpan w:val="4"/>
          </w:tcPr>
          <w:p>
            <w:pPr>
              <w:ind w:left="18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Mine Safety Disclosures</w:t>
            </w:r>
          </w:p>
        </w:tc>
        <w:tc>
          <w:tcPr>
            <w:tcW w:w="6800" w:type="dxa"/>
            <w:vAlign w:val="bottom"/>
            <w:gridSpan w:val="11"/>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120" w:type="dxa"/>
            <w:vAlign w:val="bottom"/>
            <w:gridSpan w:val="4"/>
          </w:tcPr>
          <w:p>
            <w:pPr>
              <w:ind w:left="18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7260" w:type="dxa"/>
            <w:vAlign w:val="bottom"/>
            <w:gridSpan w:val="14"/>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20" w:type="dxa"/>
            <w:vAlign w:val="bottom"/>
            <w:gridSpan w:val="4"/>
          </w:tcPr>
          <w:p>
            <w:pPr>
              <w:ind w:left="180"/>
              <w:spacing w:after="0"/>
              <w:rPr>
                <w:sz w:val="20"/>
                <w:szCs w:val="20"/>
                <w:color w:val="auto"/>
              </w:rPr>
            </w:pPr>
            <w:r>
              <w:rPr>
                <w:rFonts w:ascii="Arial" w:cs="Arial" w:eastAsia="Arial" w:hAnsi="Arial"/>
                <w:sz w:val="18"/>
                <w:szCs w:val="18"/>
                <w:color w:val="auto"/>
              </w:rPr>
              <w:t>Item 6.</w:t>
            </w:r>
          </w:p>
        </w:tc>
        <w:tc>
          <w:tcPr>
            <w:tcW w:w="858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Quarterly Report on Form 10-Q (“Form 10-Q”)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10-Q regarding: future sales, earnings, cash flow, revenue recognition, uses of cash and other measures of financial performance, projections or expectations for future operations, including costs to complete contracts, goodwill impairment evaluations, useful life of intangible assets, unrecognized tax benefits and effective tax rate, environmental remediation costs, insurance recoveries, industry trends and expectations, including ramp up times for build rates, our plans with respect to restructuring activities, capital expenditures, completed acquisitions, future acquisitions and dispositions and expected business opportunities that may be available to us.</w:t>
      </w:r>
    </w:p>
    <w:p>
      <w:pPr>
        <w:spacing w:after="0" w:line="11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10-Q that are attributable to us or persons acting on our behalf are expressly qualified in their entirety by the “Risk Factors” contained within Part I, Item 1A of our Annual Report on Form 10-K for the year ended December 31, 2022 (“Form 10-K”).</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our Form 10-K and the following:</w:t>
      </w:r>
    </w:p>
    <w:p>
      <w:pPr>
        <w:spacing w:after="0" w:line="79" w:lineRule="exact"/>
        <w:rPr>
          <w:sz w:val="20"/>
          <w:szCs w:val="20"/>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otherwise comply with our covenants with respect to our outstanding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our indebtedness;</w:t>
      </w:r>
    </w:p>
    <w:p>
      <w:pPr>
        <w:spacing w:after="0" w:line="117" w:lineRule="exact"/>
        <w:rPr>
          <w:rFonts w:ascii="Arial" w:cs="Arial" w:eastAsia="Arial" w:hAnsi="Arial"/>
          <w:sz w:val="18"/>
          <w:szCs w:val="18"/>
          <w:color w:val="auto"/>
        </w:rPr>
      </w:pPr>
    </w:p>
    <w:p>
      <w:pPr>
        <w:ind w:left="980" w:right="32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acquisitions, business combinations, joint ventures, divestitures, or restructuring activities may entail certain operational and financial risks;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cyclicality of our end-use markets and the level of new commercial and military aircraft orders;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and customer concentration;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rates for various commercial and military aircraft programs;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U.S. Government defense spending;</w:t>
      </w:r>
    </w:p>
    <w:p>
      <w:pPr>
        <w:spacing w:after="0" w:line="117" w:lineRule="exact"/>
        <w:rPr>
          <w:rFonts w:ascii="Arial" w:cs="Arial" w:eastAsia="Arial" w:hAnsi="Arial"/>
          <w:sz w:val="18"/>
          <w:szCs w:val="18"/>
          <w:color w:val="auto"/>
        </w:rPr>
      </w:pPr>
    </w:p>
    <w:p>
      <w:pPr>
        <w:ind w:left="980" w:right="500" w:hanging="648"/>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compliance with applicable regulatory requirements and changes in regulatory requirements, including regulatory requirements such as Cybersecurity Maturity Model Certification (“CMMC”), applicable to government contracts and sub-contracts;</w:t>
      </w:r>
    </w:p>
    <w:p>
      <w:pPr>
        <w:spacing w:after="0" w:line="38" w:lineRule="exact"/>
        <w:rPr>
          <w:rFonts w:ascii="Arial" w:cs="Arial" w:eastAsia="Arial" w:hAnsi="Arial"/>
          <w:sz w:val="17"/>
          <w:szCs w:val="17"/>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consolidation of customers and suppliers in our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delivery;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start-up costs, manufacturing inefficiencies and possible overruns on contracts;</w:t>
      </w:r>
    </w:p>
    <w:p>
      <w:pPr>
        <w:spacing w:after="0" w:line="117" w:lineRule="exact"/>
        <w:rPr>
          <w:rFonts w:ascii="Arial" w:cs="Arial" w:eastAsia="Arial" w:hAnsi="Arial"/>
          <w:sz w:val="18"/>
          <w:szCs w:val="18"/>
          <w:color w:val="auto"/>
        </w:rPr>
      </w:pPr>
    </w:p>
    <w:p>
      <w:pPr>
        <w:ind w:left="980" w:right="12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design, product development, manufacturing, supply chain and other risks and uncertainties associated with our growth strategy to become a supplier of higher-level assemblies;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the risks associated with international operations and sales;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geopolitical developments and conditions, including supply chain issues and rising interest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social, and governance (“ESG”) developments and related impact;</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pandemics, such as the COVID-19 pandemic, significantly impacting the global economy and most significantly, the commercial aerospace end-use market;</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disasters, natural or otherwise, damaging or disrupting our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developments in the global credit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within highly competitive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changes and evolving industry and regulatory standards;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goodwill and other asset impairments;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environmental liabilities;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cyber security attacks or not being able to detect such attacks;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with respect to us.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caution the reader that undue reliance should not be placed on any forward-looking statements, which speak only as of the date of this Form 10-Q. We do not undertake any duty or responsibility to update any of these forward-looking statements to reflect events or circumstances after the date of this Form 10-Q, except as required by law.</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and per share data)</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71"/>
              <w:spacing w:after="0"/>
              <w:rPr>
                <w:sz w:val="20"/>
                <w:szCs w:val="20"/>
                <w:color w:val="auto"/>
              </w:rPr>
            </w:pPr>
            <w:r>
              <w:rPr>
                <w:rFonts w:ascii="Arial" w:cs="Arial" w:eastAsia="Arial" w:hAnsi="Arial"/>
                <w:sz w:val="14"/>
                <w:szCs w:val="14"/>
                <w:color w:val="auto"/>
              </w:rPr>
              <w:t>July 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0" w:type="dxa"/>
            <w:vAlign w:val="bottom"/>
          </w:tcPr>
          <w:p>
            <w:pPr>
              <w:spacing w:after="0"/>
              <w:rPr>
                <w:sz w:val="1"/>
                <w:szCs w:val="1"/>
                <w:color w:val="auto"/>
              </w:rPr>
            </w:pPr>
          </w:p>
        </w:tc>
      </w:tr>
      <w:tr>
        <w:trPr>
          <w:trHeight w:val="175"/>
        </w:trPr>
        <w:tc>
          <w:tcPr>
            <w:tcW w:w="8000" w:type="dxa"/>
            <w:vAlign w:val="bottom"/>
          </w:tcPr>
          <w:p>
            <w:pPr>
              <w:ind w:left="340"/>
              <w:spacing w:after="0" w:line="176" w:lineRule="exact"/>
              <w:rPr>
                <w:sz w:val="20"/>
                <w:szCs w:val="20"/>
                <w:color w:val="auto"/>
              </w:rPr>
            </w:pPr>
            <w:r>
              <w:rPr>
                <w:rFonts w:ascii="Arial" w:cs="Arial" w:eastAsia="Arial" w:hAnsi="Arial"/>
                <w:sz w:val="18"/>
                <w:szCs w:val="18"/>
                <w:color w:val="auto"/>
              </w:rPr>
              <w:t>Accounts receivable, net of allowance for credit losses of $1,062 and $589 at July 1, 2023 and</w:t>
            </w:r>
          </w:p>
        </w:tc>
        <w:tc>
          <w:tcPr>
            <w:tcW w:w="3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95,382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103,958</w:t>
            </w: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December 31, 2022, respectively</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assets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191,290</w:t>
            </w: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204,465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171,211</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 cost of contracts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529,123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527,336</w:t>
            </w:r>
          </w:p>
        </w:tc>
        <w:tc>
          <w:tcPr>
            <w:tcW w:w="0" w:type="dxa"/>
            <w:vAlign w:val="bottom"/>
          </w:tcPr>
          <w:p>
            <w:pPr>
              <w:spacing w:after="0"/>
              <w:rPr>
                <w:sz w:val="1"/>
                <w:szCs w:val="1"/>
                <w:color w:val="auto"/>
              </w:rPr>
            </w:pPr>
          </w:p>
        </w:tc>
      </w:tr>
      <w:tr>
        <w:trPr>
          <w:trHeight w:val="176"/>
        </w:trPr>
        <w:tc>
          <w:tcPr>
            <w:tcW w:w="8000" w:type="dxa"/>
            <w:vAlign w:val="bottom"/>
          </w:tcPr>
          <w:p>
            <w:pPr>
              <w:ind w:left="20"/>
              <w:spacing w:after="0" w:line="176" w:lineRule="exact"/>
              <w:rPr>
                <w:sz w:val="20"/>
                <w:szCs w:val="20"/>
                <w:color w:val="auto"/>
              </w:rPr>
            </w:pPr>
            <w:r>
              <w:rPr>
                <w:rFonts w:ascii="Arial" w:cs="Arial" w:eastAsia="Arial" w:hAnsi="Arial"/>
                <w:sz w:val="18"/>
                <w:szCs w:val="18"/>
                <w:color w:val="auto"/>
                <w:w w:val="94"/>
              </w:rPr>
              <w:t>Property and Equipment, Net of Accumulated Depreciation of $179,698 and $171,507 at July 1, 2023 and</w:t>
            </w:r>
          </w:p>
        </w:tc>
        <w:tc>
          <w:tcPr>
            <w:tcW w:w="3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111,357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106,225</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December 31, 2022, respectively</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34,632</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244,575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22,705</w:t>
            </w:r>
          </w:p>
        </w:tc>
        <w:tc>
          <w:tcPr>
            <w:tcW w:w="0" w:type="dxa"/>
            <w:vAlign w:val="bottom"/>
          </w:tcPr>
          <w:p>
            <w:pPr>
              <w:spacing w:after="0"/>
              <w:rPr>
                <w:sz w:val="1"/>
                <w:szCs w:val="1"/>
                <w:color w:val="auto"/>
              </w:rPr>
            </w:pPr>
          </w:p>
        </w:tc>
      </w:tr>
      <w:tr>
        <w:trPr>
          <w:trHeight w:val="25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1,021,506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82,992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90,143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47,068</w:t>
            </w:r>
          </w:p>
        </w:tc>
        <w:tc>
          <w:tcPr>
            <w:tcW w:w="0" w:type="dxa"/>
            <w:vAlign w:val="bottom"/>
          </w:tcPr>
          <w:p>
            <w:pPr>
              <w:spacing w:after="0"/>
              <w:rPr>
                <w:sz w:val="1"/>
                <w:szCs w:val="1"/>
                <w:color w:val="auto"/>
              </w:rPr>
            </w:pPr>
          </w:p>
        </w:tc>
      </w:tr>
      <w:tr>
        <w:trPr>
          <w:trHeight w:val="237"/>
        </w:trPr>
        <w:tc>
          <w:tcPr>
            <w:tcW w:w="8000" w:type="dxa"/>
            <w:vAlign w:val="bottom"/>
          </w:tcPr>
          <w:p>
            <w:pPr>
              <w:ind w:left="340"/>
              <w:spacing w:after="0"/>
              <w:rPr>
                <w:sz w:val="20"/>
                <w:szCs w:val="20"/>
                <w:color w:val="auto"/>
              </w:rPr>
            </w:pPr>
            <w:r>
              <w:rPr>
                <w:rFonts w:ascii="Arial" w:cs="Arial" w:eastAsia="Arial" w:hAnsi="Arial"/>
                <w:sz w:val="18"/>
                <w:szCs w:val="18"/>
                <w:color w:val="auto"/>
              </w:rPr>
              <w:t>Accrued and other liabilities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48,820</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199,436</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271,460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240,595</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28,841</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496,611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495,546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(Notes 9, 11)</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0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2"/>
              </w:rPr>
              <w:t>Common Stock - $0.01 par value; 35,000,000 shares authorized; 14,569,589 and 12,106,285 shares issued</w:t>
            </w: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outstanding at July 1, 2023 and December 31, 2022, respectively</w:t>
            </w: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199,526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112,042</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413,657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406,052</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37"/>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622,143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525,960</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1,118,754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1,021,506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ind w:left="36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4"/>
          </w:tcPr>
          <w:p>
            <w:pPr>
              <w:jc w:val="right"/>
              <w:ind w:right="612"/>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1"/>
        </w:trPr>
        <w:tc>
          <w:tcPr>
            <w:tcW w:w="6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color w:val="auto"/>
              </w:rPr>
              <w:t>July 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12"/>
              <w:spacing w:after="0"/>
              <w:rPr>
                <w:sz w:val="20"/>
                <w:szCs w:val="20"/>
                <w:color w:val="auto"/>
              </w:rPr>
            </w:pPr>
            <w:r>
              <w:rPr>
                <w:rFonts w:ascii="Arial" w:cs="Arial" w:eastAsia="Arial" w:hAnsi="Arial"/>
                <w:sz w:val="14"/>
                <w:szCs w:val="14"/>
                <w:color w:val="auto"/>
              </w:rPr>
              <w:t>July 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color w:val="auto"/>
              </w:rPr>
              <w:t>July 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12"/>
              <w:spacing w:after="0"/>
              <w:rPr>
                <w:sz w:val="20"/>
                <w:szCs w:val="20"/>
                <w:color w:val="auto"/>
              </w:rPr>
            </w:pPr>
            <w:r>
              <w:rPr>
                <w:rFonts w:ascii="Arial" w:cs="Arial" w:eastAsia="Arial" w:hAnsi="Arial"/>
                <w:sz w:val="14"/>
                <w:szCs w:val="14"/>
                <w:color w:val="auto"/>
              </w:rPr>
              <w:t>July 2,</w:t>
            </w:r>
          </w:p>
        </w:tc>
        <w:tc>
          <w:tcPr>
            <w:tcW w:w="0" w:type="dxa"/>
            <w:vAlign w:val="bottom"/>
          </w:tcPr>
          <w:p>
            <w:pPr>
              <w:spacing w:after="0"/>
              <w:rPr>
                <w:sz w:val="1"/>
                <w:szCs w:val="1"/>
                <w:color w:val="auto"/>
              </w:rPr>
            </w:pPr>
          </w:p>
        </w:tc>
      </w:tr>
      <w:tr>
        <w:trPr>
          <w:trHeight w:val="182"/>
        </w:trPr>
        <w:tc>
          <w:tcPr>
            <w:tcW w:w="6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337,679</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147,198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139,556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270,562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67,117</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47,537</w:t>
            </w: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16,877</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(5,735)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624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4"/>
          </w:tcPr>
          <w:p>
            <w:pPr>
              <w:jc w:val="right"/>
              <w:ind w:right="535"/>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59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color w:val="auto"/>
              </w:rPr>
              <w:t>July 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95"/>
              <w:spacing w:after="0"/>
              <w:rPr>
                <w:sz w:val="20"/>
                <w:szCs w:val="20"/>
                <w:color w:val="auto"/>
              </w:rPr>
            </w:pPr>
            <w:r>
              <w:rPr>
                <w:rFonts w:ascii="Arial" w:cs="Arial" w:eastAsia="Arial" w:hAnsi="Arial"/>
                <w:sz w:val="14"/>
                <w:szCs w:val="14"/>
                <w:color w:val="auto"/>
              </w:rPr>
              <w:t>July 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color w:val="auto"/>
              </w:rPr>
              <w:t>July 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color w:val="auto"/>
              </w:rPr>
              <w:t>July 2,</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Amortization of actuarial losses and prior service costs, net of tax of $14 and</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2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2"/>
              </w:rPr>
              <w:t>$35 for the three months ended July 1, 2023 and July 2, 2022, respectively and</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$27 and $71 for the six months ended July 1, 2023 and July 2, 2022,</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240" w:type="dxa"/>
            <w:vAlign w:val="bottom"/>
          </w:tcPr>
          <w:p>
            <w:pPr>
              <w:ind w:left="360"/>
              <w:spacing w:after="0" w:line="189" w:lineRule="exact"/>
              <w:rPr>
                <w:sz w:val="20"/>
                <w:szCs w:val="20"/>
                <w:color w:val="auto"/>
              </w:rPr>
            </w:pPr>
            <w:r>
              <w:rPr>
                <w:rFonts w:ascii="Arial" w:cs="Arial" w:eastAsia="Arial" w:hAnsi="Arial"/>
                <w:sz w:val="18"/>
                <w:szCs w:val="18"/>
                <w:color w:val="auto"/>
                <w:w w:val="97"/>
              </w:rPr>
              <w:t>Change in net unrealized gains on cash flow hedges, net of tax of $968 and</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40" w:type="dxa"/>
            <w:vAlign w:val="bottom"/>
          </w:tcPr>
          <w:p>
            <w:pPr>
              <w:ind w:left="360"/>
              <w:spacing w:after="0" w:line="176" w:lineRule="exact"/>
              <w:rPr>
                <w:sz w:val="20"/>
                <w:szCs w:val="20"/>
                <w:color w:val="auto"/>
              </w:rPr>
            </w:pPr>
            <w:r>
              <w:rPr>
                <w:rFonts w:ascii="Arial" w:cs="Arial" w:eastAsia="Arial" w:hAnsi="Arial"/>
                <w:sz w:val="18"/>
                <w:szCs w:val="18"/>
                <w:color w:val="auto"/>
                <w:w w:val="96"/>
              </w:rPr>
              <w:t>$777 for the three months ended July 1, 2023 and July 2, 2022, respectively</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40" w:type="dxa"/>
            <w:vAlign w:val="bottom"/>
          </w:tcPr>
          <w:p>
            <w:pPr>
              <w:ind w:left="360"/>
              <w:spacing w:after="0" w:line="176" w:lineRule="exact"/>
              <w:rPr>
                <w:sz w:val="20"/>
                <w:szCs w:val="20"/>
                <w:color w:val="auto"/>
              </w:rPr>
            </w:pPr>
            <w:r>
              <w:rPr>
                <w:rFonts w:ascii="Arial" w:cs="Arial" w:eastAsia="Arial" w:hAnsi="Arial"/>
                <w:sz w:val="18"/>
                <w:szCs w:val="18"/>
                <w:color w:val="auto"/>
                <w:w w:val="95"/>
              </w:rPr>
              <w:t>and $306 and $2,286 for the six months ended July 1, 2023 and July 2, 2022,</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3,116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 of Tax</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5,531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6,781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8,674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19,893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52"/>
              <w:spacing w:after="0"/>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900" w:type="dxa"/>
            <w:vAlign w:val="bottom"/>
          </w:tcPr>
          <w:p>
            <w:pPr>
              <w:spacing w:after="0"/>
              <w:rPr>
                <w:sz w:val="12"/>
                <w:szCs w:val="12"/>
                <w:color w:val="auto"/>
              </w:rPr>
            </w:pPr>
          </w:p>
        </w:tc>
        <w:tc>
          <w:tcPr>
            <w:tcW w:w="1260" w:type="dxa"/>
            <w:vAlign w:val="bottom"/>
            <w:vMerge w:val="restart"/>
          </w:tcPr>
          <w:p>
            <w:pPr>
              <w:jc w:val="right"/>
              <w:ind w:right="351"/>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31"/>
              <w:spacing w:after="0"/>
              <w:rPr>
                <w:sz w:val="20"/>
                <w:szCs w:val="20"/>
                <w:color w:val="auto"/>
              </w:rPr>
            </w:pPr>
            <w:r>
              <w:rPr>
                <w:rFonts w:ascii="Arial" w:cs="Arial" w:eastAsia="Arial" w:hAnsi="Arial"/>
                <w:sz w:val="14"/>
                <w:szCs w:val="14"/>
                <w:color w:val="auto"/>
                <w:w w:val="91"/>
              </w:rPr>
              <w:t>Common</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131"/>
              <w:spacing w:after="0"/>
              <w:rPr>
                <w:sz w:val="20"/>
                <w:szCs w:val="20"/>
                <w:color w:val="auto"/>
              </w:rPr>
            </w:pPr>
            <w:r>
              <w:rPr>
                <w:rFonts w:ascii="Arial" w:cs="Arial" w:eastAsia="Arial" w:hAnsi="Arial"/>
                <w:sz w:val="14"/>
                <w:szCs w:val="14"/>
                <w:color w:val="auto"/>
                <w:w w:val="99"/>
              </w:rPr>
              <w:t>Retained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52"/>
              <w:spacing w:after="0" w:line="14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2"/>
              <w:spacing w:after="0" w:line="141"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3"/>
        </w:trPr>
        <w:tc>
          <w:tcPr>
            <w:tcW w:w="39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72"/>
              <w:spacing w:after="0" w:line="143" w:lineRule="exact"/>
              <w:rPr>
                <w:sz w:val="20"/>
                <w:szCs w:val="20"/>
                <w:color w:val="auto"/>
              </w:rPr>
            </w:pPr>
            <w:r>
              <w:rPr>
                <w:rFonts w:ascii="Arial" w:cs="Arial" w:eastAsia="Arial" w:hAnsi="Arial"/>
                <w:sz w:val="14"/>
                <w:szCs w:val="14"/>
                <w:color w:val="auto"/>
              </w:rPr>
              <w:t>Paid-In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2"/>
              <w:spacing w:after="0" w:line="143" w:lineRule="exact"/>
              <w:rPr>
                <w:sz w:val="20"/>
                <w:szCs w:val="20"/>
                <w:color w:val="auto"/>
              </w:rPr>
            </w:pPr>
            <w:r>
              <w:rPr>
                <w:rFonts w:ascii="Arial" w:cs="Arial" w:eastAsia="Arial" w:hAnsi="Arial"/>
                <w:sz w:val="14"/>
                <w:szCs w:val="14"/>
                <w:color w:val="auto"/>
                <w:w w:val="91"/>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2"/>
              <w:spacing w:after="0" w:line="143"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82"/>
        </w:trPr>
        <w:tc>
          <w:tcPr>
            <w:tcW w:w="3900" w:type="dxa"/>
            <w:vAlign w:val="bottom"/>
          </w:tcPr>
          <w:p>
            <w:pPr>
              <w:spacing w:after="0"/>
              <w:rPr>
                <w:sz w:val="15"/>
                <w:szCs w:val="15"/>
                <w:color w:val="auto"/>
              </w:rPr>
            </w:pPr>
          </w:p>
        </w:tc>
        <w:tc>
          <w:tcPr>
            <w:tcW w:w="1260" w:type="dxa"/>
            <w:vAlign w:val="bottom"/>
          </w:tcPr>
          <w:p>
            <w:pPr>
              <w:jc w:val="right"/>
              <w:ind w:right="191"/>
              <w:spacing w:after="0"/>
              <w:rPr>
                <w:sz w:val="20"/>
                <w:szCs w:val="20"/>
                <w:color w:val="auto"/>
              </w:rPr>
            </w:pPr>
            <w:r>
              <w:rPr>
                <w:rFonts w:ascii="Arial" w:cs="Arial" w:eastAsia="Arial" w:hAnsi="Arial"/>
                <w:sz w:val="14"/>
                <w:szCs w:val="14"/>
                <w:color w:val="auto"/>
              </w:rPr>
              <w:t>Outstanding</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31"/>
              <w:spacing w:after="0"/>
              <w:rPr>
                <w:sz w:val="20"/>
                <w:szCs w:val="20"/>
                <w:color w:val="auto"/>
              </w:rPr>
            </w:pPr>
            <w:r>
              <w:rPr>
                <w:rFonts w:ascii="Arial" w:cs="Arial" w:eastAsia="Arial" w:hAnsi="Arial"/>
                <w:sz w:val="14"/>
                <w:szCs w:val="14"/>
                <w:color w:val="auto"/>
              </w:rPr>
              <w:t>Stock</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52"/>
              <w:spacing w:after="0"/>
              <w:rPr>
                <w:sz w:val="20"/>
                <w:szCs w:val="20"/>
                <w:color w:val="auto"/>
              </w:rPr>
            </w:pPr>
            <w:r>
              <w:rPr>
                <w:rFonts w:ascii="Arial" w:cs="Arial" w:eastAsia="Arial" w:hAnsi="Arial"/>
                <w:sz w:val="14"/>
                <w:szCs w:val="14"/>
                <w:color w:val="auto"/>
                <w:w w:val="94"/>
              </w:rPr>
              <w:t>Income (Loss)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2"/>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6"/>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11,925,087</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474,602</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31,686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48,119</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117,387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Stock repurchased related to the exercise of stock</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(89,334)</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and stock awards vested</w:t>
            </w:r>
          </w:p>
        </w:tc>
        <w:tc>
          <w:tcPr>
            <w:tcW w:w="126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2, 2022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12,032,945</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487,706</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33,093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 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42,962</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900" w:type="dxa"/>
            <w:vAlign w:val="bottom"/>
          </w:tcPr>
          <w:p>
            <w:pPr>
              <w:ind w:left="20"/>
              <w:spacing w:after="0" w:line="189" w:lineRule="exact"/>
              <w:rPr>
                <w:sz w:val="20"/>
                <w:szCs w:val="20"/>
                <w:color w:val="auto"/>
              </w:rPr>
            </w:pPr>
            <w:r>
              <w:rPr>
                <w:rFonts w:ascii="Arial" w:cs="Arial" w:eastAsia="Arial" w:hAnsi="Arial"/>
                <w:sz w:val="18"/>
                <w:szCs w:val="18"/>
                <w:color w:val="auto"/>
                <w:w w:val="96"/>
              </w:rPr>
              <w:t>Stock repurchased related to the exercise of stock</w:t>
            </w: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options and stock awards 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(41,132)</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32"/>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Balance at July 2, 2022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12,067,868</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106,301</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389,509</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614</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496,545</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9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12,106,285</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112,042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406,052</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7,745</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525,960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3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25,561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 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173,249</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6"/>
              </w:rPr>
              <w:t>Stock repurchased related to the exercise of stock</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(100,224)</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(5,479)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options and stock awards vested</w:t>
            </w:r>
          </w:p>
        </w:tc>
        <w:tc>
          <w:tcPr>
            <w:tcW w:w="12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32"/>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Balance at April 1, 2023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12,231,704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111,322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411,283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5,657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528,384</w:t>
            </w: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188"/>
        </w:trPr>
        <w:tc>
          <w:tcPr>
            <w:tcW w:w="3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Issuance of common stock in public offering, net of</w:t>
            </w:r>
          </w:p>
        </w:tc>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costs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85,107</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1,771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 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54,814</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6"/>
              </w:rPr>
              <w:t>Stock repurchased related to the exercise of stock</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(18,700)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options and stock awards vested</w:t>
            </w:r>
          </w:p>
        </w:tc>
        <w:tc>
          <w:tcPr>
            <w:tcW w:w="12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Balance at July 1, 2023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14,569,589</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199,526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413,657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622,143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4"/>
                <w:szCs w:val="14"/>
                <w:color w:val="auto"/>
              </w:rPr>
              <w:t>Six Months Ended</w:t>
            </w:r>
          </w:p>
        </w:tc>
        <w:tc>
          <w:tcPr>
            <w:tcW w:w="1000" w:type="dxa"/>
            <w:vAlign w:val="bottom"/>
          </w:tcPr>
          <w:p>
            <w:pPr>
              <w:spacing w:after="0"/>
              <w:rPr>
                <w:sz w:val="15"/>
                <w:szCs w:val="15"/>
                <w:color w:val="auto"/>
              </w:rPr>
            </w:pPr>
          </w:p>
        </w:tc>
      </w:tr>
      <w:tr>
        <w:trPr>
          <w:trHeight w:val="161"/>
        </w:trPr>
        <w:tc>
          <w:tcPr>
            <w:tcW w:w="8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1"/>
              <w:spacing w:after="0"/>
              <w:rPr>
                <w:sz w:val="20"/>
                <w:szCs w:val="20"/>
                <w:color w:val="auto"/>
              </w:rPr>
            </w:pPr>
            <w:r>
              <w:rPr>
                <w:rFonts w:ascii="Arial" w:cs="Arial" w:eastAsia="Arial" w:hAnsi="Arial"/>
                <w:sz w:val="14"/>
                <w:szCs w:val="14"/>
                <w:color w:val="auto"/>
              </w:rPr>
              <w:t>July 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jc w:val="right"/>
              <w:ind w:right="471"/>
              <w:spacing w:after="0"/>
              <w:rPr>
                <w:sz w:val="20"/>
                <w:szCs w:val="20"/>
                <w:color w:val="auto"/>
              </w:rPr>
            </w:pPr>
            <w:r>
              <w:rPr>
                <w:rFonts w:ascii="Arial" w:cs="Arial" w:eastAsia="Arial" w:hAnsi="Arial"/>
                <w:sz w:val="14"/>
                <w:szCs w:val="14"/>
                <w:color w:val="auto"/>
              </w:rPr>
              <w:t>July 2,</w:t>
            </w:r>
          </w:p>
        </w:tc>
      </w:tr>
      <w:tr>
        <w:trPr>
          <w:trHeight w:val="182"/>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ind w:right="531"/>
              <w:spacing w:after="0"/>
              <w:rPr>
                <w:sz w:val="20"/>
                <w:szCs w:val="20"/>
                <w:color w:val="auto"/>
              </w:rPr>
            </w:pPr>
            <w:r>
              <w:rPr>
                <w:rFonts w:ascii="Arial" w:cs="Arial" w:eastAsia="Arial" w:hAnsi="Arial"/>
                <w:sz w:val="14"/>
                <w:szCs w:val="14"/>
                <w:color w:val="auto"/>
              </w:rPr>
              <w:t>2022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7,605</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12,246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020" w:type="dxa"/>
            <w:vAlign w:val="bottom"/>
          </w:tcPr>
          <w:p>
            <w:pPr>
              <w:ind w:left="14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6"/>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15,666</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Non-cash operating lease cost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3,582</w:t>
            </w:r>
          </w:p>
        </w:tc>
      </w:tr>
      <w:tr>
        <w:trPr>
          <w:trHeight w:val="243"/>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Inventory write down and property and equipment impairment due to restructuring</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5,190</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r>
      <w:tr>
        <w:trPr>
          <w:trHeight w:val="237"/>
        </w:trPr>
        <w:tc>
          <w:tcPr>
            <w:tcW w:w="8020" w:type="dxa"/>
            <w:vAlign w:val="bottom"/>
          </w:tcPr>
          <w:p>
            <w:pPr>
              <w:ind w:left="680"/>
              <w:spacing w:after="0"/>
              <w:rPr>
                <w:sz w:val="20"/>
                <w:szCs w:val="20"/>
                <w:color w:val="auto"/>
              </w:rPr>
            </w:pPr>
            <w:r>
              <w:rPr>
                <w:rFonts w:ascii="Arial" w:cs="Arial" w:eastAsia="Arial" w:hAnsi="Arial"/>
                <w:sz w:val="18"/>
                <w:szCs w:val="18"/>
                <w:color w:val="auto"/>
              </w:rPr>
              <w:t>Provision for (recovery of) credit losses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36"/>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Recognition of insurance recoveries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6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43"/>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9"/>
        </w:trPr>
        <w:tc>
          <w:tcPr>
            <w:tcW w:w="8020" w:type="dxa"/>
            <w:vAlign w:val="bottom"/>
          </w:tcPr>
          <w:p>
            <w:pPr>
              <w:ind w:left="9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(11,597)</w:t>
            </w:r>
          </w:p>
        </w:tc>
      </w:tr>
      <w:tr>
        <w:trPr>
          <w:trHeight w:val="230"/>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Contract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w:t>
            </w:r>
          </w:p>
        </w:tc>
      </w:tr>
      <w:tr>
        <w:trPr>
          <w:trHeight w:val="237"/>
        </w:trPr>
        <w:tc>
          <w:tcPr>
            <w:tcW w:w="8020" w:type="dxa"/>
            <w:vAlign w:val="bottom"/>
          </w:tcPr>
          <w:p>
            <w:pPr>
              <w:ind w:left="9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(21,243)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(13,821)</w:t>
            </w:r>
          </w:p>
        </w:tc>
      </w:tr>
      <w:tr>
        <w:trPr>
          <w:trHeight w:val="236"/>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Production cost of contracts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29"/>
        </w:trPr>
        <w:tc>
          <w:tcPr>
            <w:tcW w:w="8020" w:type="dxa"/>
            <w:vAlign w:val="bottom"/>
          </w:tcPr>
          <w:p>
            <w:pPr>
              <w:ind w:left="9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r>
      <w:tr>
        <w:trPr>
          <w:trHeight w:val="229"/>
        </w:trPr>
        <w:tc>
          <w:tcPr>
            <w:tcW w:w="8020" w:type="dxa"/>
            <w:vAlign w:val="bottom"/>
          </w:tcPr>
          <w:p>
            <w:pPr>
              <w:ind w:left="92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(5,356)</w:t>
            </w:r>
          </w:p>
        </w:tc>
      </w:tr>
      <w:tr>
        <w:trPr>
          <w:trHeight w:val="230"/>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r>
      <w:tr>
        <w:trPr>
          <w:trHeight w:val="237"/>
        </w:trPr>
        <w:tc>
          <w:tcPr>
            <w:tcW w:w="802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Accrued and other liabilities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r>
      <w:tr>
        <w:trPr>
          <w:trHeight w:val="229"/>
        </w:trPr>
        <w:tc>
          <w:tcPr>
            <w:tcW w:w="80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(9,747)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r>
      <w:tr>
        <w:trPr>
          <w:trHeight w:val="237"/>
        </w:trPr>
        <w:tc>
          <w:tcPr>
            <w:tcW w:w="8020" w:type="dxa"/>
            <w:vAlign w:val="bottom"/>
          </w:tcPr>
          <w:p>
            <w:pPr>
              <w:ind w:left="680"/>
              <w:spacing w:after="0"/>
              <w:rPr>
                <w:sz w:val="20"/>
                <w:szCs w:val="20"/>
                <w:color w:val="auto"/>
              </w:rPr>
            </w:pPr>
            <w:r>
              <w:rPr>
                <w:rFonts w:ascii="Arial" w:cs="Arial" w:eastAsia="Arial" w:hAnsi="Arial"/>
                <w:sz w:val="18"/>
                <w:szCs w:val="18"/>
                <w:color w:val="auto"/>
              </w:rPr>
              <w:t>Proceeds from sale of assets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6"/>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Payments for acquisition of BLR Aerospace L.L.C., net of cash acquired</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(114,353)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Post closing cash received from the acquisition of Magnetic Seal LLC, net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r>
        <w:trPr>
          <w:trHeight w:val="223"/>
        </w:trPr>
        <w:tc>
          <w:tcPr>
            <w:tcW w:w="80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(125,272)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(8,652)</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from senior secured revolving credit facility</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Repayments of senior secured revolving credit facility</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(99,700)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of term loans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w:t>
            </w:r>
          </w:p>
        </w:tc>
      </w:tr>
      <w:tr>
        <w:trPr>
          <w:trHeight w:val="237"/>
        </w:trPr>
        <w:tc>
          <w:tcPr>
            <w:tcW w:w="8020" w:type="dxa"/>
            <w:vAlign w:val="bottom"/>
          </w:tcPr>
          <w:p>
            <w:pPr>
              <w:ind w:left="680"/>
              <w:spacing w:after="0"/>
              <w:rPr>
                <w:sz w:val="20"/>
                <w:szCs w:val="20"/>
                <w:color w:val="auto"/>
              </w:rPr>
            </w:pPr>
            <w:r>
              <w:rPr>
                <w:rFonts w:ascii="Arial" w:cs="Arial" w:eastAsia="Arial" w:hAnsi="Arial"/>
                <w:sz w:val="18"/>
                <w:szCs w:val="18"/>
                <w:color w:val="auto"/>
              </w:rPr>
              <w:t>Repayments of other debt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6"/>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issuance of common stock in public offering, net of issuance costs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Net cash paid upon issuance of common stock under stock plans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r>
      <w:tr>
        <w:trPr>
          <w:trHeight w:val="237"/>
        </w:trPr>
        <w:tc>
          <w:tcPr>
            <w:tcW w:w="802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111,579</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(36,263)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(38,797)</w:t>
            </w: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76,316</w:t>
            </w:r>
          </w:p>
        </w:tc>
      </w:tr>
      <w:tr>
        <w:trPr>
          <w:trHeight w:val="23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22,806</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37,519</w:t>
            </w:r>
          </w:p>
        </w:tc>
      </w:tr>
      <w:tr>
        <w:trPr>
          <w:trHeight w:val="25"/>
        </w:trPr>
        <w:tc>
          <w:tcPr>
            <w:tcW w:w="80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Business</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2022 condensed consolidated balance sheet data was derived from audited financial statements, but does not contain all disclosures required by accounting principles generally accepted in the United States of America (“GAAP”).</w:t>
      </w:r>
    </w:p>
    <w:p>
      <w:pPr>
        <w:spacing w:after="0" w:line="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significant accounting policies were described in Part IV, Item 15(a)(1), “Note 1. Summary of Significant Accounting Policies” in our Annual Report on Form 10-K for the year ended December 31, 2022 (“2022 Form 10-K”). The financial information included in this Quarterly Report on Form 10-Q (“Form 10-Q”) should be read in conjunction with the 2022 Form 10-K.</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opinion of management, all adjustments, consisting of recurring accruals, have been made that are necessary to fairly state our condensed consolidated financial position, statements of income, comprehensive income, changes in shareholders’ equity, and cash flows in accordance with GAAP for the periods covered by this Form 10-Q. The results of operations for the three and six months ended July 1, 2023 are not necessarily indicative of the results to be expected for the full year ending December 31, 2023.</w:t>
      </w:r>
    </w:p>
    <w:p>
      <w:pPr>
        <w:spacing w:after="0" w:line="6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4"/>
          </w:tcPr>
          <w:p>
            <w:pPr>
              <w:jc w:val="right"/>
              <w:ind w:right="677"/>
              <w:spacing w:after="0"/>
              <w:rPr>
                <w:sz w:val="20"/>
                <w:szCs w:val="20"/>
                <w:color w:val="auto"/>
              </w:rPr>
            </w:pPr>
            <w:r>
              <w:rPr>
                <w:rFonts w:ascii="Arial" w:cs="Arial" w:eastAsia="Arial" w:hAnsi="Arial"/>
                <w:sz w:val="14"/>
                <w:szCs w:val="14"/>
                <w:color w:val="auto"/>
              </w:rPr>
              <w:t>(Dollars in thousands)</w:t>
            </w:r>
          </w:p>
        </w:tc>
      </w:tr>
      <w:tr>
        <w:trPr>
          <w:trHeight w:val="189"/>
        </w:trPr>
        <w:tc>
          <w:tcPr>
            <w:tcW w:w="8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777"/>
              <w:spacing w:after="0"/>
              <w:rPr>
                <w:sz w:val="20"/>
                <w:szCs w:val="20"/>
                <w:color w:val="auto"/>
              </w:rPr>
            </w:pPr>
            <w:r>
              <w:rPr>
                <w:rFonts w:ascii="Arial" w:cs="Arial" w:eastAsia="Arial" w:hAnsi="Arial"/>
                <w:sz w:val="14"/>
                <w:szCs w:val="14"/>
                <w:color w:val="auto"/>
              </w:rPr>
              <w:t>Six Months Ended</w:t>
            </w:r>
          </w:p>
        </w:tc>
      </w:tr>
      <w:tr>
        <w:trPr>
          <w:trHeight w:val="169"/>
        </w:trPr>
        <w:tc>
          <w:tcPr>
            <w:tcW w:w="8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80"/>
              <w:spacing w:after="0"/>
              <w:rPr>
                <w:sz w:val="20"/>
                <w:szCs w:val="20"/>
                <w:color w:val="auto"/>
              </w:rPr>
            </w:pPr>
            <w:r>
              <w:rPr>
                <w:rFonts w:ascii="Arial" w:cs="Arial" w:eastAsia="Arial" w:hAnsi="Arial"/>
                <w:sz w:val="14"/>
                <w:szCs w:val="14"/>
                <w:color w:val="auto"/>
              </w:rPr>
              <w:t>July 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397"/>
              <w:spacing w:after="0"/>
              <w:rPr>
                <w:sz w:val="20"/>
                <w:szCs w:val="20"/>
                <w:color w:val="auto"/>
              </w:rPr>
            </w:pPr>
            <w:r>
              <w:rPr>
                <w:rFonts w:ascii="Arial" w:cs="Arial" w:eastAsia="Arial" w:hAnsi="Arial"/>
                <w:sz w:val="14"/>
                <w:szCs w:val="14"/>
                <w:color w:val="auto"/>
              </w:rPr>
              <w:t>July 2,</w:t>
            </w:r>
          </w:p>
        </w:tc>
      </w:tr>
      <w:tr>
        <w:trPr>
          <w:trHeight w:val="188"/>
        </w:trPr>
        <w:tc>
          <w:tcPr>
            <w:tcW w:w="8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2022</w:t>
            </w:r>
          </w:p>
        </w:tc>
      </w:tr>
      <w:tr>
        <w:trPr>
          <w:trHeight w:val="24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Taxes paid,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10,038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60" w:type="dxa"/>
            <w:vAlign w:val="bottom"/>
          </w:tcPr>
          <w:p>
            <w:pPr>
              <w:ind w:left="380"/>
              <w:spacing w:after="0"/>
              <w:rPr>
                <w:sz w:val="20"/>
                <w:szCs w:val="20"/>
                <w:color w:val="auto"/>
              </w:rPr>
            </w:pPr>
            <w:r>
              <w:rPr>
                <w:rFonts w:ascii="Arial" w:cs="Arial" w:eastAsia="Arial" w:hAnsi="Arial"/>
                <w:sz w:val="18"/>
                <w:szCs w:val="18"/>
                <w:color w:val="auto"/>
              </w:rPr>
              <w:t>Purchases of property and equipment not paid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2,761</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0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net income and weighted-average common shares outstanding used to compute earnings per share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center"/>
              <w:ind w:right="195"/>
              <w:spacing w:after="0"/>
              <w:rPr>
                <w:sz w:val="20"/>
                <w:szCs w:val="20"/>
                <w:color w:val="auto"/>
              </w:rPr>
            </w:pPr>
            <w:r>
              <w:rPr>
                <w:rFonts w:ascii="Arial" w:cs="Arial" w:eastAsia="Arial" w:hAnsi="Arial"/>
                <w:sz w:val="14"/>
                <w:szCs w:val="14"/>
                <w:color w:val="auto"/>
                <w:w w:val="93"/>
              </w:rPr>
              <w:t>(Dollars in thousands,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center"/>
              <w:ind w:right="215"/>
              <w:spacing w:after="0"/>
              <w:rPr>
                <w:sz w:val="20"/>
                <w:szCs w:val="20"/>
                <w:color w:val="auto"/>
              </w:rPr>
            </w:pPr>
            <w:r>
              <w:rPr>
                <w:rFonts w:ascii="Arial" w:cs="Arial" w:eastAsia="Arial" w:hAnsi="Arial"/>
                <w:sz w:val="14"/>
                <w:szCs w:val="14"/>
                <w:color w:val="auto"/>
                <w:w w:val="93"/>
              </w:rPr>
              <w:t>(Dollars in thousands,</w:t>
            </w:r>
          </w:p>
        </w:tc>
        <w:tc>
          <w:tcPr>
            <w:tcW w:w="0" w:type="dxa"/>
            <w:vAlign w:val="bottom"/>
          </w:tcPr>
          <w:p>
            <w:pPr>
              <w:spacing w:after="0"/>
              <w:rPr>
                <w:sz w:val="1"/>
                <w:szCs w:val="1"/>
                <w:color w:val="auto"/>
              </w:rPr>
            </w:pPr>
          </w:p>
        </w:tc>
      </w:tr>
      <w:tr>
        <w:trPr>
          <w:trHeight w:val="182"/>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4"/>
          </w:tcPr>
          <w:p>
            <w:pPr>
              <w:jc w:val="center"/>
              <w:ind w:right="195"/>
              <w:spacing w:after="0"/>
              <w:rPr>
                <w:sz w:val="20"/>
                <w:szCs w:val="20"/>
                <w:color w:val="auto"/>
              </w:rPr>
            </w:pPr>
            <w:r>
              <w:rPr>
                <w:rFonts w:ascii="Arial" w:cs="Arial" w:eastAsia="Arial" w:hAnsi="Arial"/>
                <w:sz w:val="14"/>
                <w:szCs w:val="14"/>
                <w:color w:val="auto"/>
                <w:w w:val="89"/>
              </w:rPr>
              <w:t>except per share data)</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center"/>
              <w:ind w:right="215"/>
              <w:spacing w:after="0"/>
              <w:rPr>
                <w:sz w:val="20"/>
                <w:szCs w:val="20"/>
                <w:color w:val="auto"/>
              </w:rPr>
            </w:pPr>
            <w:r>
              <w:rPr>
                <w:rFonts w:ascii="Arial" w:cs="Arial" w:eastAsia="Arial" w:hAnsi="Arial"/>
                <w:sz w:val="14"/>
                <w:szCs w:val="14"/>
                <w:color w:val="auto"/>
                <w:w w:val="89"/>
              </w:rPr>
              <w:t>except per share data)</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center"/>
              <w:ind w:right="195"/>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jc w:val="center"/>
              <w:ind w:right="215"/>
              <w:spacing w:after="0"/>
              <w:rPr>
                <w:sz w:val="20"/>
                <w:szCs w:val="20"/>
                <w:color w:val="auto"/>
              </w:rPr>
            </w:pPr>
            <w:r>
              <w:rPr>
                <w:rFonts w:ascii="Arial" w:cs="Arial" w:eastAsia="Arial" w:hAnsi="Arial"/>
                <w:sz w:val="14"/>
                <w:szCs w:val="14"/>
                <w:color w:val="auto"/>
                <w:w w:val="93"/>
              </w:rPr>
              <w:t>Six Months Ended</w:t>
            </w: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78"/>
              <w:spacing w:after="0" w:line="155" w:lineRule="exact"/>
              <w:rPr>
                <w:sz w:val="20"/>
                <w:szCs w:val="20"/>
                <w:color w:val="auto"/>
              </w:rPr>
            </w:pPr>
            <w:r>
              <w:rPr>
                <w:rFonts w:ascii="Arial" w:cs="Arial" w:eastAsia="Arial" w:hAnsi="Arial"/>
                <w:sz w:val="14"/>
                <w:szCs w:val="14"/>
                <w:color w:val="auto"/>
              </w:rPr>
              <w:t>July 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375"/>
              <w:spacing w:after="0" w:line="155" w:lineRule="exact"/>
              <w:rPr>
                <w:sz w:val="20"/>
                <w:szCs w:val="20"/>
                <w:color w:val="auto"/>
              </w:rPr>
            </w:pPr>
            <w:r>
              <w:rPr>
                <w:rFonts w:ascii="Arial" w:cs="Arial" w:eastAsia="Arial" w:hAnsi="Arial"/>
                <w:sz w:val="14"/>
                <w:szCs w:val="14"/>
                <w:color w:val="auto"/>
              </w:rPr>
              <w:t>July 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58"/>
              <w:spacing w:after="0" w:line="155" w:lineRule="exact"/>
              <w:rPr>
                <w:sz w:val="20"/>
                <w:szCs w:val="20"/>
                <w:color w:val="auto"/>
              </w:rPr>
            </w:pPr>
            <w:r>
              <w:rPr>
                <w:rFonts w:ascii="Arial" w:cs="Arial" w:eastAsia="Arial" w:hAnsi="Arial"/>
                <w:sz w:val="14"/>
                <w:szCs w:val="14"/>
                <w:color w:val="auto"/>
              </w:rPr>
              <w:t>July 1,</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375"/>
              <w:spacing w:after="0" w:line="155" w:lineRule="exact"/>
              <w:rPr>
                <w:sz w:val="20"/>
                <w:szCs w:val="20"/>
                <w:color w:val="auto"/>
              </w:rPr>
            </w:pPr>
            <w:r>
              <w:rPr>
                <w:rFonts w:ascii="Arial" w:cs="Arial" w:eastAsia="Arial" w:hAnsi="Arial"/>
                <w:sz w:val="14"/>
                <w:szCs w:val="14"/>
                <w:color w:val="auto"/>
              </w:rPr>
              <w:t>July 2,</w:t>
            </w:r>
          </w:p>
        </w:tc>
        <w:tc>
          <w:tcPr>
            <w:tcW w:w="0" w:type="dxa"/>
            <w:vAlign w:val="bottom"/>
          </w:tcPr>
          <w:p>
            <w:pPr>
              <w:spacing w:after="0"/>
              <w:rPr>
                <w:sz w:val="1"/>
                <w:szCs w:val="1"/>
                <w:color w:val="auto"/>
              </w:rPr>
            </w:pPr>
          </w:p>
        </w:tc>
      </w:tr>
      <w:tr>
        <w:trPr>
          <w:trHeight w:val="182"/>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3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8"/>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weighted-average common shares outstanding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potential common shares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54"/>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gridSpan w:val="3"/>
          </w:tcPr>
          <w:p>
            <w:pPr>
              <w:jc w:val="center"/>
              <w:ind w:right="468"/>
              <w:spacing w:after="0"/>
              <w:rPr>
                <w:sz w:val="20"/>
                <w:szCs w:val="20"/>
                <w:color w:val="auto"/>
              </w:rPr>
            </w:pPr>
            <w:r>
              <w:rPr>
                <w:rFonts w:ascii="Arial" w:cs="Arial" w:eastAsia="Arial" w:hAnsi="Arial"/>
                <w:sz w:val="14"/>
                <w:szCs w:val="14"/>
                <w:color w:val="auto"/>
                <w:w w:val="91"/>
              </w:rPr>
              <w:t>(In thousands)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gridSpan w:val="3"/>
          </w:tcPr>
          <w:p>
            <w:pPr>
              <w:jc w:val="center"/>
              <w:ind w:right="468"/>
              <w:spacing w:after="0"/>
              <w:rPr>
                <w:sz w:val="20"/>
                <w:szCs w:val="20"/>
                <w:color w:val="auto"/>
              </w:rPr>
            </w:pPr>
            <w:r>
              <w:rPr>
                <w:rFonts w:ascii="Arial" w:cs="Arial" w:eastAsia="Arial" w:hAnsi="Arial"/>
                <w:sz w:val="14"/>
                <w:szCs w:val="14"/>
                <w:color w:val="auto"/>
                <w:w w:val="91"/>
              </w:rPr>
              <w:t>(In thousands)</w:t>
            </w:r>
          </w:p>
        </w:tc>
        <w:tc>
          <w:tcPr>
            <w:tcW w:w="360" w:type="dxa"/>
            <w:vAlign w:val="bottom"/>
          </w:tcPr>
          <w:p>
            <w:pPr>
              <w:spacing w:after="0"/>
              <w:rPr>
                <w:sz w:val="15"/>
                <w:szCs w:val="15"/>
                <w:color w:val="auto"/>
              </w:rPr>
            </w:pPr>
          </w:p>
        </w:tc>
      </w:tr>
      <w:tr>
        <w:trPr>
          <w:trHeight w:val="189"/>
        </w:trPr>
        <w:tc>
          <w:tcPr>
            <w:tcW w:w="5660" w:type="dxa"/>
            <w:vAlign w:val="bottom"/>
          </w:tcPr>
          <w:p>
            <w:pPr>
              <w:spacing w:after="0"/>
              <w:rPr>
                <w:sz w:val="16"/>
                <w:szCs w:val="16"/>
                <w:color w:val="auto"/>
              </w:rPr>
            </w:pPr>
          </w:p>
        </w:tc>
        <w:tc>
          <w:tcPr>
            <w:tcW w:w="2380" w:type="dxa"/>
            <w:vAlign w:val="bottom"/>
            <w:gridSpan w:val="4"/>
          </w:tcPr>
          <w:p>
            <w:pPr>
              <w:jc w:val="center"/>
              <w:ind w:left="288"/>
              <w:spacing w:after="0"/>
              <w:rPr>
                <w:sz w:val="20"/>
                <w:szCs w:val="20"/>
                <w:color w:val="auto"/>
              </w:rPr>
            </w:pPr>
            <w:r>
              <w:rPr>
                <w:rFonts w:ascii="Arial" w:cs="Arial" w:eastAsia="Arial" w:hAnsi="Arial"/>
                <w:sz w:val="14"/>
                <w:szCs w:val="14"/>
                <w:color w:val="auto"/>
                <w:w w:val="93"/>
              </w:rPr>
              <w:t>Three Months Ended</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center"/>
              <w:ind w:left="288"/>
              <w:spacing w:after="0"/>
              <w:rPr>
                <w:sz w:val="20"/>
                <w:szCs w:val="20"/>
                <w:color w:val="auto"/>
              </w:rPr>
            </w:pPr>
            <w:r>
              <w:rPr>
                <w:rFonts w:ascii="Arial" w:cs="Arial" w:eastAsia="Arial" w:hAnsi="Arial"/>
                <w:sz w:val="14"/>
                <w:szCs w:val="14"/>
                <w:color w:val="auto"/>
                <w:w w:val="95"/>
              </w:rPr>
              <w:t>Six Months Ended</w:t>
            </w:r>
          </w:p>
        </w:tc>
        <w:tc>
          <w:tcPr>
            <w:tcW w:w="360" w:type="dxa"/>
            <w:vAlign w:val="bottom"/>
          </w:tcPr>
          <w:p>
            <w:pPr>
              <w:spacing w:after="0"/>
              <w:rPr>
                <w:sz w:val="16"/>
                <w:szCs w:val="16"/>
                <w:color w:val="auto"/>
              </w:rPr>
            </w:pPr>
          </w:p>
        </w:tc>
      </w:tr>
      <w:tr>
        <w:trPr>
          <w:trHeight w:val="169"/>
        </w:trPr>
        <w:tc>
          <w:tcPr>
            <w:tcW w:w="5660" w:type="dxa"/>
            <w:vAlign w:val="bottom"/>
          </w:tcPr>
          <w:p>
            <w:pPr>
              <w:spacing w:after="0"/>
              <w:rPr>
                <w:sz w:val="14"/>
                <w:szCs w:val="14"/>
                <w:color w:val="auto"/>
              </w:rPr>
            </w:pPr>
          </w:p>
        </w:tc>
        <w:tc>
          <w:tcPr>
            <w:tcW w:w="900" w:type="dxa"/>
            <w:vAlign w:val="bottom"/>
          </w:tcPr>
          <w:p>
            <w:pPr>
              <w:jc w:val="center"/>
              <w:ind w:left="368"/>
              <w:spacing w:after="0"/>
              <w:rPr>
                <w:sz w:val="20"/>
                <w:szCs w:val="20"/>
                <w:color w:val="auto"/>
              </w:rPr>
            </w:pPr>
            <w:r>
              <w:rPr>
                <w:rFonts w:ascii="Arial" w:cs="Arial" w:eastAsia="Arial" w:hAnsi="Arial"/>
                <w:sz w:val="14"/>
                <w:szCs w:val="14"/>
                <w:color w:val="auto"/>
                <w:w w:val="93"/>
              </w:rPr>
              <w:t>July 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left="288"/>
              <w:spacing w:after="0"/>
              <w:rPr>
                <w:sz w:val="20"/>
                <w:szCs w:val="20"/>
                <w:color w:val="auto"/>
              </w:rPr>
            </w:pPr>
            <w:r>
              <w:rPr>
                <w:rFonts w:ascii="Arial" w:cs="Arial" w:eastAsia="Arial" w:hAnsi="Arial"/>
                <w:sz w:val="14"/>
                <w:szCs w:val="14"/>
                <w:color w:val="auto"/>
                <w:w w:val="93"/>
              </w:rPr>
              <w:t>July 2,</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left="348"/>
              <w:spacing w:after="0"/>
              <w:rPr>
                <w:sz w:val="20"/>
                <w:szCs w:val="20"/>
                <w:color w:val="auto"/>
              </w:rPr>
            </w:pPr>
            <w:r>
              <w:rPr>
                <w:rFonts w:ascii="Arial" w:cs="Arial" w:eastAsia="Arial" w:hAnsi="Arial"/>
                <w:sz w:val="14"/>
                <w:szCs w:val="14"/>
                <w:color w:val="auto"/>
                <w:w w:val="93"/>
              </w:rPr>
              <w:t>July 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left="288"/>
              <w:spacing w:after="0"/>
              <w:rPr>
                <w:sz w:val="20"/>
                <w:szCs w:val="20"/>
                <w:color w:val="auto"/>
              </w:rPr>
            </w:pPr>
            <w:r>
              <w:rPr>
                <w:rFonts w:ascii="Arial" w:cs="Arial" w:eastAsia="Arial" w:hAnsi="Arial"/>
                <w:sz w:val="14"/>
                <w:szCs w:val="14"/>
                <w:color w:val="auto"/>
                <w:w w:val="93"/>
              </w:rPr>
              <w:t>July 2,</w:t>
            </w:r>
          </w:p>
        </w:tc>
        <w:tc>
          <w:tcPr>
            <w:tcW w:w="360" w:type="dxa"/>
            <w:vAlign w:val="bottom"/>
          </w:tcPr>
          <w:p>
            <w:pPr>
              <w:spacing w:after="0"/>
              <w:rPr>
                <w:sz w:val="14"/>
                <w:szCs w:val="14"/>
                <w:color w:val="auto"/>
              </w:rPr>
            </w:pPr>
          </w:p>
        </w:tc>
      </w:tr>
      <w:tr>
        <w:trPr>
          <w:trHeight w:val="188"/>
        </w:trPr>
        <w:tc>
          <w:tcPr>
            <w:tcW w:w="5660" w:type="dxa"/>
            <w:vAlign w:val="bottom"/>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6"/>
                <w:szCs w:val="16"/>
                <w:color w:val="auto"/>
              </w:rPr>
            </w:pPr>
          </w:p>
        </w:tc>
      </w:tr>
      <w:tr>
        <w:trPr>
          <w:trHeight w:val="242"/>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 and stock units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5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money market funds which are included as cash and cash equivalents. We also have forward interest rate swap agreements and the fair value of the forward interest rate swap agreements was determined using pricing models that use observable market inputs as of the balance sheet date, a Level 2 measurement.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financial instruments in the three months ended July 1, 2023.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Cash equivalents consist of highly liquid instruments purchased with original maturities of three months or less. These assets are valued at cost, which approximates fair value, and we classify as Level 1. See Fair Value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1, 2024 (“Forward Interest Rate Swaps”) to manage our exposure to interest rate movements on a portion of our debt. As such, at the time we entered into the Forward Interest Rate Swaps, there was a high probability of forecasted interest payments on our debts occurring and the swaps are highly effective in offsetting those interest payments and therefore, we elected to apply cash flow hedge accounting. In July 2022, as a result of refinancing all our existing debt, which allows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 was still highly effective as of the amendment date. See Note 7. As of July 1, 2023, all of our derivative instruments were designated as cash flow hedges.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We record changes in the fair value of a derivative instrument that is highly effective and that is designated and qualifies as a cash flow hedge in other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(loss), net of tax until our earnings are affected by the variability of cash flows of the underlying hedged item. We report changes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derivative instruments that are not designated or do not qualify for hedge accounting in current period earnings. We classify cash flows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derivative instruments in the condensed consolidated statements of cash flows in the same category as the item being hedged or on a basis consistent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nature of the instrument. Since the Amended Forward Interest Rate Swaps are not effective until January 1, 2024, we only record the changes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value of the derivative instruments that were highly effective and that were designated and qualified as cash flow hedges. As such, during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July 1, 2023 and July 2, 2022, we recorded the unrealized gain (loss) to other comprehensive income (loss) of $3.1 million and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and the associated change to other current assets, other assets, and deferred income taxes. During the six months ended July 1, 2023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2, 2022, we recorded the unrealized gain (loss) to other comprehensive income (loss) of $1.0 million and $7.4 million, respectively, and the associated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to other current assets, other assets, and deferred income taxes.</w:t>
      </w:r>
    </w:p>
    <w:p>
      <w:pPr>
        <w:spacing w:after="0" w:line="8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1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Accumulated Other Comprehensive Income</w:t>
      </w:r>
    </w:p>
    <w:p>
      <w:pPr>
        <w:spacing w:after="0" w:line="90" w:lineRule="exact"/>
        <w:rPr>
          <w:sz w:val="20"/>
          <w:szCs w:val="20"/>
          <w:color w:val="auto"/>
        </w:rPr>
      </w:pPr>
    </w:p>
    <w:p>
      <w:pPr>
        <w:jc w:val="both"/>
        <w:ind w:right="780"/>
        <w:spacing w:after="0" w:line="342" w:lineRule="auto"/>
        <w:rPr>
          <w:sz w:val="20"/>
          <w:szCs w:val="20"/>
          <w:color w:val="auto"/>
        </w:rPr>
      </w:pPr>
      <w:r>
        <w:rPr>
          <w:rFonts w:ascii="Arial" w:cs="Arial" w:eastAsia="Arial" w:hAnsi="Arial"/>
          <w:sz w:val="16"/>
          <w:szCs w:val="16"/>
          <w:color w:val="auto"/>
        </w:rPr>
        <w:t>Accumulated other comprehensive income,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0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definition of a contract for us is typically defined as a customer purchase order as this is when we achieve an enforceable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2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adjustments in contract estimates on our operating earnings can be reflected in either operating costs and expenses or revenue.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Net cumulative catch up adjustments on gross profit recorded were not material for both the three and six months ended July 1, 2023 and July 2, 2022.</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July 1, 2023 and December 31, 2022, provision for estimated losses on contracts were $6.8 million and $3.9 million, respectively.</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July 1, 2023 and December 31, 2022, production cost of contracts were $5.5 million and $5.7 million,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9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4"/>
          </w:tcPr>
          <w:p>
            <w:pPr>
              <w:jc w:val="right"/>
              <w:ind w:right="679"/>
              <w:spacing w:after="0"/>
              <w:rPr>
                <w:sz w:val="20"/>
                <w:szCs w:val="20"/>
                <w:color w:val="auto"/>
              </w:rPr>
            </w:pPr>
            <w:r>
              <w:rPr>
                <w:rFonts w:ascii="Arial" w:cs="Arial" w:eastAsia="Arial" w:hAnsi="Arial"/>
                <w:sz w:val="14"/>
                <w:szCs w:val="14"/>
                <w:color w:val="auto"/>
              </w:rPr>
              <w:t>(Dollars in thousands)</w:t>
            </w:r>
          </w:p>
        </w:tc>
      </w:tr>
      <w:tr>
        <w:trPr>
          <w:trHeight w:val="161"/>
        </w:trPr>
        <w:tc>
          <w:tcPr>
            <w:tcW w:w="8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381"/>
              <w:spacing w:after="0"/>
              <w:rPr>
                <w:sz w:val="20"/>
                <w:szCs w:val="20"/>
                <w:color w:val="auto"/>
              </w:rPr>
            </w:pPr>
            <w:r>
              <w:rPr>
                <w:rFonts w:ascii="Arial" w:cs="Arial" w:eastAsia="Arial" w:hAnsi="Arial"/>
                <w:sz w:val="14"/>
                <w:szCs w:val="14"/>
                <w:color w:val="auto"/>
              </w:rPr>
              <w:t>July 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99"/>
              <w:spacing w:after="0"/>
              <w:rPr>
                <w:sz w:val="20"/>
                <w:szCs w:val="20"/>
                <w:color w:val="auto"/>
              </w:rPr>
            </w:pPr>
            <w:r>
              <w:rPr>
                <w:rFonts w:ascii="Arial" w:cs="Arial" w:eastAsia="Arial" w:hAnsi="Arial"/>
                <w:sz w:val="14"/>
                <w:szCs w:val="14"/>
                <w:color w:val="auto"/>
                <w:w w:val="97"/>
              </w:rPr>
              <w:t>December 31,</w:t>
            </w:r>
          </w:p>
        </w:tc>
      </w:tr>
      <w:tr>
        <w:trPr>
          <w:trHeight w:val="182"/>
        </w:trPr>
        <w:tc>
          <w:tcPr>
            <w:tcW w:w="8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21"/>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color w:val="auto"/>
              </w:rPr>
              <w:t>2022</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47,068</w:t>
            </w:r>
          </w:p>
        </w:tc>
      </w:tr>
    </w:tbl>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our contract assets as of July 1, 2023 compared to December 31, 2022 was primarily due to a net decrease of products in work in process in the current period.</w:t>
      </w:r>
    </w:p>
    <w:p>
      <w:pPr>
        <w:spacing w:after="0" w:line="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decrease in our contract liabilities as of July 1, 2023 compared to December 31, 2022 was primarily due to a net decrease of advance or progress payments received from our customers in the current period. We recognized $23.0 million of the contract liabilities as of December 31, 2022 as revenues during the six months ended July 1, 2023.</w:t>
      </w:r>
    </w:p>
    <w:p>
      <w:pPr>
        <w:spacing w:after="0" w:line="6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Performance obligations are defined as customer placed purchase orders (“POs”) with firm fixed price and firm delivery dates. Our remaining performance obligations as of July 1, 2023 totaled $916.7 million. We anticipate recognizing an estimated 70% of our remaining performance obligations as revenue during the next 12 months with the remaining performance obligations being recognized in the remainder of 2024 and beyond.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by Category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revenue categories disclosed above, the following table reflects our revenue disaggregated by major end-use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4"/>
          </w:tcPr>
          <w:p>
            <w:pPr>
              <w:jc w:val="right"/>
              <w:ind w:right="653"/>
              <w:spacing w:after="0"/>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right"/>
              <w:ind w:right="653"/>
              <w:spacing w:after="0"/>
              <w:rPr>
                <w:sz w:val="20"/>
                <w:szCs w:val="20"/>
                <w:color w:val="auto"/>
              </w:rPr>
            </w:pPr>
            <w:r>
              <w:rPr>
                <w:rFonts w:ascii="Arial" w:cs="Arial" w:eastAsia="Arial" w:hAnsi="Arial"/>
                <w:sz w:val="14"/>
                <w:szCs w:val="14"/>
                <w:color w:val="auto"/>
              </w:rPr>
              <w:t>(Dollars in thousands)</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right"/>
              <w:ind w:right="693"/>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jc w:val="right"/>
              <w:ind w:right="753"/>
              <w:spacing w:after="0"/>
              <w:rPr>
                <w:sz w:val="20"/>
                <w:szCs w:val="20"/>
                <w:color w:val="auto"/>
              </w:rPr>
            </w:pPr>
            <w:r>
              <w:rPr>
                <w:rFonts w:ascii="Arial" w:cs="Arial" w:eastAsia="Arial" w:hAnsi="Arial"/>
                <w:sz w:val="14"/>
                <w:szCs w:val="14"/>
                <w:color w:val="auto"/>
              </w:rPr>
              <w:t>Six Months Ended</w:t>
            </w:r>
          </w:p>
        </w:tc>
      </w:tr>
      <w:tr>
        <w:trPr>
          <w:trHeight w:val="155"/>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395"/>
              <w:spacing w:after="0" w:line="155" w:lineRule="exact"/>
              <w:rPr>
                <w:sz w:val="20"/>
                <w:szCs w:val="20"/>
                <w:color w:val="auto"/>
              </w:rPr>
            </w:pPr>
            <w:r>
              <w:rPr>
                <w:rFonts w:ascii="Arial" w:cs="Arial" w:eastAsia="Arial" w:hAnsi="Arial"/>
                <w:sz w:val="14"/>
                <w:szCs w:val="14"/>
                <w:color w:val="auto"/>
              </w:rPr>
              <w:t>July 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93"/>
              <w:spacing w:after="0" w:line="155" w:lineRule="exact"/>
              <w:rPr>
                <w:sz w:val="20"/>
                <w:szCs w:val="20"/>
                <w:color w:val="auto"/>
              </w:rPr>
            </w:pPr>
            <w:r>
              <w:rPr>
                <w:rFonts w:ascii="Arial" w:cs="Arial" w:eastAsia="Arial" w:hAnsi="Arial"/>
                <w:sz w:val="14"/>
                <w:szCs w:val="14"/>
                <w:color w:val="auto"/>
              </w:rPr>
              <w:t>July 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75"/>
              <w:spacing w:after="0" w:line="155" w:lineRule="exact"/>
              <w:rPr>
                <w:sz w:val="20"/>
                <w:szCs w:val="20"/>
                <w:color w:val="auto"/>
              </w:rPr>
            </w:pPr>
            <w:r>
              <w:rPr>
                <w:rFonts w:ascii="Arial" w:cs="Arial" w:eastAsia="Arial" w:hAnsi="Arial"/>
                <w:sz w:val="14"/>
                <w:szCs w:val="14"/>
                <w:color w:val="auto"/>
              </w:rPr>
              <w:t>July 1</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373"/>
              <w:spacing w:after="0" w:line="155" w:lineRule="exact"/>
              <w:rPr>
                <w:sz w:val="20"/>
                <w:szCs w:val="20"/>
                <w:color w:val="auto"/>
              </w:rPr>
            </w:pPr>
            <w:r>
              <w:rPr>
                <w:rFonts w:ascii="Arial" w:cs="Arial" w:eastAsia="Arial" w:hAnsi="Arial"/>
                <w:sz w:val="14"/>
                <w:szCs w:val="14"/>
                <w:color w:val="auto"/>
              </w:rPr>
              <w:t>July 2,</w:t>
            </w: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color w:val="auto"/>
              </w:rPr>
              <w:t>2022</w:t>
            </w:r>
          </w:p>
        </w:tc>
      </w:tr>
      <w:tr>
        <w:trPr>
          <w:trHeight w:val="25"/>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64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Consolidated Ducommun</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368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95,887</w:t>
            </w:r>
          </w:p>
        </w:tc>
        <w:tc>
          <w:tcPr>
            <w:tcW w:w="400" w:type="dxa"/>
            <w:vAlign w:val="bottom"/>
            <w:tcBorders>
              <w:top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106,680</w:t>
            </w:r>
          </w:p>
        </w:tc>
        <w:tc>
          <w:tcPr>
            <w:tcW w:w="400" w:type="dxa"/>
            <w:vAlign w:val="bottom"/>
            <w:tcBorders>
              <w:top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192,327</w:t>
            </w:r>
          </w:p>
        </w:tc>
        <w:tc>
          <w:tcPr>
            <w:tcW w:w="420" w:type="dxa"/>
            <w:vAlign w:val="bottom"/>
            <w:tcBorders>
              <w:top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206,014</w:t>
            </w:r>
          </w:p>
        </w:tc>
      </w:tr>
      <w:tr>
        <w:trPr>
          <w:trHeight w:val="236"/>
        </w:trPr>
        <w:tc>
          <w:tcPr>
            <w:tcW w:w="20" w:type="dxa"/>
            <w:vAlign w:val="bottom"/>
            <w:shd w:val="clear" w:color="auto" w:fill="CCEEFF"/>
          </w:tcPr>
          <w:p>
            <w:pPr>
              <w:spacing w:after="0"/>
              <w:rPr>
                <w:sz w:val="20"/>
                <w:szCs w:val="20"/>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151,297</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111,142</w:t>
            </w:r>
          </w:p>
        </w:tc>
      </w:tr>
      <w:tr>
        <w:trPr>
          <w:trHeight w:val="230"/>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24,887</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20,523</w:t>
            </w:r>
          </w:p>
        </w:tc>
      </w:tr>
      <w:tr>
        <w:trPr>
          <w:trHeight w:val="250"/>
        </w:trPr>
        <w:tc>
          <w:tcPr>
            <w:tcW w:w="20" w:type="dxa"/>
            <w:vAlign w:val="bottom"/>
            <w:shd w:val="clear" w:color="auto" w:fill="CCEEFF"/>
          </w:tcPr>
          <w:p>
            <w:pPr>
              <w:spacing w:after="0"/>
              <w:rPr>
                <w:sz w:val="21"/>
                <w:szCs w:val="21"/>
                <w:color w:val="auto"/>
              </w:rPr>
            </w:pPr>
          </w:p>
        </w:tc>
        <w:tc>
          <w:tcPr>
            <w:tcW w:w="564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187,320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174,198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368,511</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6"/>
              </w:rPr>
              <w:t>Electronic Systems</w:t>
            </w:r>
          </w:p>
        </w:tc>
        <w:tc>
          <w:tcPr>
            <w:tcW w:w="4180" w:type="dxa"/>
            <w:vAlign w:val="bottom"/>
            <w:tcBorders>
              <w:bottom w:val="single" w:sz="8" w:color="CCEEFF"/>
            </w:tcBorders>
            <w:gridSpan w:val="3"/>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71,772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80,187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145,099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152,007</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34,668</w:t>
            </w:r>
          </w:p>
        </w:tc>
      </w:tr>
      <w:tr>
        <w:trPr>
          <w:trHeight w:val="237"/>
        </w:trPr>
        <w:tc>
          <w:tcPr>
            <w:tcW w:w="20" w:type="dxa"/>
            <w:vAlign w:val="bottom"/>
            <w:tcBorders>
              <w:bottom w:val="single" w:sz="8" w:color="CCEEFF"/>
            </w:tcBorders>
          </w:tcPr>
          <w:p>
            <w:pPr>
              <w:spacing w:after="0"/>
              <w:rPr>
                <w:sz w:val="20"/>
                <w:szCs w:val="20"/>
                <w:color w:val="auto"/>
              </w:rPr>
            </w:pPr>
          </w:p>
        </w:tc>
        <w:tc>
          <w:tcPr>
            <w:tcW w:w="56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24,887</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20,523</w:t>
            </w: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212,750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Structural Systems</w:t>
            </w:r>
          </w:p>
        </w:tc>
        <w:tc>
          <w:tcPr>
            <w:tcW w:w="416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24,115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26,493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47,228</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54,007</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108,533</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76,474</w:t>
            </w:r>
          </w:p>
        </w:tc>
      </w:tr>
      <w:tr>
        <w:trPr>
          <w:trHeight w:val="223"/>
        </w:trPr>
        <w:tc>
          <w:tcPr>
            <w:tcW w:w="20" w:type="dxa"/>
            <w:vAlign w:val="bottom"/>
          </w:tcPr>
          <w:p>
            <w:pPr>
              <w:spacing w:after="0"/>
              <w:rPr>
                <w:sz w:val="19"/>
                <w:szCs w:val="19"/>
                <w:color w:val="auto"/>
              </w:rPr>
            </w:pPr>
          </w:p>
        </w:tc>
        <w:tc>
          <w:tcPr>
            <w:tcW w:w="564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80,196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64,466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155,761</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130,481</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Grant</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November 2021, we were awarded an Aviation Manufacturing Jobs Protection Program grant from the U.S. Department of Transportation (“AMJPP Grant”) of $4.0 million. As part of the award, we had to meet, and did complete, certain requirements over a six month performance period from November 2021 to May 2022. As of December 31, 2022, we had received the entire $4.0 million grant balance, $2.0 million of which was received during 2021 and the remainder during 2022. We recorded no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reduction to cost of sales or selling, general and administrative expenses during the three and six months ended July 1, 2023. We recorded $0.9 million and $2.7 million as a reduction of cost of sales during the three and six months ended July 2, 2022, respectively, and $0.1 million and $0.3 million as a reduction of selling, general, and administrative expenses during the three and six months ended July 2, 2022, respectively. As of December 31, 2022, the requirements under the AMJPP Grant were completed and the entire $4.0 million awarded were received and thus, we also recorded the entire aggregate total of $3.6 million and $0.4 million as a reduction of cost of sales and selling, general and administrative expenses,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July 2023, the FASB issued ASU 2023-03, “Presentation of Financial Statements (Topic 205), Income Statement - Reporting Comprehensive Income (Topic 220), Distinguishing Liabilities from Equity (Topic 480), Equity (Topic 505), and Compensation - Stock Compensation (Topic 718): Amendments to SEC Paragraphs Pursuant to SEC Staff Accounting Bulletin No. 120, SEC Staff Announcement at the March 24, 2022 EITF Meeting, and Staff Accounting Bulletin Topic 6.B, Accounting Series Release 280 - General Revision of Regulation S-X: Income or Loss Applicable to Common Stock” (“ASU 2023-03”), which amends or supersedes various SEC paragraphs within the Accounting Standards Codification to conform to past SEC announcements and guidance issued by the SEC. ASU 2023-03 does not provide any new guidance so there is no transition or effective date. ASU 2023-03 did not have a material impact on our condensed consolidated financial statements.</w:t>
      </w:r>
    </w:p>
    <w:p>
      <w:pPr>
        <w:spacing w:after="0" w:line="5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December 2022, the FASB issued ASU 2022-06, “Reference Rate Reform (Topic 848), Deferral of the Sunset Date of Topic 848” (“ASU 2022-06”), which defers the sunset date of Topic 848 from December 31, 2022, to December 31, 2024, after which entities will no longer be permitted to apply the relief in Topic 848. Since we adopted ASU 2020-04 during 2022, ASU 2022-06 will not have a material impact on our condensed consolidated financial statements. See Note 7.</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Combinations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BLR Aerospace, L.L.C. Acquisition</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April 25, 2023, we acquired 100.0% of the outstanding equity interests of BLR Aerospace, L.L.C. (“BLR”), a privately-held leading provider of aerodynamic systems that enhance the productivity, performance, and safety of rotary and fixed-wing aircraft on commercial and military platforms. BLR is located in Everett, Washington. The acquisition of BLR adds to our strategy to diversify and offer more customized, value-driven engineered products with aftermarket opportunities.</w:t>
      </w:r>
    </w:p>
    <w:p>
      <w:pPr>
        <w:spacing w:after="0" w:line="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initial purchase price for BLR was $115.0 million, net of cash acquired, all payable in cash, subject to adjustments for working capital. We paid a gross aggregate of $117.0 million in cash upon the closing of the transaction. We allocated the preliminary gross purchase price of $117.0 million to the assets acquired and liabilities assumed at their estimated fair values. The excess of the purchase price over the aggregate fair values of the net assets was recorded as goodwill.</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estimated fair value of the assets acquired and liabilities assumed at the date of acquisition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9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3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119,881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9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3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purchase price allocation</w:t>
            </w:r>
          </w:p>
        </w:tc>
        <w:tc>
          <w:tcPr>
            <w:tcW w:w="4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9"/>
        </w:trPr>
        <w:tc>
          <w:tcPr>
            <w:tcW w:w="60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18"/>
              <w:spacing w:after="0" w:line="13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6"/>
        </w:trPr>
        <w:tc>
          <w:tcPr>
            <w:tcW w:w="60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6"/>
        </w:trPr>
        <w:tc>
          <w:tcPr>
            <w:tcW w:w="60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3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Arial" w:cs="Arial" w:eastAsia="Arial" w:hAnsi="Arial"/>
                <w:sz w:val="18"/>
                <w:szCs w:val="18"/>
                <w:color w:val="auto"/>
              </w:rPr>
              <w:t>Trade name</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intangible assets acquired of $55.5 million were preliminarily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values for technology and trade name were assessed using the relief from royalty methodology, while the value for customer relationships was estimated based on a multi-period excess earnings approach. Inputs to the income approach models and other aspects of the allocation of the purchase price require judgment. The more significant inputs used in the technology intangible asset valuation include (i) projected revenue, (ii) technology decay rate, and (iii) the discount rate. The more significant inputs used in the customer relationships intangible asset valuation include (i) future revenue growth rates, (ii) projected earnings before interest, taxes, and amortization (“EBITA”), (iii) the customer attrition rates, and (iv) the discount rate.</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goodwill of $41.2 million arising from the acquisition is preliminarily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BLR acquisition, for tax purposes, is deemed an asset acquisition and thus, the goodwill recognized is deductible for income tax purposes.</w:t>
      </w:r>
    </w:p>
    <w:p>
      <w:pPr>
        <w:spacing w:after="0" w:line="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Acquisition related transaction costs were not included as components of consideration transferred but have been expensed as incurred. Total acquisition-related transaction costs incurred by us were $0.5 million and $1.3 million during the three and six months ended July 1, 2023, respectively, and charged to selling, general and administrative expenses.</w:t>
      </w:r>
    </w:p>
    <w:p>
      <w:pPr>
        <w:spacing w:after="0" w:line="4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BLR’s results of operations have been included in our condensed consolidated statements of income since the date of acquisition as part of the Structural Systems segment and were immaterial since the date of acquisition. Pro forma results of operations of the BLR acquisition have not been presented as the effect of the BLR acquisition was not material to our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Magnetic Seal LLC Acquisition</w:t>
      </w:r>
    </w:p>
    <w:p>
      <w:pPr>
        <w:spacing w:after="0" w:line="10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2021, we acquired 100.0% of the outstanding equity interests of Magnetic Seal LLC (f/k/a Magnetic Seal Corporation, “MagSeal”), a privately-held leading provider of high-impact, military-proven magnetic seals for critical systems in aerospace and defense applications, offering sealing solutions that are engineered to perform in high-speed, high-vibration, and other challenging environments. MagSeal is located in Warren, Rhode Island. The acquisition of MagSeal continued the advancement our strategy to diversify and offer more customized, value-driven engineered products with aftermarket opportunities.</w:t>
      </w:r>
    </w:p>
    <w:p>
      <w:pPr>
        <w:spacing w:after="0" w:line="5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original purchase price for MagSeal was $69.5 million, net of cash acquired, all payable in cash. We paid a gross aggregate of $71.3 million in cash upon the closing of the transaction. Subsequent to the closing of the transaction, during the three months ended July 2, 2022, as part of finalizing the working capital adjustment, we received $0.4 million back from the seller which lowered the purchase price to $69.1 million, net of cash acquired. We allocated the final gross purchase price of $70.9 million to the assets acquired and liabilities assumed at their estimated fair values. The estimated fair value of the assets acquired included $30.1 million of intangible assets, $4.5 million of inventories, $2.1 million of accounts receivable, $1.5 million of operating lease right-of-use assets, $0.5 million of property and equipment, $0.1 million of other current assets, and $2.3 million of liabilities assumed. The excess of the purchase price over the aggregate fair values of the net assets acquired and liabilities assumed of $32.6 million was recorded as goodwill. The intangible assets acquired were comprised of $24.8 million for customer relationships, $0.6 million for backlog, and $4.7 million for trade name, and were assigned an estimated useful life of 19 years, two years, and indefinite, respectively. All the goodwill was assigned to the Structural Systems segment. The MagSeal acquisition, for tax purposes, was deemed an asset acquisition and thus, the goodwill recognized was deductible for income tax purposes.</w:t>
      </w:r>
    </w:p>
    <w:p>
      <w:pPr>
        <w:spacing w:after="0" w:line="4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MagSeal’s results of operations have been included in our condensed consolidated statements of income since the date of acquisition as part of the Structural Systems segment and were immaterial since the date of acquisition. Pro forma results of operations of the MagSeal acquisition have not been presented as the effect of the MagSeal acquisition was not material to our financial results.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Activities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2022 Restructuring Plan</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April 2022, management approved and commenced a restructuring plan that will better position us for stronger performance. The restructuring plan will mainly reduce headcount and consolidate facilities. As a result of this restructuring plan, we analyzed the need to write-down inventory and impair long-lived assets, including operating lease right-of-use assets. During the three and six months ended July 1, 2023, we recorded total charges of $4.8 million and $8.9 million, respectively. Cumulative through the six months ended July 1, 2023, we recorded aggregate total charges of $15.6 million ($0.5 million of which was recorded as cost of sales). As of July 1, 2023, we estimate the remaining amount of charges related to this initiative will be $5.0 million to $8.0 million in total pre-tax restructuring charges through 2023. Of these charges, we estimate $4.0 million to $6.0 million to be cash payments for employee separation and other facility consolidation related expenses, and $1.0 million to $2.0 million to be non-cash charges for impairment of long-lived assets.</w:t>
      </w:r>
    </w:p>
    <w:p>
      <w:pPr>
        <w:spacing w:after="0" w:line="4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Electronics Systems segment, we recorded charges (reversals) of $2.4 million, zero, and $(0.2) million during the three months ended July 1, 2023, for severance and benefits that were classified as restructuring charges, accelerated depreciation of property and equipment that was classified as restructuring charges, and other restructuring reversals, respectively. We recorded charges (reversals) of $4.1 million, $0.1 million, and $(0.1) million during the six months ended July 1, 2023, for severance and benefits that were classified as restructuring charges, accelerated depreciation of property and equipment that was classified as restructuring charges, and other restructuring (reversals), respectively. Cumulative through the six months ended July 1, 2023, we recorded total charges for severance and benefits that were classified as restructuring charges, accelerated depreciation of property and equipment that was classified as restructuring charges, and other restructuring reversals of $7.6 million, $0.4 million, and $(0.1) million, respectively.</w:t>
      </w:r>
    </w:p>
    <w:p>
      <w:pPr>
        <w:spacing w:after="0" w:line="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Structural Systems segment, we recorded $1.6 million, $0.4 million, and $0.5 million during the three months ended July 1, 2023 for severance and benefits that were classified as restructuring charges, accelerated depreciation of property and equipment that was classified as restructuring charges, and other restructuring charges, respectively. We recorded $3.3 million, $0.7 million, and $0.8 million during the six months ended July 1, 2023, for severance and benefits that were classified as restructuring charges, accelerated depreciation of property and equipment that was classified as restructuring charges, and other restructuring charges, respectively. Cumulative through the six months ended July 1, 2023, we recorded total charges for inventory write down that was classified as cost of sales, severance and benefits that were classified as restructuring charges, accelerated depreciation of property and equipment that was classified as restructuring charges, impairment of property and equipment that was classified as restructuring charges, and other restructuring charges of $0.5 million, $4.9 million, $1.2 million, $0.3 million, and $0.8 million,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restructuring activities during the six months ended July 1, 2023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December 31, 2022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color w:val="auto"/>
              </w:rPr>
              <w:t>Six Months Ended July 1, 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Arial" w:cs="Arial" w:eastAsia="Arial" w:hAnsi="Arial"/>
                <w:sz w:val="14"/>
                <w:szCs w:val="14"/>
                <w:color w:val="auto"/>
              </w:rPr>
              <w:t>July 1, 2023</w:t>
            </w:r>
          </w:p>
        </w:tc>
        <w:tc>
          <w:tcPr>
            <w:tcW w:w="0" w:type="dxa"/>
            <w:vAlign w:val="bottom"/>
          </w:tcPr>
          <w:p>
            <w:pPr>
              <w:spacing w:after="0"/>
              <w:rPr>
                <w:sz w:val="1"/>
                <w:szCs w:val="1"/>
                <w:color w:val="auto"/>
              </w:rPr>
            </w:pPr>
          </w:p>
        </w:tc>
      </w:tr>
      <w:tr>
        <w:trPr>
          <w:trHeight w:val="143"/>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96"/>
              <w:spacing w:after="0" w:line="143" w:lineRule="exact"/>
              <w:rPr>
                <w:sz w:val="20"/>
                <w:szCs w:val="20"/>
                <w:color w:val="auto"/>
              </w:rPr>
            </w:pPr>
            <w:r>
              <w:rPr>
                <w:rFonts w:ascii="Arial" w:cs="Arial" w:eastAsia="Arial" w:hAnsi="Arial"/>
                <w:sz w:val="14"/>
                <w:szCs w:val="14"/>
                <w:color w:val="auto"/>
              </w:rPr>
              <w:t>Non-Cash</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ind w:left="80"/>
              <w:spacing w:after="0" w:line="143" w:lineRule="exact"/>
              <w:rPr>
                <w:sz w:val="20"/>
                <w:szCs w:val="20"/>
                <w:color w:val="auto"/>
              </w:rPr>
            </w:pPr>
            <w:r>
              <w:rPr>
                <w:rFonts w:ascii="Arial" w:cs="Arial" w:eastAsia="Arial" w:hAnsi="Arial"/>
                <w:sz w:val="14"/>
                <w:szCs w:val="14"/>
                <w:color w:val="auto"/>
              </w:rPr>
              <w:t>Change 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Balance</w:t>
            </w:r>
          </w:p>
        </w:tc>
        <w:tc>
          <w:tcPr>
            <w:tcW w:w="200" w:type="dxa"/>
            <w:vAlign w:val="bottom"/>
          </w:tcPr>
          <w:p>
            <w:pPr>
              <w:spacing w:after="0"/>
              <w:rPr>
                <w:sz w:val="15"/>
                <w:szCs w:val="15"/>
                <w:color w:val="auto"/>
              </w:rPr>
            </w:pPr>
          </w:p>
        </w:tc>
        <w:tc>
          <w:tcPr>
            <w:tcW w:w="920" w:type="dxa"/>
            <w:vAlign w:val="bottom"/>
          </w:tcPr>
          <w:p>
            <w:pPr>
              <w:jc w:val="right"/>
              <w:ind w:right="254"/>
              <w:spacing w:after="0"/>
              <w:rPr>
                <w:sz w:val="20"/>
                <w:szCs w:val="20"/>
                <w:color w:val="auto"/>
              </w:rPr>
            </w:pPr>
            <w:r>
              <w:rPr>
                <w:rFonts w:ascii="Arial" w:cs="Arial" w:eastAsia="Arial" w:hAnsi="Arial"/>
                <w:sz w:val="14"/>
                <w:szCs w:val="14"/>
                <w:color w:val="auto"/>
              </w:rPr>
              <w:t>Charges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4"/>
                <w:szCs w:val="14"/>
                <w:color w:val="auto"/>
                <w:w w:val="86"/>
              </w:rPr>
              <w:t>Cash Payments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color w:val="auto"/>
              </w:rPr>
              <w:t>Payments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Estimates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96"/>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25"/>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line="176" w:lineRule="exact"/>
              <w:rPr>
                <w:sz w:val="20"/>
                <w:szCs w:val="20"/>
                <w:color w:val="auto"/>
              </w:rPr>
            </w:pPr>
            <w:r>
              <w:rPr>
                <w:rFonts w:ascii="Arial" w:cs="Arial" w:eastAsia="Arial" w:hAnsi="Arial"/>
                <w:sz w:val="18"/>
                <w:szCs w:val="18"/>
                <w:color w:val="auto"/>
              </w:rPr>
              <w:t>Property and equipment accelerated</w:t>
            </w:r>
          </w:p>
        </w:tc>
        <w:tc>
          <w:tcPr>
            <w:tcW w:w="140" w:type="dxa"/>
            <w:vAlign w:val="bottom"/>
          </w:tcPr>
          <w:p>
            <w:pPr>
              <w:spacing w:after="0"/>
              <w:rPr>
                <w:sz w:val="15"/>
                <w:szCs w:val="15"/>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depreciation due to restructuring</w:t>
            </w:r>
          </w:p>
        </w:tc>
        <w:tc>
          <w:tcPr>
            <w:tcW w:w="14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restructuring activities accrual for severance and benefits of $5.0 million as of July 1, 2023 was included as part of accrued and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60" w:type="dxa"/>
            <w:vAlign w:val="bottom"/>
            <w:gridSpan w:val="4"/>
          </w:tcPr>
          <w:p>
            <w:pPr>
              <w:jc w:val="right"/>
              <w:ind w:right="1196"/>
              <w:spacing w:after="0"/>
              <w:rPr>
                <w:sz w:val="20"/>
                <w:szCs w:val="20"/>
                <w:color w:val="auto"/>
              </w:rPr>
            </w:pPr>
            <w:r>
              <w:rPr>
                <w:rFonts w:ascii="Arial" w:cs="Arial" w:eastAsia="Arial" w:hAnsi="Arial"/>
                <w:sz w:val="14"/>
                <w:szCs w:val="14"/>
                <w:color w:val="auto"/>
                <w:w w:val="99"/>
              </w:rPr>
              <w:t>(Dollars in thousands)</w:t>
            </w:r>
          </w:p>
        </w:tc>
      </w:tr>
      <w:tr>
        <w:trPr>
          <w:trHeight w:val="155"/>
        </w:trPr>
        <w:tc>
          <w:tcPr>
            <w:tcW w:w="740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July 1,</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ind w:right="456"/>
              <w:spacing w:after="0" w:line="155" w:lineRule="exact"/>
              <w:rPr>
                <w:sz w:val="20"/>
                <w:szCs w:val="20"/>
                <w:color w:val="auto"/>
              </w:rPr>
            </w:pPr>
            <w:r>
              <w:rPr>
                <w:rFonts w:ascii="Arial" w:cs="Arial" w:eastAsia="Arial" w:hAnsi="Arial"/>
                <w:sz w:val="14"/>
                <w:szCs w:val="14"/>
                <w:color w:val="auto"/>
              </w:rPr>
              <w:t>December 31,</w:t>
            </w:r>
          </w:p>
        </w:tc>
      </w:tr>
      <w:tr>
        <w:trPr>
          <w:trHeight w:val="182"/>
        </w:trPr>
        <w:tc>
          <w:tcPr>
            <w:tcW w:w="74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2023</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jc w:val="right"/>
              <w:ind w:right="716"/>
              <w:spacing w:after="0"/>
              <w:rPr>
                <w:sz w:val="20"/>
                <w:szCs w:val="20"/>
                <w:color w:val="auto"/>
              </w:rPr>
            </w:pPr>
            <w:r>
              <w:rPr>
                <w:rFonts w:ascii="Arial" w:cs="Arial" w:eastAsia="Arial" w:hAnsi="Arial"/>
                <w:sz w:val="14"/>
                <w:szCs w:val="14"/>
                <w:color w:val="auto"/>
              </w:rPr>
              <w:t>2022</w:t>
            </w:r>
          </w:p>
        </w:tc>
      </w:tr>
      <w:tr>
        <w:trPr>
          <w:trHeight w:val="26"/>
        </w:trPr>
        <w:tc>
          <w:tcPr>
            <w:tcW w:w="7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143,495</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23,799</w:t>
            </w:r>
          </w:p>
        </w:tc>
      </w:tr>
      <w:tr>
        <w:trPr>
          <w:trHeight w:val="22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204,465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171,211</w:t>
            </w:r>
          </w:p>
        </w:tc>
      </w:tr>
      <w:tr>
        <w:trPr>
          <w:trHeight w:val="20"/>
        </w:trPr>
        <w:tc>
          <w:tcPr>
            <w:tcW w:w="7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perform our annual goodwill impairment test as of the first day of the fourth quarter. If certain factors occur, including significant underperformance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w:t>
      </w:r>
    </w:p>
    <w:p>
      <w:pPr>
        <w:spacing w:after="0" w:line="6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No material adverse factors/changes have occurred since the fourth quarter of 2022 that would require us to perform another qualitative or quantitative assessment. As such, for the second quarter of 2023, it was also not more likely than not that the fair values of the reporting units were less than their carrying amounts and thus, the respective goodwill amounts were not deemed to be impaired.</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25, 2023, we completed the acquisition of BLR. The excess of the purchase price over the preliminary aggregate fair values of the net assets was recorded as goodwill. See Note 2 for further information.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our goodwill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gridSpan w:val="4"/>
          </w:tcPr>
          <w:p>
            <w:pPr>
              <w:ind w:left="80"/>
              <w:spacing w:after="0"/>
              <w:rPr>
                <w:sz w:val="20"/>
                <w:szCs w:val="20"/>
                <w:color w:val="auto"/>
              </w:rPr>
            </w:pPr>
            <w:r>
              <w:rPr>
                <w:rFonts w:ascii="Arial" w:cs="Arial" w:eastAsia="Arial" w:hAnsi="Arial"/>
                <w:sz w:val="14"/>
                <w:szCs w:val="14"/>
                <w:color w:val="auto"/>
                <w:w w:val="95"/>
              </w:rPr>
              <w:t>(Dollars in thousands)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5"/>
        </w:trPr>
        <w:tc>
          <w:tcPr>
            <w:tcW w:w="7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95"/>
              <w:spacing w:after="0" w:line="155" w:lineRule="exact"/>
              <w:rPr>
                <w:sz w:val="20"/>
                <w:szCs w:val="20"/>
                <w:color w:val="auto"/>
              </w:rPr>
            </w:pPr>
            <w:r>
              <w:rPr>
                <w:rFonts w:ascii="Arial" w:cs="Arial" w:eastAsia="Arial" w:hAnsi="Arial"/>
                <w:sz w:val="14"/>
                <w:szCs w:val="14"/>
                <w:color w:val="auto"/>
              </w:rPr>
              <w:t>Electronic</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3"/>
              </w:rPr>
              <w:t>Structural</w:t>
            </w:r>
          </w:p>
        </w:tc>
        <w:tc>
          <w:tcPr>
            <w:tcW w:w="160" w:type="dxa"/>
            <w:vAlign w:val="bottom"/>
          </w:tcPr>
          <w:p>
            <w:pPr>
              <w:spacing w:after="0"/>
              <w:rPr>
                <w:sz w:val="13"/>
                <w:szCs w:val="13"/>
                <w:color w:val="auto"/>
              </w:rPr>
            </w:pPr>
          </w:p>
        </w:tc>
        <w:tc>
          <w:tcPr>
            <w:tcW w:w="1040" w:type="dxa"/>
            <w:vAlign w:val="bottom"/>
          </w:tcPr>
          <w:p>
            <w:pPr>
              <w:jc w:val="right"/>
              <w:ind w:right="135"/>
              <w:spacing w:after="0" w:line="155" w:lineRule="exact"/>
              <w:rPr>
                <w:sz w:val="20"/>
                <w:szCs w:val="20"/>
                <w:color w:val="auto"/>
              </w:rPr>
            </w:pPr>
            <w:r>
              <w:rPr>
                <w:rFonts w:ascii="Arial" w:cs="Arial" w:eastAsia="Arial" w:hAnsi="Arial"/>
                <w:sz w:val="14"/>
                <w:szCs w:val="14"/>
                <w:color w:val="auto"/>
                <w:w w:val="97"/>
              </w:rPr>
              <w:t>Consolidated</w:t>
            </w:r>
          </w:p>
        </w:tc>
      </w:tr>
      <w:tr>
        <w:trPr>
          <w:trHeight w:val="182"/>
        </w:trPr>
        <w:tc>
          <w:tcPr>
            <w:tcW w:w="7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color w:val="auto"/>
              </w:rPr>
              <w:t>Systems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Systems</w:t>
            </w:r>
          </w:p>
        </w:tc>
        <w:tc>
          <w:tcPr>
            <w:tcW w:w="160" w:type="dxa"/>
            <w:vAlign w:val="bottom"/>
          </w:tcPr>
          <w:p>
            <w:pPr>
              <w:spacing w:after="0"/>
              <w:rPr>
                <w:sz w:val="15"/>
                <w:szCs w:val="15"/>
                <w:color w:val="auto"/>
              </w:rPr>
            </w:pPr>
          </w:p>
        </w:tc>
        <w:tc>
          <w:tcPr>
            <w:tcW w:w="1040" w:type="dxa"/>
            <w:vAlign w:val="bottom"/>
          </w:tcPr>
          <w:p>
            <w:pPr>
              <w:jc w:val="right"/>
              <w:ind w:right="175"/>
              <w:spacing w:after="0"/>
              <w:rPr>
                <w:sz w:val="20"/>
                <w:szCs w:val="20"/>
                <w:color w:val="auto"/>
              </w:rPr>
            </w:pPr>
            <w:r>
              <w:rPr>
                <w:rFonts w:ascii="Arial" w:cs="Arial" w:eastAsia="Arial" w:hAnsi="Arial"/>
                <w:sz w:val="14"/>
                <w:szCs w:val="14"/>
                <w:color w:val="auto"/>
              </w:rPr>
              <w:t>Ducommun</w:t>
            </w:r>
          </w:p>
        </w:tc>
      </w:tr>
      <w:tr>
        <w:trPr>
          <w:trHeight w:val="25"/>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285,129</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Accumulated goodwill impairment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(81,722)</w:t>
            </w:r>
          </w:p>
        </w:tc>
      </w:tr>
      <w:tr>
        <w:trPr>
          <w:trHeight w:val="237"/>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203,407</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from acquisition during the period</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41,168</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244,575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and Other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and other liabilities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40" w:type="dxa"/>
            <w:vAlign w:val="bottom"/>
            <w:gridSpan w:val="4"/>
          </w:tcPr>
          <w:p>
            <w:pPr>
              <w:jc w:val="right"/>
              <w:ind w:right="1116"/>
              <w:spacing w:after="0"/>
              <w:rPr>
                <w:sz w:val="20"/>
                <w:szCs w:val="20"/>
                <w:color w:val="auto"/>
              </w:rPr>
            </w:pPr>
            <w:r>
              <w:rPr>
                <w:rFonts w:ascii="Arial" w:cs="Arial" w:eastAsia="Arial" w:hAnsi="Arial"/>
                <w:sz w:val="14"/>
                <w:szCs w:val="14"/>
                <w:color w:val="auto"/>
                <w:w w:val="96"/>
              </w:rPr>
              <w:t>(Dollars in thousands)</w:t>
            </w:r>
          </w:p>
        </w:tc>
      </w:tr>
      <w:tr>
        <w:trPr>
          <w:trHeight w:val="155"/>
        </w:trPr>
        <w:tc>
          <w:tcPr>
            <w:tcW w:w="750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July 1,</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ind w:right="396"/>
              <w:spacing w:after="0" w:line="155" w:lineRule="exact"/>
              <w:rPr>
                <w:sz w:val="20"/>
                <w:szCs w:val="20"/>
                <w:color w:val="auto"/>
              </w:rPr>
            </w:pPr>
            <w:r>
              <w:rPr>
                <w:rFonts w:ascii="Arial" w:cs="Arial" w:eastAsia="Arial" w:hAnsi="Arial"/>
                <w:sz w:val="14"/>
                <w:szCs w:val="14"/>
                <w:color w:val="auto"/>
              </w:rPr>
              <w:t>December 31,</w:t>
            </w:r>
          </w:p>
        </w:tc>
      </w:tr>
      <w:tr>
        <w:trPr>
          <w:trHeight w:val="182"/>
        </w:trPr>
        <w:tc>
          <w:tcPr>
            <w:tcW w:w="7500" w:type="dxa"/>
            <w:vAlign w:val="bottom"/>
          </w:tcPr>
          <w:p>
            <w:pPr>
              <w:spacing w:after="0"/>
              <w:rPr>
                <w:sz w:val="15"/>
                <w:szCs w:val="15"/>
                <w:color w:val="auto"/>
              </w:rPr>
            </w:pPr>
          </w:p>
        </w:tc>
        <w:tc>
          <w:tcPr>
            <w:tcW w:w="1140" w:type="dxa"/>
            <w:vAlign w:val="bottom"/>
          </w:tcPr>
          <w:p>
            <w:pPr>
              <w:jc w:val="right"/>
              <w:ind w:right="19"/>
              <w:spacing w:after="0"/>
              <w:rPr>
                <w:sz w:val="20"/>
                <w:szCs w:val="20"/>
                <w:color w:val="auto"/>
              </w:rPr>
            </w:pPr>
            <w:r>
              <w:rPr>
                <w:rFonts w:ascii="Arial" w:cs="Arial" w:eastAsia="Arial" w:hAnsi="Arial"/>
                <w:sz w:val="14"/>
                <w:szCs w:val="14"/>
                <w:color w:val="auto"/>
              </w:rPr>
              <w:t>2023</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ind w:right="656"/>
              <w:spacing w:after="0"/>
              <w:rPr>
                <w:sz w:val="20"/>
                <w:szCs w:val="20"/>
                <w:color w:val="auto"/>
              </w:rPr>
            </w:pPr>
            <w:r>
              <w:rPr>
                <w:rFonts w:ascii="Arial" w:cs="Arial" w:eastAsia="Arial" w:hAnsi="Arial"/>
                <w:sz w:val="14"/>
                <w:szCs w:val="14"/>
                <w:color w:val="auto"/>
              </w:rPr>
              <w:t>2022</w:t>
            </w:r>
          </w:p>
        </w:tc>
      </w:tr>
      <w:tr>
        <w:trPr>
          <w:trHeight w:val="26"/>
        </w:trPr>
        <w:tc>
          <w:tcPr>
            <w:tcW w:w="7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28,785</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Accrued income tax and sales tax</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10,478</w:t>
            </w:r>
          </w:p>
        </w:tc>
      </w:tr>
      <w:tr>
        <w:trPr>
          <w:trHeight w:val="24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w:t>
            </w:r>
          </w:p>
        </w:tc>
      </w:tr>
      <w:tr>
        <w:trPr>
          <w:trHeight w:val="223"/>
        </w:trPr>
        <w:tc>
          <w:tcPr>
            <w:tcW w:w="7500" w:type="dxa"/>
            <w:vAlign w:val="bottom"/>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48,820</w:t>
            </w:r>
          </w:p>
        </w:tc>
      </w:tr>
      <w:tr>
        <w:trPr>
          <w:trHeight w:val="21"/>
        </w:trPr>
        <w:tc>
          <w:tcPr>
            <w:tcW w:w="7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60" w:type="dxa"/>
            <w:vAlign w:val="bottom"/>
            <w:gridSpan w:val="4"/>
          </w:tcPr>
          <w:p>
            <w:pPr>
              <w:jc w:val="right"/>
              <w:ind w:right="1273"/>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61"/>
        </w:trPr>
        <w:tc>
          <w:tcPr>
            <w:tcW w:w="7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jc w:val="right"/>
              <w:ind w:right="675"/>
              <w:spacing w:after="0"/>
              <w:rPr>
                <w:sz w:val="20"/>
                <w:szCs w:val="20"/>
                <w:color w:val="auto"/>
              </w:rPr>
            </w:pPr>
            <w:r>
              <w:rPr>
                <w:rFonts w:ascii="Arial" w:cs="Arial" w:eastAsia="Arial" w:hAnsi="Arial"/>
                <w:sz w:val="14"/>
                <w:szCs w:val="14"/>
                <w:color w:val="auto"/>
              </w:rPr>
              <w:t>July 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ind w:right="49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2"/>
        </w:trPr>
        <w:tc>
          <w:tcPr>
            <w:tcW w:w="7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ind w:right="735"/>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jc w:val="right"/>
              <w:ind w:right="753"/>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245,312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248,438</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33,800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279,112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248,438</w:t>
            </w:r>
          </w:p>
        </w:tc>
        <w:tc>
          <w:tcPr>
            <w:tcW w:w="0" w:type="dxa"/>
            <w:vAlign w:val="bottom"/>
          </w:tcPr>
          <w:p>
            <w:pPr>
              <w:spacing w:after="0"/>
              <w:rPr>
                <w:sz w:val="1"/>
                <w:szCs w:val="1"/>
                <w:color w:val="auto"/>
              </w:rPr>
            </w:pPr>
          </w:p>
        </w:tc>
      </w:tr>
      <w:tr>
        <w:trPr>
          <w:trHeight w:val="237"/>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272,862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242,188</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Less debt issuance costs - term loans</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 net of debt issuance costs - term loans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271,460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240,595</w:t>
            </w:r>
          </w:p>
        </w:tc>
        <w:tc>
          <w:tcPr>
            <w:tcW w:w="0" w:type="dxa"/>
            <w:vAlign w:val="bottom"/>
          </w:tcPr>
          <w:p>
            <w:pPr>
              <w:spacing w:after="0"/>
              <w:rPr>
                <w:sz w:val="1"/>
                <w:szCs w:val="1"/>
                <w:color w:val="auto"/>
              </w:rPr>
            </w:pPr>
          </w:p>
        </w:tc>
      </w:tr>
      <w:tr>
        <w:trPr>
          <w:trHeight w:val="20"/>
        </w:trPr>
        <w:tc>
          <w:tcPr>
            <w:tcW w:w="7220" w:type="dxa"/>
            <w:vAlign w:val="bottom"/>
            <w:vMerge w:val="restart"/>
          </w:tcPr>
          <w:p>
            <w:pPr>
              <w:ind w:left="20"/>
              <w:spacing w:after="0" w:line="250" w:lineRule="exact"/>
              <w:rPr>
                <w:sz w:val="20"/>
                <w:szCs w:val="20"/>
                <w:color w:val="auto"/>
              </w:rPr>
            </w:pPr>
            <w:r>
              <w:rPr>
                <w:rFonts w:ascii="Arial" w:cs="Arial" w:eastAsia="Arial" w:hAnsi="Arial"/>
                <w:sz w:val="18"/>
                <w:szCs w:val="18"/>
                <w:color w:val="auto"/>
              </w:rPr>
              <w:t xml:space="preserve">Debt issuance costs - revolving credit facility </w:t>
            </w:r>
            <w:r>
              <w:rPr>
                <w:rFonts w:ascii="Arial" w:cs="Arial" w:eastAsia="Arial" w:hAnsi="Arial"/>
                <w:sz w:val="23"/>
                <w:szCs w:val="23"/>
                <w:color w:val="auto"/>
                <w:vertAlign w:val="superscript"/>
              </w:rPr>
              <w:t>(1)</w:t>
            </w: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interest rate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4.36 %</w:t>
            </w:r>
          </w:p>
        </w:tc>
        <w:tc>
          <w:tcPr>
            <w:tcW w:w="0" w:type="dxa"/>
            <w:vAlign w:val="bottom"/>
          </w:tcPr>
          <w:p>
            <w:pPr>
              <w:spacing w:after="0"/>
              <w:rPr>
                <w:sz w:val="1"/>
                <w:szCs w:val="1"/>
                <w:color w:val="auto"/>
              </w:rPr>
            </w:pPr>
          </w:p>
        </w:tc>
      </w:tr>
      <w:tr>
        <w:trPr>
          <w:trHeight w:val="311"/>
        </w:trPr>
        <w:tc>
          <w:tcPr>
            <w:tcW w:w="7220" w:type="dxa"/>
            <w:vAlign w:val="bottom"/>
          </w:tcPr>
          <w:p>
            <w:pPr>
              <w:spacing w:after="0"/>
              <w:rPr>
                <w:sz w:val="20"/>
                <w:szCs w:val="20"/>
                <w:color w:val="auto"/>
              </w:rPr>
            </w:pPr>
            <w:r>
              <w:rPr>
                <w:rFonts w:ascii="Arial" w:cs="Arial" w:eastAsia="Arial" w:hAnsi="Arial"/>
                <w:sz w:val="18"/>
                <w:szCs w:val="18"/>
                <w:color w:val="auto"/>
              </w:rPr>
              <w:t>(1) Included as part of other assets.</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The required quarterly amortization payments began in the fourth quarter of 2022.</w:t>
      </w:r>
    </w:p>
    <w:p>
      <w:pPr>
        <w:spacing w:after="0" w:line="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281" w:lineRule="auto"/>
        <w:rPr>
          <w:sz w:val="20"/>
          <w:szCs w:val="20"/>
          <w:color w:val="auto"/>
        </w:rPr>
      </w:pPr>
      <w:r>
        <w:rPr>
          <w:rFonts w:ascii="Arial" w:cs="Arial" w:eastAsia="Arial" w:hAnsi="Arial"/>
          <w:sz w:val="16"/>
          <w:szCs w:val="16"/>
          <w:color w:val="auto"/>
        </w:rPr>
        <w:t>1.00%, and if the Base Rate is less than zero percent, it will be deemed zero percent) plus an applicable margin ranging from 0.375% to 1.375% per year, in each case based upon the consolidated total net adjusted leverage ratio. Interest payments are typically paid on a quarterly basis, on the last business day each quarter. The undrawn portion of the commitment of the 2022 Revolving Credit Facility is subject to a commitment fee ranging from 0.175% to</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0.275%, based upon the consolidated total net adjusted leverage ratio, typically paid on a quarterly basis, on the last business day each quarter. However, the 2022 Revolving Credit Facility does not require any principal installment payments.</w:t>
      </w:r>
    </w:p>
    <w:p>
      <w:pPr>
        <w:spacing w:after="0" w:line="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conjunction with the closing of the 2022 Credit Facilities, we utilized the entire $250.0 million of proceeds from the 2022 Term Loan plus our existing cash on hand to pay off our entire debt balance outstanding of $254.2 million under our prior credit facilities (described below).</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2019, we completed the refinancing of a portion of then our existing debt by entering into a new revolving credit facility (“2019 Revolving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to replace the then existing revolving credit facility that was entered into in November 2018 (“2018 Revolving Credit Facility”)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entered into a new term loan (“2019 Term Loan”). The 2019 Revolving Credit Facility was a $100.0 million senior secured revolving credit facility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would have matured on December 20, 2024 and replaced the $100.0 million 2018 Revolving Credit Facility that would have matured on November 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2023. The 2019 Term Loan was a $140.0 million senior secured term loan that would have matured on December 20, 2024. We also had a then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$240.0 million senior secured term loan that was entered into in November 2018 that would have matured on November 21, 2025 (“2018 Term Loan”).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 amounts available under the 2019 Revolving Credit Facility, 2019 Term Loan, and 2018 Term Loan (collectively, the “Existing Credit Facilities”)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aggregate, totaled $480.0 million at that time.</w:t>
      </w:r>
    </w:p>
    <w:p>
      <w:pPr>
        <w:spacing w:after="0" w:line="7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2019 Term Loan bore interest, at our option, at a rate equal to either (i) the Eurodollar Rate (defined as the London Interbank Offered Rate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In addition, the 2019 Term Loan required amortization payments of 1.25% of the original outstanding principal balance of the 2019 Term Loan amount on a quarterly basis, on the last day of the calendar quarter.</w:t>
      </w:r>
    </w:p>
    <w:p>
      <w:pPr>
        <w:spacing w:after="0" w:line="4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For the three months ended July 1, 2023 and July 2, 2022, we made the required quarterly amortization payments on the 2022 Term Loan and 2019 Term Loan of $1.6 million and $1.8 million, respectively. For the six months ended July 1, 2023 and July 2, 2022, we made the required quarterly amortization payments on the 2022 Term Loan and 2019 Term Loan of $3.1 million and $3.5 million, respectively.</w:t>
      </w:r>
    </w:p>
    <w:p>
      <w:pPr>
        <w:spacing w:after="0" w:line="6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2019 Revolving Credit Facility bore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was subject to a commitment fee ranging from 0.175% to 0.275%, based upon the consolidated total net adjusted leverage ratio. However, the 2019 Revolving Credit Facility did not require any principal installment payments.</w:t>
      </w:r>
    </w:p>
    <w:p>
      <w:pPr>
        <w:spacing w:after="0" w:line="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2018 Term Loan bore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quarterly. In addition, the 2018 Term Loan required amortization payments of 0.25% of the outstanding principal balance of the 2018 Term Loan amount on a quarterly basis.</w:t>
      </w:r>
    </w:p>
    <w:p>
      <w:pPr>
        <w:spacing w:after="0" w:line="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under the then Existing Credit Facilities, if we exceeded the annual excess cash flow threshold, we were required to make an annual additional principal payment based on the consolidated adjusted leverage ratio. The annual mandatory excess cash flow payment was based on (i) 50% of the excess cash flow amount if the adjusted leverage ratio was greater than 3.25 to 1.0, (ii) 25% of the excess cash flow amount if the adjusted leverage ratio was less than or equal to 3.25 to 1.0 but greater than 2.50 to 1.0, and (iii) zero percent of the excess cash flow amount if the consolidated adjusted leverage ratio was less than or equal to 2.50 to 1.0. We did not exceed the annual excess cash flow threshold for 2021 and thus, no annual excess cash flow payment was required to be paid during the first quarter of 2022.</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conjunction with entering into the 2019 Revolving Credit Facility and the 2019 Term Loan, we used the $140.0 million of proceeds from the 2019 Term Loan to pay off and close the 2018 Revolving Credit Facility of $58.5 million, paid down a portion of the 2018 Term Loan of $56.0 million, paid the accrued interest associated with the amounts being paid down on the 2018 Revolving Credit Facility and 2018 Term Loan, paid the fees related to this transaction, and used the remainder for general corporate purposes. The $56.0 million pay down on the 2018 Term Loan paid all the required quarterly amortization payments on the 2018 Term Loan until maturity.</w:t>
      </w:r>
    </w:p>
    <w:p>
      <w:pPr>
        <w:spacing w:after="0" w:line="5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However, since we were paying down on the term loans during the three months ended April 2, 2022, we were required to pay down on the 2019 Term Loan and 2018 Term Loan on a pro-rata basis and thus, we paid down $13.0 million and $17.0 million on the 2019 Term Loan and 2018 Term Loan, respectively, for an aggregate total pay down of $30.0 million. During the three months ended July 1, 2023 and July 2, 2022, we made no other voluntary prepayments on our term loans.</w:t>
      </w:r>
    </w:p>
    <w:p>
      <w:pPr>
        <w:spacing w:after="0" w:line="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July 1, 2023, we had $166.0 million of unused borrowing capacity under the 2022 Revolving Credit Facility, after deducting $0.2 million for standby letters of credit.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As of July 1, 2023, we were in compliance with all covenants required under the 2022 Credit Facilities.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The 2022 Term Loan was considered a modification of debt for some lenders and an extinguishment of debt for other lenders, and thus, a loss of</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$0.2 million was recorded related to the extinguishment. In addition, the new fees incurred of $0.8 million were capitalized and will be amortized over the life of the 2022 Term Loan. Further, the remaining debt issuance costs related to the 2019 Term Loan and 2018 Term Loan of $1.0 million as of the modification date will be amortized over the life of the 2022 Term Loan, using the effective interest method.</w:t>
      </w:r>
    </w:p>
    <w:p>
      <w:pPr>
        <w:spacing w:after="0" w:line="5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2022 Revolving Credit Facility that replaced the 2019 Revolving Credit Facility was considered a modification of debt except for the portion related to the creditor that is no longer a part of the 2022 Revolving Credit Facility and in which case, it was considered an extinguishment of debt. As a result, we expensed the portion of the unamortized debt issuance costs related to the 2019 Revolving Credit Facility that was considered an extinguishment of debt of $0.1 million. In addition, the new fees incurred of $1.7 million as part of the 2022 Revolving Credit Facility were capitalized and will be amortized over the life of the 2022 Revolving Credit Facility. Further, the remaining debt issuance costs related to the 2019 Revolving Credit Facility of $0.8 million as of the modification date will also be amortized over the life of the 2022 Revolving Credit Facility.</w:t>
      </w:r>
    </w:p>
    <w:p>
      <w:pPr>
        <w:spacing w:after="0" w:line="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2022 Credit Facilities were entered into by us (“Parent Company”) and guaranteed by all of our domestic subsidiaries, other than two subsidiaries that were considered minor (“Subsidiary Guarantors”). The Subsidiary Guarantors jointly and severally guarantee the 2022 Credit Facilities. The Parent Company has no independent assets or operations and therefore, no consolidating financial information for the Parent Company and its subsidiaries is presented.</w:t>
      </w:r>
    </w:p>
    <w:p>
      <w:pPr>
        <w:spacing w:after="0" w:line="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April 25,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 for further information.</w:t>
      </w:r>
    </w:p>
    <w:p>
      <w:pPr>
        <w:spacing w:after="0" w:line="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May 18, 2023, we completed a public stock offering of our common stock resulting in net proceeds of $85.1 million. We utilized the net proceeds plus cash on hand to pay down $85.2 million on the 2022 Revolving Credit Facility. See Note 8 for further information.</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Amended Forward Interest Rate Swaps (as defined below) are not effective until January 1, 2024, we only record the changes in fair value of the derivative instruments that were highly effective and that were designated and qualified as cash flow hedges. As such, during the three months ended July 1, 2023 and July 2, 2022, we recorded the unrealized gain (loss) to other comprehensive income (loss) of $3.1 million and $2.5 million, respectively, and the associated change to other current assets, other assets, and deferred income taxes. During the six months ended July 1, 2023 and July 2, 2022, we recorded the unrealized gain (loss) to other comprehensive income (loss) of $1.0 million and $7.4 million, respectively, and the associated change to other current assets, other assets, and deferred income taxes. See Note 1 for further information.</w:t>
      </w:r>
    </w:p>
    <w:p>
      <w:pPr>
        <w:spacing w:after="0" w:line="6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is 1.7%, as a result of the difference between U.S. dollar-one month LIBOR and one month Term SOFR.</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18, 2023, we completed a public stock offering of 2.3 million shares of our common stock at $40.00 per share, for gross proceeds of $92.0 million. The common stock offering was made under our effective shelf registration statement. We incurred aggregate total out of pocket stock offering related fees of $6.9 million, resulting in net proceeds of $85.1 million. As such, we recorded an increase to common stock at par value of less than $0.1 million with the remaining amount as an increase to additional paid-in capital of $85.1 million. The public stock offering net proceeds along with cash on hand were used to pay down $85.2 million on the 2022 Revolving Credit Facility that was drawn on and utilized to complete the acquisition of BLR. See Note 2 and Note 7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Indemnifications</w:t>
      </w:r>
    </w:p>
    <w:p>
      <w:pPr>
        <w:spacing w:after="0" w:line="10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4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0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6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recorded income tax expense of $1.0 million for both three months ended July 1, 2023 and July 2, 2022. The increase in income tax expense for the second quarter of 2023 compared to the second quarter of 2022 was due to higher discrete income tax expense primarily related to changes in other deferred tax assets and lower net tax windfalls related to stock-based compensation recognized in the second quarter of 2023 compared to the second quarter of 2022. The increase in income tax expense was partially offset by lower pre-tax income for the second quarter of 2023 compared to the second quarter of 2022.</w:t>
      </w:r>
    </w:p>
    <w:p>
      <w:pPr>
        <w:spacing w:after="0" w:line="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recorded income tax expense of $1.8 million for the six months ended July 1, 2023 compared to $2.6 million for the six months ended July 2, 2022. The decrease in income tax expense for the six months ended July 1, 2023 compared to the six months ended July 2, 2022 was primarily due to lower pre-tax income in the six months ended July 1, 2023 compared to the six months ended July 2, 2022. The decrease in income tax expense was partially offset by higher income tax expense related to non-deductible book compensation expenses and higher discrete income tax expense primarily related to changes in other deferred tax assets recognized in the six months ended July 1, 2023 compared to the six months ended July 2, 2022.</w:t>
      </w:r>
    </w:p>
    <w:p>
      <w:pPr>
        <w:spacing w:after="0" w:line="2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total amount of unrecognized tax benefits was $5.5 million and $4.9 million as of July 1, 2023 and December 31, 2022, respectively. If recognized, $2.8 million would affect the effective tax rate. We record interest and penalty charges, if any, related to uncertain tax positions as a component of tax expense and unrecognized tax benefits. The amounts accrued for interest and penalty charges as of July 1, 2023 and December 31, 2022 were not significant. As a result of statute of limitations set to expire in the fourth quarter of 2023, we expect decreases to our unrecognized tax benefits of approximately $0.7 million in the next twelve months.</w:t>
      </w:r>
    </w:p>
    <w:p>
      <w:pPr>
        <w:spacing w:after="0" w:line="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2018 and by state taxing authorities for tax years after 2017.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December 2020, a representative action under California’s Private Attorneys General Act was filed against us in the Superior Court for the State of California, County of San Bernardino. We received service of process of this complaint in January 2021. The complaint alleges violations of California’s wage and hour laws relating to our current and former employees and seeks attorney’s fees and penalties. We vigorously refuted and defended these claims, and reached a tentative settlement of $0.8 million during the fourth quarter 2021, which was subject to court approval. Thus, we recorded accrued liabilities of $0.8 million as of December 31, 2021. During the second quarter of 2022, additional factual information was identified resulting in an increase in the amount of the tentative settlement to $0.9 million. Therefore, we recorded an additional accrued liabilities of $0.1 million for a total accrued liabilities amount of $0.9 million as of the end of the second quarter of 2022 which remained unchanged as of December 31, 2022 as we were awaiting final court approval of this settlement. We received final court approval and paid the $0.9 million in January 2023.</w:t>
      </w:r>
    </w:p>
    <w:p>
      <w:pPr>
        <w:spacing w:after="0" w:line="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July 1, 2023 and December 31, 2022, which is reflected in other long-term liabilities on our condensed consolidated balance sheets.</w:t>
      </w:r>
    </w:p>
    <w:p>
      <w:pPr>
        <w:spacing w:after="0" w:line="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July 1, 2023 and December 31, 2022, which is reflected in other long-term liabilities on our condensed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was severely damaged and was comprised of two buildings with an aggregate total of 62,000 square feet. The loss of production from the Guaymas performance center was absorbed by our other existing performance centers, however, we have reestablished and are in the process of ramping up our manufacturing capabilities in a different leased facility with 117,000 square feet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w:t>
      </w:r>
    </w:p>
    <w:p>
      <w:pPr>
        <w:spacing w:after="0" w:line="4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year ended December 31, 2020, we wrote off property and equipment and tooling with an aggregate total net book value of $7.1 million and inventory on hand of $3.4 million that were damaged by the fire. The related anticipated insurance recoveries were also presented within the same financial statement line item in the condensed consolidated statements of income resulting in no net impact, with the anticipated insurance recoveries receivable included as part of other current assets on the condensed consolidated balance sheets.</w:t>
      </w:r>
    </w:p>
    <w:p>
      <w:pPr>
        <w:spacing w:after="0" w:line="4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insurance claim for damages to our operating assets and business interruption was deemed final and closed by our insurance company during the three months ended July 1, 2023. During the three months ended July 1, 2023 and July 2, 2022, we received insurance recoveries of $3.8 million and zero, respectively, with $2.1 million and $1.7 million for business interruption and property and equipment damage, respectively, and recognized as other income. During the six months ended July 1, 2023 and July 2, 2022, we received insurance recoveries of $3.8 million and $3.0 million, respectively. The $3.8 million of insurance recoveries received during the six months ended July 1, 2023 was for business interruption and property and equipment damage of $2.1 million and $1.7 million, respectively, and recognized as other income. The $3.0 million received during the six months ended July 2, 2022 was for business interruption, and was recognized as other income. Cumulatively, as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of July 1, 2023, we have received insurance recoveries in aggregate total of $23.7 million, with $7.5 million for business interruption and $16.2 million for damages to property and equipment, inventories, and tooling. Further, all insurance recovery amounts received related to this claim have been recognized up to the amount of net book value loss and presented within the same financial statement line item in the condensed consolidated statements of income resulting in no net impact, with the remaining amounts recognized as other income in our condensed consolidated statements of income when the contingencies were deemed resolved.</w:t>
      </w:r>
    </w:p>
    <w:p>
      <w:pPr>
        <w:spacing w:after="0" w:line="5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April 29, 2023, a fire damaged a relatively small portion of one of our performance centers in our Structural Systems reporting segment. There were no injuries, however, subsequent to the fire, we determined that some property and equipment in this company owned facility were damaged.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did not result in significant disruption to customer delivery schedules. Production in this damaged portion has since resumed.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three months ended July 1, 2023, we wrote off property and equipment with an aggregate total net book value of $0.2 million. In addition, during the three months ended July 1, 2023, we received insurance recoveries of $0.3 million (which was net of our deductible of $0.1 million) and thus, such insurance recoveries were also presented within the same financial statement line item in the condensed consolidated statements of income resulting in no net impact. The amount of the insurance recoveries received in excess of the loss on operating assets was deemed a contingent gain and since the gain contingencies were deemed resolved, the $0.1 million was recorded as other income during the three months ended July 1, 2023.</w:t>
      </w:r>
    </w:p>
    <w:p>
      <w:pPr>
        <w:spacing w:after="0" w:line="46"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 Information</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reportable operating segment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652"/>
              <w:spacing w:after="0"/>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right"/>
              <w:ind w:right="632"/>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82"/>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4"/>
          </w:tcPr>
          <w:p>
            <w:pPr>
              <w:ind w:left="48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right"/>
              <w:ind w:right="752"/>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4"/>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color w:val="auto"/>
              </w:rPr>
              <w:t>July 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color w:val="auto"/>
              </w:rPr>
              <w:t>July 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color w:val="auto"/>
              </w:rPr>
              <w:t>July 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color w:val="auto"/>
              </w:rPr>
              <w:t>July 2,</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107,124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109,732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212,750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207,198</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80,196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155,761</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130,481</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Arial" w:cs="Arial" w:eastAsia="Arial" w:hAnsi="Arial"/>
                <w:sz w:val="18"/>
                <w:szCs w:val="18"/>
                <w:color w:val="auto"/>
              </w:rPr>
              <w:t>Total Net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368,511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337,679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color w:val="auto"/>
              </w:rPr>
              <w:t xml:space="preserve">Segment Operating Income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9,528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13,610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19,539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23,021</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29,669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29,173</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Corporate General and Administrative Expenses </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4"/>
              </w:rPr>
              <w:t>(9,908)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(18,292)</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16,877</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 Expenses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3,484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7,059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23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Corporate Administration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0"/>
        </w:trPr>
        <w:tc>
          <w:tcPr>
            <w:tcW w:w="5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Depreciation and Amortization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15,943</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37"/>
        </w:trPr>
        <w:tc>
          <w:tcPr>
            <w:tcW w:w="5660" w:type="dxa"/>
            <w:vAlign w:val="bottom"/>
          </w:tcPr>
          <w:p>
            <w:pPr>
              <w:ind w:left="360"/>
              <w:spacing w:after="0"/>
              <w:rPr>
                <w:sz w:val="20"/>
                <w:szCs w:val="20"/>
                <w:color w:val="auto"/>
              </w:rPr>
            </w:pPr>
            <w:r>
              <w:rPr>
                <w:rFonts w:ascii="Arial" w:cs="Arial" w:eastAsia="Arial" w:hAnsi="Arial"/>
                <w:sz w:val="18"/>
                <w:szCs w:val="18"/>
                <w:color w:val="auto"/>
              </w:rPr>
              <w:t>Structural Systems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7,241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Administration</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Arial" w:cs="Arial" w:eastAsia="Arial" w:hAnsi="Arial"/>
                <w:sz w:val="18"/>
                <w:szCs w:val="18"/>
                <w:color w:val="auto"/>
              </w:rPr>
              <w:t>Total Capital Expenditures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6,034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5,429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11,015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10,497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80" w:right="620" w:hanging="329"/>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results for the three and six months ended July 1, 2023 include BLR’s results of operations which have been included in our condensed consolidated statements of income since the date of acquisition as part of the Structural Systems segment. See Note 2.</w:t>
      </w:r>
    </w:p>
    <w:p>
      <w:pPr>
        <w:spacing w:after="0" w:line="11" w:lineRule="exact"/>
        <w:rPr>
          <w:rFonts w:ascii="Arial" w:cs="Arial" w:eastAsia="Arial" w:hAnsi="Arial"/>
          <w:sz w:val="17"/>
          <w:szCs w:val="17"/>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costs not allocated to either the Electronic Systems or Structural Systems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include assets directly identifiable to or allocated to each segment. Our segment assets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40" w:type="dxa"/>
            <w:vAlign w:val="bottom"/>
            <w:gridSpan w:val="4"/>
          </w:tcPr>
          <w:p>
            <w:pPr>
              <w:jc w:val="right"/>
              <w:ind w:right="1154"/>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61"/>
        </w:trPr>
        <w:tc>
          <w:tcPr>
            <w:tcW w:w="7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jc w:val="right"/>
              <w:ind w:right="635"/>
              <w:spacing w:after="0"/>
              <w:rPr>
                <w:sz w:val="20"/>
                <w:szCs w:val="20"/>
                <w:color w:val="auto"/>
              </w:rPr>
            </w:pPr>
            <w:r>
              <w:rPr>
                <w:rFonts w:ascii="Arial" w:cs="Arial" w:eastAsia="Arial" w:hAnsi="Arial"/>
                <w:sz w:val="14"/>
                <w:szCs w:val="14"/>
                <w:color w:val="auto"/>
              </w:rPr>
              <w:t>July 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ind w:right="41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2"/>
        </w:trPr>
        <w:tc>
          <w:tcPr>
            <w:tcW w:w="7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675"/>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674"/>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532,832</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543,298</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Structural Systems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410,565</w:t>
            </w:r>
          </w:p>
        </w:tc>
        <w:tc>
          <w:tcPr>
            <w:tcW w:w="0" w:type="dxa"/>
            <w:vAlign w:val="bottom"/>
          </w:tcPr>
          <w:p>
            <w:pPr>
              <w:spacing w:after="0"/>
              <w:rPr>
                <w:sz w:val="1"/>
                <w:szCs w:val="1"/>
                <w:color w:val="auto"/>
              </w:rPr>
            </w:pPr>
          </w:p>
        </w:tc>
      </w:tr>
      <w:tr>
        <w:trPr>
          <w:trHeight w:val="243"/>
        </w:trPr>
        <w:tc>
          <w:tcPr>
            <w:tcW w:w="7460" w:type="dxa"/>
            <w:vAlign w:val="bottom"/>
            <w:tcBorders>
              <w:bottom w:val="single" w:sz="8" w:color="CCEEFF"/>
            </w:tcBorders>
          </w:tcPr>
          <w:p>
            <w:pPr>
              <w:ind w:left="360"/>
              <w:spacing w:after="0" w:line="243" w:lineRule="exact"/>
              <w:rPr>
                <w:sz w:val="20"/>
                <w:szCs w:val="20"/>
                <w:color w:val="auto"/>
              </w:rPr>
            </w:pPr>
            <w:r>
              <w:rPr>
                <w:rFonts w:ascii="Arial" w:cs="Arial" w:eastAsia="Arial" w:hAnsi="Arial"/>
                <w:sz w:val="18"/>
                <w:szCs w:val="18"/>
                <w:color w:val="auto"/>
              </w:rPr>
              <w:t xml:space="preserve">Corporate Administration </w:t>
            </w:r>
            <w:r>
              <w:rPr>
                <w:rFonts w:ascii="Arial" w:cs="Arial" w:eastAsia="Arial" w:hAnsi="Arial"/>
                <w:sz w:val="23"/>
                <w:szCs w:val="23"/>
                <w:color w:val="auto"/>
                <w:vertAlign w:val="superscript"/>
              </w:rPr>
              <w:t>(2)</w:t>
            </w: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67,643</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1,021,506</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Goodwill and Intangibles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177,858</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182,501</w:t>
            </w:r>
          </w:p>
        </w:tc>
        <w:tc>
          <w:tcPr>
            <w:tcW w:w="0" w:type="dxa"/>
            <w:vAlign w:val="bottom"/>
          </w:tcPr>
          <w:p>
            <w:pPr>
              <w:spacing w:after="0"/>
              <w:rPr>
                <w:sz w:val="1"/>
                <w:szCs w:val="1"/>
                <w:color w:val="auto"/>
              </w:rPr>
            </w:pPr>
          </w:p>
        </w:tc>
      </w:tr>
      <w:tr>
        <w:trPr>
          <w:trHeight w:val="229"/>
        </w:trPr>
        <w:tc>
          <w:tcPr>
            <w:tcW w:w="746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Structural Systems </w:t>
            </w:r>
            <w:r>
              <w:rPr>
                <w:rFonts w:ascii="Arial" w:cs="Arial" w:eastAsia="Arial" w:hAnsi="Arial"/>
                <w:sz w:val="23"/>
                <w:szCs w:val="23"/>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241,704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148,107</w:t>
            </w:r>
          </w:p>
        </w:tc>
        <w:tc>
          <w:tcPr>
            <w:tcW w:w="0" w:type="dxa"/>
            <w:vAlign w:val="bottom"/>
          </w:tcPr>
          <w:p>
            <w:pPr>
              <w:spacing w:after="0"/>
              <w:rPr>
                <w:sz w:val="1"/>
                <w:szCs w:val="1"/>
                <w:color w:val="auto"/>
              </w:rPr>
            </w:pPr>
          </w:p>
        </w:tc>
      </w:tr>
      <w:tr>
        <w:trPr>
          <w:trHeight w:val="243"/>
        </w:trPr>
        <w:tc>
          <w:tcPr>
            <w:tcW w:w="7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Goodwill and Intangibles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419,562</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80" w:right="220" w:hanging="329"/>
        <w:spacing w:after="0" w:line="31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April 25, 2023, we acquired 100.0% of the outstanding equity interests of BLR for an initial purchase price of $115.0 million, net of cash acquired. We allocated the preliminary gross purchase price of $117.0 million to the assets acquired and liabilities assumed at their estimated fair values. The excess of the purchase price over the aggregate fair values of the net assets was recorded as goodwill. See Note 2.</w:t>
      </w:r>
    </w:p>
    <w:p>
      <w:pPr>
        <w:spacing w:after="0" w:line="13" w:lineRule="exact"/>
        <w:rPr>
          <w:rFonts w:ascii="Arial" w:cs="Arial" w:eastAsia="Arial" w:hAnsi="Arial"/>
          <w:sz w:val="16"/>
          <w:szCs w:val="16"/>
          <w:color w:val="auto"/>
        </w:rPr>
      </w:pPr>
    </w:p>
    <w:p>
      <w:pPr>
        <w:ind w:left="580" w:right="120" w:hanging="329"/>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assets not specifically identified to or allocated to either the Electronic Systems or Structural Systems operating segments, including cash and cash equivalents.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 on Our Business</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COVID-19 pandemic had a significant impact on our overall business during the prior year three and six months ended July 2, 2022.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COVID-19 pandemic and the resulting inflation, rising interest rates, supply chain issues, and other events including the war in Ukraine have contributed and continues to contribute to a general slowdown in the global economy and most significantly, the commercial aerospace end-use market. While both major large aircraft manufacturers, The Boeing Company (“Boeing”) and Airbus SE, have announced increases in build rates for 2023, the ramp up is slower than expected and below pre-pandemic levels. In its 2022 Annual Report on Form 10-K, Boeing indicated that domestic travel continues to recover from the lingering effects of the COVID-19 pandemic and will recover before international travel. However, the pace of the commercial market recovery remains impacted by government restrictions related to COVID-19, especially China. While the full extent and impact of the COVID-19 pandemic cannot be reasonably estimated with certainty at this time, in the prior year, COVID-19 had a significant impact on our business, the businesses of our customers and suppliers, as well as our results of operations and financial condition, and such lingering effects could have a material adverse impact on our business, results of operations and financial condition for 2023 and beyond.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recap:</w:t>
      </w:r>
    </w:p>
    <w:p>
      <w:pPr>
        <w:spacing w:after="0" w:line="121"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of $187.3 million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of $2.4 million, or $0.17 per diluted share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of $26.1 million, or 13.9% of net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Adjusted earnings before interest, taxes, depreciation, amortization, stock-based compensation expense, restructuring charges, Guaymas fire related expenses, insurance recoveries related to loss on operating assets, insurance recoveries related to business interruption, and inventory purchase accounting adjustments (“Adjusted EBITDA”) were $26.1 million and $24.1 million for the three months ended July 1, 2023 and July 2, 2022, respectively.</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spacing w:after="0" w:line="4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does not reflect our cash expenditures, future requirements for capital expenditures or contractual commitments;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It does not reflect the significant interest expense or the cash requirements necessary to service interest or principal payments on our debt;</w:t>
      </w:r>
    </w:p>
    <w:p>
      <w:pPr>
        <w:spacing w:after="0" w:line="140" w:lineRule="exact"/>
        <w:rPr>
          <w:rFonts w:ascii="Arial" w:cs="Arial" w:eastAsia="Arial" w:hAnsi="Arial"/>
          <w:sz w:val="16"/>
          <w:szCs w:val="16"/>
          <w:color w:val="auto"/>
        </w:rPr>
      </w:pPr>
    </w:p>
    <w:p>
      <w:pPr>
        <w:ind w:left="1300" w:right="18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not adjusted for all non-cash income or expense items that are reflected in our statements of cash flows;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does not reflect the impact on earnings of charges resulting from matters unrelated to our ongoing operations;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from us, limiting its usefulness as a comparative measure.</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Even with the limitations above, we believe that Adjusted EBITDA is useful to an investor in evaluating our results of operations as this measure:</w:t>
      </w:r>
    </w:p>
    <w:p>
      <w:pPr>
        <w:spacing w:after="0" w:line="129" w:lineRule="exact"/>
        <w:rPr>
          <w:sz w:val="20"/>
          <w:szCs w:val="20"/>
          <w:color w:val="auto"/>
        </w:rPr>
      </w:pPr>
    </w:p>
    <w:p>
      <w:pPr>
        <w:ind w:left="1300" w:right="40" w:hanging="644"/>
        <w:spacing w:after="0" w:line="263"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7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Helps investors to evaluate and compare the results of our operations from period to period by removing the effect of our capital structure from our operating performance; and</w:t>
      </w:r>
    </w:p>
    <w:p>
      <w:pPr>
        <w:spacing w:after="0" w:line="62"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used by our management team for various other purposes in presentations to our Board of Directors as a basis for strategic planning and forecasting.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expense may be useful to investors for determining current cash flow;</w:t>
      </w:r>
    </w:p>
    <w:p>
      <w:pPr>
        <w:spacing w:after="0" w:line="117"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62"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may be useful to investors because it generally represents the wear and tear on our property and equipment used in our operations;</w:t>
      </w:r>
    </w:p>
    <w:p>
      <w:pPr>
        <w:spacing w:after="0" w:line="62"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Amortization expense may be useful to investors because it represents the estimated attrition of our acquired customer base and the diminishing value of product rights;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may be useful to our investors for determining current cash flow;</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Restructuring charges may be useful to our investors in evaluating our core operating performance;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Guaymas fire related expenses may be useful to our investors in evaluating our core operating performance;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fire related expenses may be useful to our investors in evaluating our core operating performance;</w:t>
      </w:r>
    </w:p>
    <w:p>
      <w:pPr>
        <w:spacing w:after="0" w:line="117"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 recoveries related to loss on operating assets (property and equipment, inventories, and other assets) may be useful to our investors in evaluating our core operating performance;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Insurance recoveries related to business interruption may be useful to our investors in evaluating our core operating performance; and</w:t>
      </w:r>
    </w:p>
    <w:p>
      <w:pPr>
        <w:spacing w:after="0" w:line="140" w:lineRule="exact"/>
        <w:rPr>
          <w:rFonts w:ascii="Arial" w:cs="Arial" w:eastAsia="Arial" w:hAnsi="Arial"/>
          <w:sz w:val="16"/>
          <w:szCs w:val="16"/>
          <w:color w:val="auto"/>
        </w:rPr>
      </w:pPr>
    </w:p>
    <w:p>
      <w:pPr>
        <w:ind w:left="1300" w:right="3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 accounting inventory step-ups may be useful to our investors as they do not necessarily reflect the current or on-going cash charges related to our core operating performance.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net income to Adjusted EBITDA and the presentation of Adjusted EBITDA as a percentage of net revenues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4"/>
          </w:tcPr>
          <w:p>
            <w:pPr>
              <w:jc w:val="right"/>
              <w:ind w:right="612"/>
              <w:spacing w:after="0"/>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4"/>
          </w:tcPr>
          <w:p>
            <w:pPr>
              <w:jc w:val="right"/>
              <w:ind w:right="592"/>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right"/>
              <w:ind w:right="63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right"/>
              <w:ind w:right="712"/>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74"/>
              <w:spacing w:after="0"/>
              <w:rPr>
                <w:sz w:val="20"/>
                <w:szCs w:val="20"/>
                <w:color w:val="auto"/>
              </w:rPr>
            </w:pPr>
            <w:r>
              <w:rPr>
                <w:rFonts w:ascii="Arial" w:cs="Arial" w:eastAsia="Arial" w:hAnsi="Arial"/>
                <w:sz w:val="14"/>
                <w:szCs w:val="14"/>
                <w:color w:val="auto"/>
              </w:rPr>
              <w:t>July 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color w:val="auto"/>
              </w:rPr>
              <w:t>July 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color w:val="auto"/>
              </w:rPr>
              <w:t>July 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color w:val="auto"/>
              </w:rPr>
              <w:t>July 2,</w:t>
            </w:r>
          </w:p>
        </w:tc>
        <w:tc>
          <w:tcPr>
            <w:tcW w:w="0" w:type="dxa"/>
            <w:vAlign w:val="bottom"/>
          </w:tcPr>
          <w:p>
            <w:pPr>
              <w:spacing w:after="0"/>
              <w:rPr>
                <w:sz w:val="1"/>
                <w:szCs w:val="1"/>
                <w:color w:val="auto"/>
              </w:rPr>
            </w:pPr>
          </w:p>
        </w:tc>
      </w:tr>
      <w:tr>
        <w:trPr>
          <w:trHeight w:val="188"/>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2,374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4,147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7,605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9,954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0"/>
                <w:szCs w:val="20"/>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7,672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7,197</w:t>
            </w:r>
          </w:p>
        </w:tc>
        <w:tc>
          <w:tcPr>
            <w:tcW w:w="0" w:type="dxa"/>
            <w:vAlign w:val="bottom"/>
          </w:tcPr>
          <w:p>
            <w:pPr>
              <w:spacing w:after="0"/>
              <w:rPr>
                <w:sz w:val="1"/>
                <w:szCs w:val="1"/>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4,288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8,271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8,117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4,769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8,939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Guaymas fire related expenses</w:t>
            </w:r>
          </w:p>
        </w:tc>
        <w:tc>
          <w:tcPr>
            <w:tcW w:w="28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fire related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Insurance recoveries related to loss on operating assets</w:t>
            </w:r>
          </w:p>
        </w:tc>
        <w:tc>
          <w:tcPr>
            <w:tcW w:w="280" w:type="dxa"/>
            <w:vAlign w:val="bottom"/>
          </w:tcPr>
          <w:p>
            <w:pPr>
              <w:spacing w:after="0"/>
              <w:rPr>
                <w:sz w:val="20"/>
                <w:szCs w:val="20"/>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recoveries related to business interruption</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Inventory purchase accounting adjustments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26,109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24,118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49,189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44,193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 of net revenues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13.9 %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13.8 %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13.3 %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right="60" w:hanging="252"/>
        <w:spacing w:after="0" w:line="342" w:lineRule="auto"/>
        <w:tabs>
          <w:tab w:leader="none" w:pos="2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three and six months ended July 1, 2023 included $0.8 million and $1.2 million, respectively, and both the three and six months ended July 2, 2022 included $0.5 million of stock-based compensation expense for awards with both performance and market conditions that will be settled in cash.</w:t>
      </w:r>
    </w:p>
    <w:p>
      <w:pPr>
        <w:spacing w:after="0" w:line="15"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Both the three and six months ended July 2, 2022 included $0.5 million of restructuring charges that were recorded as cost of sales.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of 2023 Compared to Second Quarter of 2022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7"/>
          </w:tcPr>
          <w:p>
            <w:pPr>
              <w:jc w:val="center"/>
              <w:ind w:left="553"/>
              <w:spacing w:after="0"/>
              <w:rPr>
                <w:sz w:val="20"/>
                <w:szCs w:val="20"/>
                <w:color w:val="auto"/>
              </w:rPr>
            </w:pPr>
            <w:r>
              <w:rPr>
                <w:rFonts w:ascii="Arial" w:cs="Arial" w:eastAsia="Arial" w:hAnsi="Arial"/>
                <w:sz w:val="14"/>
                <w:szCs w:val="14"/>
                <w:color w:val="auto"/>
                <w:w w:val="91"/>
              </w:rPr>
              <w:t>(Dollars in thousands, except per share data)</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8"/>
          </w:tcPr>
          <w:p>
            <w:pPr>
              <w:jc w:val="center"/>
              <w:ind w:left="513"/>
              <w:spacing w:after="0"/>
              <w:rPr>
                <w:sz w:val="20"/>
                <w:szCs w:val="20"/>
                <w:color w:val="auto"/>
              </w:rPr>
            </w:pPr>
            <w:r>
              <w:rPr>
                <w:rFonts w:ascii="Arial" w:cs="Arial" w:eastAsia="Arial" w:hAnsi="Arial"/>
                <w:sz w:val="14"/>
                <w:szCs w:val="14"/>
                <w:color w:val="auto"/>
                <w:w w:val="91"/>
              </w:rPr>
              <w:t>(Dollars in thousands, except per share data)</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color w:val="auto"/>
                <w:w w:val="93"/>
              </w:rPr>
              <w:t>Three Months Ended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6"/>
          </w:tcPr>
          <w:p>
            <w:pPr>
              <w:jc w:val="center"/>
              <w:ind w:right="400"/>
              <w:spacing w:after="0"/>
              <w:rPr>
                <w:sz w:val="20"/>
                <w:szCs w:val="20"/>
                <w:color w:val="auto"/>
              </w:rPr>
            </w:pPr>
            <w:r>
              <w:rPr>
                <w:rFonts w:ascii="Arial" w:cs="Arial" w:eastAsia="Arial" w:hAnsi="Arial"/>
                <w:sz w:val="14"/>
                <w:szCs w:val="14"/>
                <w:color w:val="auto"/>
                <w:w w:val="95"/>
              </w:rPr>
              <w:t>Six Months Ended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4"/>
                <w:szCs w:val="14"/>
                <w:color w:val="auto"/>
              </w:rPr>
              <w:t>July 1,</w:t>
            </w:r>
          </w:p>
        </w:tc>
        <w:tc>
          <w:tcPr>
            <w:tcW w:w="1000" w:type="dxa"/>
            <w:vAlign w:val="bottom"/>
            <w:gridSpan w:val="2"/>
          </w:tcPr>
          <w:p>
            <w:pPr>
              <w:jc w:val="center"/>
              <w:ind w:left="33"/>
              <w:spacing w:after="0" w:line="129"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color w:val="auto"/>
              </w:rPr>
              <w:t>July 2,</w:t>
            </w:r>
          </w:p>
        </w:tc>
        <w:tc>
          <w:tcPr>
            <w:tcW w:w="900" w:type="dxa"/>
            <w:vAlign w:val="bottom"/>
          </w:tcPr>
          <w:p>
            <w:pPr>
              <w:jc w:val="center"/>
              <w:spacing w:after="0" w:line="129" w:lineRule="exact"/>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293"/>
              <w:spacing w:after="0"/>
              <w:rPr>
                <w:sz w:val="20"/>
                <w:szCs w:val="20"/>
                <w:color w:val="auto"/>
              </w:rPr>
            </w:pPr>
            <w:r>
              <w:rPr>
                <w:rFonts w:ascii="Arial" w:cs="Arial" w:eastAsia="Arial" w:hAnsi="Arial"/>
                <w:sz w:val="14"/>
                <w:szCs w:val="14"/>
                <w:color w:val="auto"/>
              </w:rPr>
              <w:t>July 1,</w:t>
            </w:r>
          </w:p>
        </w:tc>
        <w:tc>
          <w:tcPr>
            <w:tcW w:w="980" w:type="dxa"/>
            <w:vAlign w:val="bottom"/>
            <w:gridSpan w:val="2"/>
          </w:tcPr>
          <w:p>
            <w:pPr>
              <w:jc w:val="center"/>
              <w:ind w:left="13"/>
              <w:spacing w:after="0" w:line="129"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vMerge w:val="restart"/>
          </w:tcPr>
          <w:p>
            <w:pPr>
              <w:ind w:left="160"/>
              <w:spacing w:after="0"/>
              <w:rPr>
                <w:sz w:val="20"/>
                <w:szCs w:val="20"/>
                <w:color w:val="auto"/>
              </w:rPr>
            </w:pPr>
            <w:r>
              <w:rPr>
                <w:rFonts w:ascii="Arial" w:cs="Arial" w:eastAsia="Arial" w:hAnsi="Arial"/>
                <w:sz w:val="14"/>
                <w:szCs w:val="14"/>
                <w:color w:val="auto"/>
              </w:rPr>
              <w:t>July 2,</w:t>
            </w:r>
          </w:p>
        </w:tc>
        <w:tc>
          <w:tcPr>
            <w:tcW w:w="820" w:type="dxa"/>
            <w:vAlign w:val="bottom"/>
          </w:tcPr>
          <w:p>
            <w:pPr>
              <w:jc w:val="center"/>
              <w:spacing w:after="0" w:line="12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color w:val="auto"/>
                <w:w w:val="96"/>
              </w:rPr>
              <w:t>of Net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color w:val="auto"/>
                <w:w w:val="96"/>
              </w:rPr>
              <w:t>of Net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color w:val="auto"/>
                <w:w w:val="96"/>
              </w:rPr>
              <w:t>of Net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20" w:type="dxa"/>
            <w:vAlign w:val="bottom"/>
          </w:tcPr>
          <w:p>
            <w:pPr>
              <w:jc w:val="center"/>
              <w:ind w:right="13"/>
              <w:spacing w:after="0" w:line="143" w:lineRule="exact"/>
              <w:rPr>
                <w:sz w:val="20"/>
                <w:szCs w:val="20"/>
                <w:color w:val="auto"/>
              </w:rPr>
            </w:pPr>
            <w:r>
              <w:rPr>
                <w:rFonts w:ascii="Arial" w:cs="Arial" w:eastAsia="Arial" w:hAnsi="Arial"/>
                <w:sz w:val="14"/>
                <w:szCs w:val="14"/>
                <w:color w:val="auto"/>
                <w:w w:val="96"/>
              </w:rPr>
              <w:t>of Net</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Revenues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Revenues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Revenues</w:t>
            </w: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187,320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174,198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368,511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337,679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147,198</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78.6 %</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139,556</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80.1 %</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291,622</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79.1 %</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270,562</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80.1 %</w:t>
            </w:r>
          </w:p>
        </w:tc>
        <w:tc>
          <w:tcPr>
            <w:tcW w:w="0" w:type="dxa"/>
            <w:vAlign w:val="bottom"/>
          </w:tcPr>
          <w:p>
            <w:pPr>
              <w:spacing w:after="0"/>
              <w:rPr>
                <w:sz w:val="1"/>
                <w:szCs w:val="1"/>
                <w:color w:val="auto"/>
              </w:rPr>
            </w:pPr>
          </w:p>
        </w:tc>
      </w:tr>
      <w:tr>
        <w:trPr>
          <w:trHeight w:val="23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40,122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34,642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76,889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67,117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w:t>
            </w:r>
          </w:p>
        </w:tc>
        <w:tc>
          <w:tcPr>
            <w:tcW w:w="220" w:type="dxa"/>
            <w:vAlign w:val="bottom"/>
          </w:tcPr>
          <w:p>
            <w:pPr>
              <w:spacing w:after="0"/>
              <w:rPr>
                <w:sz w:val="15"/>
                <w:szCs w:val="15"/>
                <w:color w:val="auto"/>
              </w:rPr>
            </w:pPr>
          </w:p>
        </w:tc>
        <w:tc>
          <w:tcPr>
            <w:tcW w:w="900" w:type="dxa"/>
            <w:vAlign w:val="bottom"/>
            <w:vMerge w:val="restart"/>
          </w:tcPr>
          <w:p>
            <w:pPr>
              <w:jc w:val="right"/>
              <w:ind w:right="113"/>
              <w:spacing w:after="0"/>
              <w:rPr>
                <w:sz w:val="20"/>
                <w:szCs w:val="20"/>
                <w:color w:val="auto"/>
              </w:rPr>
            </w:pPr>
            <w:r>
              <w:rPr>
                <w:rFonts w:ascii="Arial" w:cs="Arial" w:eastAsia="Arial" w:hAnsi="Arial"/>
                <w:sz w:val="18"/>
                <w:szCs w:val="18"/>
                <w:color w:val="auto"/>
              </w:rPr>
              <w:t>30,348</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18"/>
                <w:szCs w:val="18"/>
                <w:color w:val="auto"/>
              </w:rPr>
              <w:t>24,185</w:t>
            </w: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13.9 %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8"/>
                <w:szCs w:val="18"/>
                <w:color w:val="auto"/>
              </w:rPr>
              <w:t>56,573</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18"/>
                <w:szCs w:val="18"/>
                <w:color w:val="auto"/>
              </w:rPr>
              <w:t>47,537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4,769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8,939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11,377</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16,877</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(5,735)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(9,954)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(5,058)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7,945</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3,329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5,098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14,819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1,763</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2,573</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2,374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4,147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7,605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12,246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End-Use Market and Operating Segment</w:t>
      </w:r>
    </w:p>
    <w:p>
      <w:pPr>
        <w:spacing w:after="0" w:line="108"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Net revenues by end-use market and operating segment during the fiscal three and six months ended July 1, 2023 and July 2, 2022, respectively,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color w:val="auto"/>
                <w:w w:val="97"/>
              </w:rPr>
              <w:t>Three Months Ended</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ind w:left="20"/>
              <w:spacing w:after="0"/>
              <w:rPr>
                <w:sz w:val="20"/>
                <w:szCs w:val="20"/>
                <w:color w:val="auto"/>
              </w:rPr>
            </w:pPr>
            <w:r>
              <w:rPr>
                <w:rFonts w:ascii="Arial" w:cs="Arial" w:eastAsia="Arial" w:hAnsi="Arial"/>
                <w:sz w:val="11"/>
                <w:szCs w:val="11"/>
                <w:color w:val="auto"/>
              </w:rPr>
              <w:t>Six Months Ended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gridSpan w:val="6"/>
          </w:tcPr>
          <w:p>
            <w:pPr>
              <w:ind w:left="200"/>
              <w:spacing w:after="0"/>
              <w:rPr>
                <w:sz w:val="20"/>
                <w:szCs w:val="20"/>
                <w:color w:val="auto"/>
              </w:rPr>
            </w:pPr>
            <w:r>
              <w:rPr>
                <w:rFonts w:ascii="Arial" w:cs="Arial" w:eastAsia="Arial" w:hAnsi="Arial"/>
                <w:sz w:val="11"/>
                <w:szCs w:val="11"/>
                <w:color w:val="auto"/>
              </w:rPr>
              <w:t>(Dollars in thousands)</w:t>
            </w:r>
          </w:p>
        </w:tc>
        <w:tc>
          <w:tcPr>
            <w:tcW w:w="1680" w:type="dxa"/>
            <w:vAlign w:val="bottom"/>
            <w:gridSpan w:val="3"/>
          </w:tcPr>
          <w:p>
            <w:pPr>
              <w:jc w:val="right"/>
              <w:ind w:right="433"/>
              <w:spacing w:after="0"/>
              <w:rPr>
                <w:sz w:val="20"/>
                <w:szCs w:val="20"/>
                <w:color w:val="auto"/>
              </w:rPr>
            </w:pPr>
            <w:r>
              <w:rPr>
                <w:rFonts w:ascii="Arial" w:cs="Arial" w:eastAsia="Arial" w:hAnsi="Arial"/>
                <w:sz w:val="11"/>
                <w:szCs w:val="11"/>
                <w:color w:val="auto"/>
              </w:rPr>
              <w:t>% of Net Revenues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6"/>
          </w:tcPr>
          <w:p>
            <w:pPr>
              <w:ind w:left="200"/>
              <w:spacing w:after="0"/>
              <w:rPr>
                <w:sz w:val="20"/>
                <w:szCs w:val="20"/>
                <w:color w:val="auto"/>
              </w:rPr>
            </w:pPr>
            <w:r>
              <w:rPr>
                <w:rFonts w:ascii="Arial" w:cs="Arial" w:eastAsia="Arial" w:hAnsi="Arial"/>
                <w:sz w:val="11"/>
                <w:szCs w:val="11"/>
                <w:color w:val="auto"/>
              </w:rPr>
              <w:t>(Dollars in thousands)</w:t>
            </w:r>
          </w:p>
        </w:tc>
        <w:tc>
          <w:tcPr>
            <w:tcW w:w="1700" w:type="dxa"/>
            <w:vAlign w:val="bottom"/>
            <w:gridSpan w:val="3"/>
          </w:tcPr>
          <w:p>
            <w:pPr>
              <w:jc w:val="right"/>
              <w:ind w:right="453"/>
              <w:spacing w:after="0"/>
              <w:rPr>
                <w:sz w:val="20"/>
                <w:szCs w:val="20"/>
                <w:color w:val="auto"/>
              </w:rPr>
            </w:pPr>
            <w:r>
              <w:rPr>
                <w:rFonts w:ascii="Arial" w:cs="Arial" w:eastAsia="Arial" w:hAnsi="Arial"/>
                <w:sz w:val="11"/>
                <w:szCs w:val="11"/>
                <w:color w:val="auto"/>
              </w:rPr>
              <w:t>% of Net Revenues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30"/>
              <w:spacing w:after="0"/>
              <w:rPr>
                <w:sz w:val="20"/>
                <w:szCs w:val="20"/>
                <w:color w:val="auto"/>
              </w:rPr>
            </w:pPr>
            <w:r>
              <w:rPr>
                <w:rFonts w:ascii="Arial" w:cs="Arial" w:eastAsia="Arial" w:hAnsi="Arial"/>
                <w:sz w:val="11"/>
                <w:szCs w:val="11"/>
                <w:color w:val="auto"/>
                <w:w w:val="93"/>
              </w:rPr>
              <w:t>Change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92"/>
              <w:spacing w:after="0"/>
              <w:rPr>
                <w:sz w:val="20"/>
                <w:szCs w:val="20"/>
                <w:color w:val="auto"/>
              </w:rPr>
            </w:pPr>
            <w:r>
              <w:rPr>
                <w:rFonts w:ascii="Arial" w:cs="Arial" w:eastAsia="Arial" w:hAnsi="Arial"/>
                <w:sz w:val="11"/>
                <w:szCs w:val="11"/>
                <w:color w:val="auto"/>
              </w:rPr>
              <w:t>July 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color w:val="auto"/>
              </w:rPr>
              <w:t>July 2,</w:t>
            </w:r>
          </w:p>
        </w:tc>
        <w:tc>
          <w:tcPr>
            <w:tcW w:w="700" w:type="dxa"/>
            <w:vAlign w:val="bottom"/>
          </w:tcPr>
          <w:p>
            <w:pPr>
              <w:jc w:val="right"/>
              <w:ind w:right="212"/>
              <w:spacing w:after="0"/>
              <w:rPr>
                <w:sz w:val="20"/>
                <w:szCs w:val="20"/>
                <w:color w:val="auto"/>
              </w:rPr>
            </w:pPr>
            <w:r>
              <w:rPr>
                <w:rFonts w:ascii="Arial" w:cs="Arial" w:eastAsia="Arial" w:hAnsi="Arial"/>
                <w:sz w:val="11"/>
                <w:szCs w:val="11"/>
                <w:color w:val="auto"/>
              </w:rPr>
              <w:t>July 1,</w:t>
            </w:r>
          </w:p>
        </w:tc>
        <w:tc>
          <w:tcPr>
            <w:tcW w:w="120" w:type="dxa"/>
            <w:vAlign w:val="bottom"/>
          </w:tcPr>
          <w:p>
            <w:pPr>
              <w:spacing w:after="0"/>
              <w:rPr>
                <w:sz w:val="11"/>
                <w:szCs w:val="11"/>
                <w:color w:val="auto"/>
              </w:rPr>
            </w:pPr>
          </w:p>
        </w:tc>
        <w:tc>
          <w:tcPr>
            <w:tcW w:w="860" w:type="dxa"/>
            <w:vAlign w:val="bottom"/>
          </w:tcPr>
          <w:p>
            <w:pPr>
              <w:jc w:val="right"/>
              <w:ind w:right="213"/>
              <w:spacing w:after="0"/>
              <w:rPr>
                <w:sz w:val="20"/>
                <w:szCs w:val="20"/>
                <w:color w:val="auto"/>
              </w:rPr>
            </w:pPr>
            <w:r>
              <w:rPr>
                <w:rFonts w:ascii="Arial" w:cs="Arial" w:eastAsia="Arial" w:hAnsi="Arial"/>
                <w:sz w:val="11"/>
                <w:szCs w:val="11"/>
                <w:color w:val="auto"/>
              </w:rPr>
              <w:t>July 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130"/>
              <w:spacing w:after="0"/>
              <w:rPr>
                <w:sz w:val="20"/>
                <w:szCs w:val="20"/>
                <w:color w:val="auto"/>
              </w:rPr>
            </w:pPr>
            <w:r>
              <w:rPr>
                <w:rFonts w:ascii="Arial" w:cs="Arial" w:eastAsia="Arial" w:hAnsi="Arial"/>
                <w:sz w:val="11"/>
                <w:szCs w:val="11"/>
                <w:color w:val="auto"/>
                <w:w w:val="93"/>
              </w:rPr>
              <w:t>Change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212"/>
              <w:spacing w:after="0"/>
              <w:rPr>
                <w:sz w:val="20"/>
                <w:szCs w:val="20"/>
                <w:color w:val="auto"/>
              </w:rPr>
            </w:pPr>
            <w:r>
              <w:rPr>
                <w:rFonts w:ascii="Arial" w:cs="Arial" w:eastAsia="Arial" w:hAnsi="Arial"/>
                <w:sz w:val="11"/>
                <w:szCs w:val="11"/>
                <w:color w:val="auto"/>
              </w:rPr>
              <w:t>July 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ind w:left="160"/>
              <w:spacing w:after="0"/>
              <w:rPr>
                <w:sz w:val="20"/>
                <w:szCs w:val="20"/>
                <w:color w:val="auto"/>
              </w:rPr>
            </w:pPr>
            <w:r>
              <w:rPr>
                <w:rFonts w:ascii="Arial" w:cs="Arial" w:eastAsia="Arial" w:hAnsi="Arial"/>
                <w:sz w:val="11"/>
                <w:szCs w:val="11"/>
                <w:color w:val="auto"/>
              </w:rPr>
              <w:t>July 2,</w:t>
            </w:r>
          </w:p>
        </w:tc>
        <w:tc>
          <w:tcPr>
            <w:tcW w:w="720" w:type="dxa"/>
            <w:vAlign w:val="bottom"/>
          </w:tcPr>
          <w:p>
            <w:pPr>
              <w:jc w:val="right"/>
              <w:ind w:right="252"/>
              <w:spacing w:after="0"/>
              <w:rPr>
                <w:sz w:val="20"/>
                <w:szCs w:val="20"/>
                <w:color w:val="auto"/>
              </w:rPr>
            </w:pPr>
            <w:r>
              <w:rPr>
                <w:rFonts w:ascii="Arial" w:cs="Arial" w:eastAsia="Arial" w:hAnsi="Arial"/>
                <w:sz w:val="11"/>
                <w:szCs w:val="11"/>
                <w:color w:val="auto"/>
              </w:rPr>
              <w:t>July 1</w:t>
            </w:r>
          </w:p>
        </w:tc>
        <w:tc>
          <w:tcPr>
            <w:tcW w:w="100" w:type="dxa"/>
            <w:vAlign w:val="bottom"/>
          </w:tcPr>
          <w:p>
            <w:pPr>
              <w:spacing w:after="0"/>
              <w:rPr>
                <w:sz w:val="11"/>
                <w:szCs w:val="11"/>
                <w:color w:val="auto"/>
              </w:rPr>
            </w:pPr>
          </w:p>
        </w:tc>
        <w:tc>
          <w:tcPr>
            <w:tcW w:w="880" w:type="dxa"/>
            <w:vAlign w:val="bottom"/>
          </w:tcPr>
          <w:p>
            <w:pPr>
              <w:jc w:val="right"/>
              <w:ind w:right="233"/>
              <w:spacing w:after="0"/>
              <w:rPr>
                <w:sz w:val="20"/>
                <w:szCs w:val="20"/>
                <w:color w:val="auto"/>
              </w:rPr>
            </w:pPr>
            <w:r>
              <w:rPr>
                <w:rFonts w:ascii="Arial" w:cs="Arial" w:eastAsia="Arial" w:hAnsi="Arial"/>
                <w:sz w:val="11"/>
                <w:szCs w:val="11"/>
                <w:color w:val="auto"/>
              </w:rPr>
              <w:t>July 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32"/>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31"/>
              <w:spacing w:after="0"/>
              <w:rPr>
                <w:sz w:val="20"/>
                <w:szCs w:val="20"/>
                <w:color w:val="auto"/>
              </w:rPr>
            </w:pPr>
            <w:r>
              <w:rPr>
                <w:rFonts w:ascii="Arial" w:cs="Arial" w:eastAsia="Arial" w:hAnsi="Arial"/>
                <w:sz w:val="11"/>
                <w:szCs w:val="11"/>
                <w:color w:val="auto"/>
              </w:rPr>
              <w:t>2022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252"/>
              <w:spacing w:after="0"/>
              <w:rPr>
                <w:sz w:val="20"/>
                <w:szCs w:val="20"/>
                <w:color w:val="auto"/>
              </w:rPr>
            </w:pPr>
            <w:r>
              <w:rPr>
                <w:rFonts w:ascii="Arial" w:cs="Arial" w:eastAsia="Arial" w:hAnsi="Arial"/>
                <w:sz w:val="11"/>
                <w:szCs w:val="11"/>
                <w:color w:val="auto"/>
              </w:rPr>
              <w:t>2023</w:t>
            </w:r>
          </w:p>
        </w:tc>
        <w:tc>
          <w:tcPr>
            <w:tcW w:w="980" w:type="dxa"/>
            <w:vAlign w:val="bottom"/>
            <w:gridSpan w:val="2"/>
          </w:tcPr>
          <w:p>
            <w:pPr>
              <w:jc w:val="right"/>
              <w:ind w:right="253"/>
              <w:spacing w:after="0"/>
              <w:rPr>
                <w:sz w:val="20"/>
                <w:szCs w:val="20"/>
                <w:color w:val="auto"/>
              </w:rPr>
            </w:pPr>
            <w:r>
              <w:rPr>
                <w:rFonts w:ascii="Arial" w:cs="Arial" w:eastAsia="Arial" w:hAnsi="Arial"/>
                <w:sz w:val="11"/>
                <w:szCs w:val="11"/>
                <w:color w:val="auto"/>
              </w:rPr>
              <w:t>2022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232"/>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12"/>
              <w:spacing w:after="0"/>
              <w:rPr>
                <w:sz w:val="20"/>
                <w:szCs w:val="20"/>
                <w:color w:val="auto"/>
              </w:rPr>
            </w:pPr>
            <w:r>
              <w:rPr>
                <w:rFonts w:ascii="Arial" w:cs="Arial" w:eastAsia="Arial" w:hAnsi="Arial"/>
                <w:sz w:val="11"/>
                <w:szCs w:val="1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272"/>
              <w:spacing w:after="0"/>
              <w:rPr>
                <w:sz w:val="20"/>
                <w:szCs w:val="20"/>
                <w:color w:val="auto"/>
              </w:rPr>
            </w:pPr>
            <w:r>
              <w:rPr>
                <w:rFonts w:ascii="Arial" w:cs="Arial" w:eastAsia="Arial" w:hAnsi="Arial"/>
                <w:sz w:val="11"/>
                <w:szCs w:val="11"/>
                <w:color w:val="auto"/>
              </w:rPr>
              <w:t>2023</w:t>
            </w:r>
          </w:p>
        </w:tc>
        <w:tc>
          <w:tcPr>
            <w:tcW w:w="980" w:type="dxa"/>
            <w:vAlign w:val="bottom"/>
            <w:gridSpan w:val="2"/>
          </w:tcPr>
          <w:p>
            <w:pPr>
              <w:jc w:val="right"/>
              <w:ind w:right="273"/>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06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Consolidated Ducommun</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Military and space</w:t>
            </w:r>
          </w:p>
        </w:tc>
        <w:tc>
          <w:tcPr>
            <w:tcW w:w="5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(10,793)</w:t>
            </w:r>
          </w:p>
        </w:tc>
        <w:tc>
          <w:tcPr>
            <w:tcW w:w="280" w:type="dxa"/>
            <w:vAlign w:val="bottom"/>
            <w:tcBorders>
              <w:top w:val="single" w:sz="8" w:color="CCEEFF"/>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95,887</w:t>
            </w:r>
          </w:p>
        </w:tc>
        <w:tc>
          <w:tcPr>
            <w:tcW w:w="280" w:type="dxa"/>
            <w:vAlign w:val="bottom"/>
            <w:tcBorders>
              <w:top w:val="single" w:sz="8" w:color="CCEEFF"/>
            </w:tcBorders>
            <w:gridSpan w:val="2"/>
          </w:tcPr>
          <w:p>
            <w:pPr>
              <w:jc w:val="right"/>
              <w:ind w:right="34"/>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CCEEFF"/>
            </w:tcBorders>
          </w:tcPr>
          <w:p>
            <w:pPr>
              <w:jc w:val="right"/>
              <w:ind w:right="11"/>
              <w:spacing w:after="0"/>
              <w:rPr>
                <w:sz w:val="20"/>
                <w:szCs w:val="20"/>
                <w:color w:val="auto"/>
              </w:rPr>
            </w:pPr>
            <w:r>
              <w:rPr>
                <w:rFonts w:ascii="Arial" w:cs="Arial" w:eastAsia="Arial" w:hAnsi="Arial"/>
                <w:sz w:val="14"/>
                <w:szCs w:val="14"/>
                <w:color w:val="auto"/>
              </w:rPr>
              <w:t>106,680</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51.2 %</w:t>
            </w:r>
          </w:p>
        </w:tc>
        <w:tc>
          <w:tcPr>
            <w:tcW w:w="98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61.2 %</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(13,687)</w:t>
            </w:r>
          </w:p>
        </w:tc>
        <w:tc>
          <w:tcPr>
            <w:tcW w:w="300" w:type="dxa"/>
            <w:vAlign w:val="bottom"/>
            <w:tcBorders>
              <w:top w:val="single" w:sz="8" w:color="CCEEFF"/>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192,327</w:t>
            </w: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206,014</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52.2 %</w:t>
            </w:r>
          </w:p>
        </w:tc>
        <w:tc>
          <w:tcPr>
            <w:tcW w:w="98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61.0 %</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21,180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78,247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57,067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41.8 %</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40,155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151,297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111,142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41.1 %</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32.9 %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Industrial</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10,451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4,364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24,887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20,523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187,320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174,198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368,511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337,679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Electronic Systems</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Military and space</w:t>
            </w:r>
          </w:p>
        </w:tc>
        <w:tc>
          <w:tcPr>
            <w:tcW w:w="900" w:type="dxa"/>
            <w:vAlign w:val="bottom"/>
            <w:tcBorders>
              <w:top w:val="single" w:sz="8" w:color="CCEEFF"/>
            </w:tcBorders>
            <w:gridSpan w:val="3"/>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(8,415)</w:t>
            </w:r>
          </w:p>
        </w:tc>
        <w:tc>
          <w:tcPr>
            <w:tcW w:w="280" w:type="dxa"/>
            <w:vAlign w:val="bottom"/>
            <w:tcBorders>
              <w:top w:val="single" w:sz="8" w:color="CCEEFF"/>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71,772</w:t>
            </w:r>
          </w:p>
        </w:tc>
        <w:tc>
          <w:tcPr>
            <w:tcW w:w="280" w:type="dxa"/>
            <w:vAlign w:val="bottom"/>
            <w:tcBorders>
              <w:top w:val="single" w:sz="8" w:color="CCEEFF"/>
            </w:tcBorders>
            <w:gridSpan w:val="2"/>
          </w:tcPr>
          <w:p>
            <w:pPr>
              <w:jc w:val="right"/>
              <w:ind w:right="34"/>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CCEEFF"/>
            </w:tcBorders>
          </w:tcPr>
          <w:p>
            <w:pPr>
              <w:jc w:val="right"/>
              <w:ind w:right="11"/>
              <w:spacing w:after="0"/>
              <w:rPr>
                <w:sz w:val="20"/>
                <w:szCs w:val="20"/>
                <w:color w:val="auto"/>
              </w:rPr>
            </w:pPr>
            <w:r>
              <w:rPr>
                <w:rFonts w:ascii="Arial" w:cs="Arial" w:eastAsia="Arial" w:hAnsi="Arial"/>
                <w:sz w:val="14"/>
                <w:szCs w:val="14"/>
                <w:color w:val="auto"/>
              </w:rPr>
              <w:t>80,187</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67.0 %</w:t>
            </w:r>
          </w:p>
        </w:tc>
        <w:tc>
          <w:tcPr>
            <w:tcW w:w="98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73.1 %</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(6,908)</w:t>
            </w:r>
          </w:p>
        </w:tc>
        <w:tc>
          <w:tcPr>
            <w:tcW w:w="300" w:type="dxa"/>
            <w:vAlign w:val="bottom"/>
            <w:tcBorders>
              <w:top w:val="single" w:sz="8" w:color="CCEEFF"/>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145,099</w:t>
            </w: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152,007</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68.2 %</w:t>
            </w:r>
          </w:p>
        </w:tc>
        <w:tc>
          <w:tcPr>
            <w:tcW w:w="98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73.4 %</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22,166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19,094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20.7 %</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17.4 %</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42,764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34,668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20.1 %</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Industrial</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10,451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9.5 %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4,364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24,887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20,523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107,124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109,732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212,750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207,198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Structural Systems</w:t>
            </w:r>
          </w:p>
        </w:tc>
        <w:tc>
          <w:tcPr>
            <w:tcW w:w="88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Military and space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(2,378)</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24,115</w:t>
            </w:r>
          </w:p>
        </w:tc>
        <w:tc>
          <w:tcPr>
            <w:tcW w:w="280" w:type="dxa"/>
            <w:vAlign w:val="bottom"/>
            <w:gridSpan w:val="2"/>
          </w:tcPr>
          <w:p>
            <w:pPr>
              <w:jc w:val="right"/>
              <w:ind w:right="34"/>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26,493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30.1 %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41.1 %</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(6,779)</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47,228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54,007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30.3 %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41.4 %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56,081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37,973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69.9 %</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58.9 %</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32,059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108,533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76,474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69.7 %</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60" w:type="dxa"/>
            <w:vAlign w:val="bottom"/>
            <w:gridSpan w:val="4"/>
          </w:tcPr>
          <w:p>
            <w:pPr>
              <w:ind w:left="66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15,730</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80,196</w:t>
            </w:r>
          </w:p>
        </w:tc>
        <w:tc>
          <w:tcPr>
            <w:tcW w:w="280" w:type="dxa"/>
            <w:vAlign w:val="bottom"/>
            <w:gridSpan w:val="2"/>
          </w:tcPr>
          <w:p>
            <w:pPr>
              <w:jc w:val="right"/>
              <w:ind w:right="34"/>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64,466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25,280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155,761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130,481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revenues for the three months ended July 1, 2023 were $187.3 million, compared to $174.2 million for the three months ended July 2, 2022. The year-over-year increase was primarily due to the following:</w:t>
      </w:r>
    </w:p>
    <w:p>
      <w:pPr>
        <w:spacing w:after="0" w:line="35" w:lineRule="exact"/>
        <w:rPr>
          <w:sz w:val="20"/>
          <w:szCs w:val="20"/>
          <w:color w:val="auto"/>
        </w:rPr>
      </w:pPr>
    </w:p>
    <w:p>
      <w:pPr>
        <w:ind w:left="660" w:right="6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$21.2 million higher revenues in our commercial aerospace end-use markets due to higher build rates on large aircraft platforms and other commercial aerospace platforms; partially offset by</w:t>
      </w:r>
    </w:p>
    <w:p>
      <w:pPr>
        <w:spacing w:after="0" w:line="48"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$10.8 million lower revenues in our military and space end-use markets due to lower build rates on military fixed-wing aircraft platforms and various missile platforms.</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revenues for the six months ended July 1, 2023 were $368.5 million, compared to $337.7 million for the six months ended July 2, 2022. The year-over-year increase was primarily due to the following:</w:t>
      </w:r>
    </w:p>
    <w:p>
      <w:pPr>
        <w:spacing w:after="0" w:line="49" w:lineRule="exact"/>
        <w:rPr>
          <w:sz w:val="20"/>
          <w:szCs w:val="20"/>
          <w:color w:val="auto"/>
        </w:rPr>
      </w:pPr>
    </w:p>
    <w:p>
      <w:pPr>
        <w:ind w:left="660" w:right="2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$40.2 million higher revenues in our commercial aerospace end-use markets due to higher build rates on other commercial aerospace platforms and large aircraft platforms, partially offset by lower build rates on rotary-wing aircraft platforms; partially offset by</w:t>
      </w:r>
    </w:p>
    <w:p>
      <w:pPr>
        <w:spacing w:after="0" w:line="11" w:lineRule="exact"/>
        <w:rPr>
          <w:rFonts w:ascii="Arial" w:cs="Arial" w:eastAsia="Arial" w:hAnsi="Arial"/>
          <w:sz w:val="17"/>
          <w:szCs w:val="17"/>
          <w:color w:val="auto"/>
        </w:rPr>
      </w:pPr>
    </w:p>
    <w:p>
      <w:pPr>
        <w:ind w:left="660" w:right="8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$13.7 million lower revenues in our military and space end-use markets due to lower build rates on military fixed-wing aircraft platforms, various missile platforms, and military rotary-wing aircraft platforms, partially offset by higher build rates on other military and space platforms.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Major Customers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our net revenues are from our top ten customers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380" w:type="dxa"/>
            <w:vAlign w:val="bottom"/>
            <w:gridSpan w:val="3"/>
          </w:tcPr>
          <w:p>
            <w:pPr>
              <w:jc w:val="right"/>
              <w:ind w:right="52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5"/>
                <w:szCs w:val="15"/>
                <w:color w:val="auto"/>
              </w:rPr>
            </w:pPr>
          </w:p>
        </w:tc>
        <w:tc>
          <w:tcPr>
            <w:tcW w:w="4060" w:type="dxa"/>
            <w:vAlign w:val="bottom"/>
            <w:gridSpan w:val="4"/>
          </w:tcPr>
          <w:p>
            <w:pPr>
              <w:ind w:left="660"/>
              <w:spacing w:after="0"/>
              <w:rPr>
                <w:sz w:val="20"/>
                <w:szCs w:val="20"/>
                <w:color w:val="auto"/>
              </w:rPr>
            </w:pPr>
            <w:r>
              <w:rPr>
                <w:rFonts w:ascii="Arial" w:cs="Arial" w:eastAsia="Arial" w:hAnsi="Arial"/>
                <w:sz w:val="14"/>
                <w:szCs w:val="14"/>
                <w:color w:val="auto"/>
              </w:rPr>
              <w:t>Six Months Ended</w:t>
            </w:r>
          </w:p>
        </w:tc>
      </w:tr>
      <w:tr>
        <w:trPr>
          <w:trHeight w:val="25"/>
        </w:trPr>
        <w:tc>
          <w:tcPr>
            <w:tcW w:w="1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gridSpan w:val="2"/>
          </w:tcPr>
          <w:p>
            <w:pPr>
              <w:spacing w:after="0"/>
              <w:rPr>
                <w:sz w:val="2"/>
                <w:szCs w:val="2"/>
                <w:color w:val="auto"/>
              </w:rPr>
            </w:pPr>
          </w:p>
        </w:tc>
      </w:tr>
      <w:tr>
        <w:trPr>
          <w:trHeight w:val="137"/>
        </w:trPr>
        <w:tc>
          <w:tcPr>
            <w:tcW w:w="16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20" w:type="dxa"/>
            <w:vAlign w:val="bottom"/>
            <w:tcBorders>
              <w:top w:val="single" w:sz="8" w:color="auto"/>
            </w:tcBorders>
          </w:tcPr>
          <w:p>
            <w:pPr>
              <w:jc w:val="right"/>
              <w:ind w:right="295"/>
              <w:spacing w:after="0" w:line="137" w:lineRule="exact"/>
              <w:rPr>
                <w:sz w:val="20"/>
                <w:szCs w:val="20"/>
                <w:color w:val="auto"/>
              </w:rPr>
            </w:pPr>
            <w:r>
              <w:rPr>
                <w:rFonts w:ascii="Arial" w:cs="Arial" w:eastAsia="Arial" w:hAnsi="Arial"/>
                <w:sz w:val="14"/>
                <w:szCs w:val="14"/>
                <w:color w:val="auto"/>
              </w:rPr>
              <w:t>July 1,</w:t>
            </w: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08"/>
              <w:spacing w:after="0" w:line="137" w:lineRule="exact"/>
              <w:rPr>
                <w:sz w:val="20"/>
                <w:szCs w:val="20"/>
                <w:color w:val="auto"/>
              </w:rPr>
            </w:pPr>
            <w:r>
              <w:rPr>
                <w:rFonts w:ascii="Arial" w:cs="Arial" w:eastAsia="Arial" w:hAnsi="Arial"/>
                <w:sz w:val="14"/>
                <w:szCs w:val="14"/>
                <w:color w:val="auto"/>
              </w:rPr>
              <w:t>July 2,</w:t>
            </w:r>
          </w:p>
        </w:tc>
        <w:tc>
          <w:tcPr>
            <w:tcW w:w="100" w:type="dxa"/>
            <w:vAlign w:val="bottom"/>
          </w:tcPr>
          <w:p>
            <w:pPr>
              <w:spacing w:after="0"/>
              <w:rPr>
                <w:sz w:val="11"/>
                <w:szCs w:val="11"/>
                <w:color w:val="auto"/>
              </w:rPr>
            </w:pPr>
          </w:p>
        </w:tc>
        <w:tc>
          <w:tcPr>
            <w:tcW w:w="1140" w:type="dxa"/>
            <w:vAlign w:val="bottom"/>
            <w:tcBorders>
              <w:top w:val="single" w:sz="8" w:color="auto"/>
            </w:tcBorders>
          </w:tcPr>
          <w:p>
            <w:pPr>
              <w:jc w:val="right"/>
              <w:ind w:right="308"/>
              <w:spacing w:after="0" w:line="137" w:lineRule="exact"/>
              <w:rPr>
                <w:sz w:val="20"/>
                <w:szCs w:val="20"/>
                <w:color w:val="auto"/>
              </w:rPr>
            </w:pPr>
            <w:r>
              <w:rPr>
                <w:rFonts w:ascii="Arial" w:cs="Arial" w:eastAsia="Arial" w:hAnsi="Arial"/>
                <w:sz w:val="14"/>
                <w:szCs w:val="14"/>
                <w:color w:val="auto"/>
              </w:rPr>
              <w:t>July 1,</w:t>
            </w: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08"/>
              <w:spacing w:after="0" w:line="137" w:lineRule="exact"/>
              <w:rPr>
                <w:sz w:val="20"/>
                <w:szCs w:val="20"/>
                <w:color w:val="auto"/>
              </w:rPr>
            </w:pPr>
            <w:r>
              <w:rPr>
                <w:rFonts w:ascii="Arial" w:cs="Arial" w:eastAsia="Arial" w:hAnsi="Arial"/>
                <w:sz w:val="14"/>
                <w:szCs w:val="14"/>
                <w:color w:val="auto"/>
              </w:rPr>
              <w:t>July 2,</w:t>
            </w:r>
          </w:p>
        </w:tc>
        <w:tc>
          <w:tcPr>
            <w:tcW w:w="1660" w:type="dxa"/>
            <w:vAlign w:val="bottom"/>
          </w:tcPr>
          <w:p>
            <w:pPr>
              <w:spacing w:after="0"/>
              <w:rPr>
                <w:sz w:val="11"/>
                <w:szCs w:val="11"/>
                <w:color w:val="auto"/>
              </w:rPr>
            </w:pPr>
          </w:p>
        </w:tc>
      </w:tr>
      <w:tr>
        <w:trPr>
          <w:trHeight w:val="188"/>
        </w:trPr>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2022</w:t>
            </w:r>
          </w:p>
        </w:tc>
        <w:tc>
          <w:tcPr>
            <w:tcW w:w="1660" w:type="dxa"/>
            <w:vAlign w:val="bottom"/>
          </w:tcPr>
          <w:p>
            <w:pPr>
              <w:spacing w:after="0"/>
              <w:rPr>
                <w:sz w:val="16"/>
                <w:szCs w:val="16"/>
                <w:color w:val="auto"/>
              </w:rPr>
            </w:pPr>
          </w:p>
        </w:tc>
      </w:tr>
      <w:tr>
        <w:trPr>
          <w:trHeight w:val="243"/>
        </w:trPr>
        <w:tc>
          <w:tcPr>
            <w:tcW w:w="1660" w:type="dxa"/>
            <w:vAlign w:val="bottom"/>
          </w:tcPr>
          <w:p>
            <w:pPr>
              <w:spacing w:after="0"/>
              <w:rPr>
                <w:sz w:val="21"/>
                <w:szCs w:val="21"/>
                <w:color w:val="auto"/>
              </w:rPr>
            </w:pPr>
          </w:p>
        </w:tc>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Company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660" w:type="dxa"/>
            <w:vAlign w:val="bottom"/>
          </w:tcPr>
          <w:p>
            <w:pPr>
              <w:spacing w:after="0"/>
              <w:rPr>
                <w:sz w:val="21"/>
                <w:szCs w:val="21"/>
                <w:color w:val="auto"/>
              </w:rPr>
            </w:pPr>
          </w:p>
        </w:tc>
      </w:tr>
      <w:tr>
        <w:trPr>
          <w:trHeight w:val="230"/>
        </w:trPr>
        <w:tc>
          <w:tcPr>
            <w:tcW w:w="1660" w:type="dxa"/>
            <w:vAlign w:val="bottom"/>
          </w:tcPr>
          <w:p>
            <w:pPr>
              <w:spacing w:after="0"/>
              <w:rPr>
                <w:sz w:val="19"/>
                <w:szCs w:val="19"/>
                <w:color w:val="auto"/>
              </w:rPr>
            </w:pPr>
          </w:p>
        </w:tc>
        <w:tc>
          <w:tcPr>
            <w:tcW w:w="3040" w:type="dxa"/>
            <w:vAlign w:val="bottom"/>
          </w:tcPr>
          <w:p>
            <w:pPr>
              <w:ind w:left="40"/>
              <w:spacing w:after="0"/>
              <w:rPr>
                <w:sz w:val="20"/>
                <w:szCs w:val="20"/>
                <w:color w:val="auto"/>
              </w:rPr>
            </w:pPr>
            <w:r>
              <w:rPr>
                <w:rFonts w:ascii="Arial" w:cs="Arial" w:eastAsia="Arial" w:hAnsi="Arial"/>
                <w:sz w:val="18"/>
                <w:szCs w:val="18"/>
                <w:color w:val="auto"/>
              </w:rPr>
              <w:t>General Dynamics Corporation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3.1 %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1660" w:type="dxa"/>
            <w:vAlign w:val="bottom"/>
          </w:tcPr>
          <w:p>
            <w:pPr>
              <w:spacing w:after="0"/>
              <w:rPr>
                <w:sz w:val="19"/>
                <w:szCs w:val="19"/>
                <w:color w:val="auto"/>
              </w:rPr>
            </w:pPr>
          </w:p>
        </w:tc>
      </w:tr>
      <w:tr>
        <w:trPr>
          <w:trHeight w:val="229"/>
        </w:trPr>
        <w:tc>
          <w:tcPr>
            <w:tcW w:w="1660" w:type="dxa"/>
            <w:vAlign w:val="bottom"/>
          </w:tcPr>
          <w:p>
            <w:pPr>
              <w:spacing w:after="0"/>
              <w:rPr>
                <w:sz w:val="19"/>
                <w:szCs w:val="19"/>
                <w:color w:val="auto"/>
              </w:rPr>
            </w:pPr>
          </w:p>
        </w:tc>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660" w:type="dxa"/>
            <w:vAlign w:val="bottom"/>
          </w:tcPr>
          <w:p>
            <w:pPr>
              <w:spacing w:after="0"/>
              <w:rPr>
                <w:sz w:val="19"/>
                <w:szCs w:val="19"/>
                <w:color w:val="auto"/>
              </w:rPr>
            </w:pPr>
          </w:p>
        </w:tc>
      </w:tr>
      <w:tr>
        <w:trPr>
          <w:trHeight w:val="237"/>
        </w:trPr>
        <w:tc>
          <w:tcPr>
            <w:tcW w:w="1660" w:type="dxa"/>
            <w:vAlign w:val="bottom"/>
          </w:tcPr>
          <w:p>
            <w:pPr>
              <w:spacing w:after="0"/>
              <w:rPr>
                <w:sz w:val="20"/>
                <w:szCs w:val="20"/>
                <w:color w:val="auto"/>
              </w:rPr>
            </w:pPr>
          </w:p>
        </w:tc>
        <w:tc>
          <w:tcPr>
            <w:tcW w:w="3040" w:type="dxa"/>
            <w:vAlign w:val="bottom"/>
          </w:tcPr>
          <w:p>
            <w:pPr>
              <w:ind w:left="40"/>
              <w:spacing w:after="0"/>
              <w:rPr>
                <w:sz w:val="20"/>
                <w:szCs w:val="20"/>
                <w:color w:val="auto"/>
              </w:rPr>
            </w:pPr>
            <w:r>
              <w:rPr>
                <w:rFonts w:ascii="Arial" w:cs="Arial" w:eastAsia="Arial" w:hAnsi="Arial"/>
                <w:sz w:val="18"/>
                <w:szCs w:val="18"/>
                <w:color w:val="auto"/>
              </w:rPr>
              <w:t>Raytheon Technologies Corporation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14.3 %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21.9 %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21.3 %</w:t>
            </w:r>
          </w:p>
        </w:tc>
        <w:tc>
          <w:tcPr>
            <w:tcW w:w="1660" w:type="dxa"/>
            <w:vAlign w:val="bottom"/>
          </w:tcPr>
          <w:p>
            <w:pPr>
              <w:spacing w:after="0"/>
              <w:rPr>
                <w:sz w:val="20"/>
                <w:szCs w:val="20"/>
                <w:color w:val="auto"/>
              </w:rPr>
            </w:pPr>
          </w:p>
        </w:tc>
      </w:tr>
      <w:tr>
        <w:trPr>
          <w:trHeight w:val="236"/>
        </w:trPr>
        <w:tc>
          <w:tcPr>
            <w:tcW w:w="1660" w:type="dxa"/>
            <w:vAlign w:val="bottom"/>
          </w:tcPr>
          <w:p>
            <w:pPr>
              <w:spacing w:after="0"/>
              <w:rPr>
                <w:sz w:val="20"/>
                <w:szCs w:val="20"/>
                <w:color w:val="auto"/>
              </w:rPr>
            </w:pPr>
          </w:p>
        </w:tc>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Spirit AeroSystems Holdings, Inc.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660" w:type="dxa"/>
            <w:vAlign w:val="bottom"/>
          </w:tcPr>
          <w:p>
            <w:pPr>
              <w:spacing w:after="0"/>
              <w:rPr>
                <w:sz w:val="20"/>
                <w:szCs w:val="20"/>
                <w:color w:val="auto"/>
              </w:rPr>
            </w:pPr>
          </w:p>
        </w:tc>
      </w:tr>
      <w:tr>
        <w:trPr>
          <w:trHeight w:val="229"/>
        </w:trPr>
        <w:tc>
          <w:tcPr>
            <w:tcW w:w="1660" w:type="dxa"/>
            <w:vAlign w:val="bottom"/>
          </w:tcPr>
          <w:p>
            <w:pPr>
              <w:spacing w:after="0"/>
              <w:rPr>
                <w:sz w:val="19"/>
                <w:szCs w:val="19"/>
                <w:color w:val="auto"/>
              </w:rPr>
            </w:pPr>
          </w:p>
        </w:tc>
        <w:tc>
          <w:tcPr>
            <w:tcW w:w="3040" w:type="dxa"/>
            <w:vAlign w:val="bottom"/>
          </w:tcPr>
          <w:p>
            <w:pPr>
              <w:ind w:left="40"/>
              <w:spacing w:after="0"/>
              <w:rPr>
                <w:sz w:val="20"/>
                <w:szCs w:val="20"/>
                <w:color w:val="auto"/>
              </w:rPr>
            </w:pPr>
            <w:r>
              <w:rPr>
                <w:rFonts w:ascii="Arial" w:cs="Arial" w:eastAsia="Arial" w:hAnsi="Arial"/>
                <w:sz w:val="18"/>
                <w:szCs w:val="18"/>
                <w:color w:val="auto"/>
              </w:rPr>
              <w:t>Viasat, Inc.</w:t>
            </w:r>
          </w:p>
        </w:tc>
        <w:tc>
          <w:tcPr>
            <w:tcW w:w="1120" w:type="dxa"/>
            <w:vAlign w:val="bottom"/>
          </w:tcPr>
          <w:p>
            <w:pPr>
              <w:jc w:val="right"/>
              <w:spacing w:after="0"/>
              <w:rPr>
                <w:sz w:val="20"/>
                <w:szCs w:val="20"/>
                <w:color w:val="auto"/>
              </w:rPr>
            </w:pPr>
            <w:r>
              <w:rPr>
                <w:rFonts w:ascii="Arial" w:cs="Arial" w:eastAsia="Arial" w:hAnsi="Arial"/>
                <w:sz w:val="18"/>
                <w:szCs w:val="18"/>
                <w:color w:val="auto"/>
              </w:rPr>
              <w:t>4.9 %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660" w:type="dxa"/>
            <w:vAlign w:val="bottom"/>
          </w:tcPr>
          <w:p>
            <w:pPr>
              <w:spacing w:after="0"/>
              <w:rPr>
                <w:sz w:val="19"/>
                <w:szCs w:val="19"/>
                <w:color w:val="auto"/>
              </w:rPr>
            </w:pPr>
          </w:p>
        </w:tc>
      </w:tr>
      <w:tr>
        <w:trPr>
          <w:trHeight w:val="243"/>
        </w:trPr>
        <w:tc>
          <w:tcPr>
            <w:tcW w:w="1660" w:type="dxa"/>
            <w:vAlign w:val="bottom"/>
          </w:tcPr>
          <w:p>
            <w:pPr>
              <w:spacing w:after="0"/>
              <w:rPr>
                <w:sz w:val="21"/>
                <w:szCs w:val="21"/>
                <w:color w:val="auto"/>
              </w:rPr>
            </w:pPr>
          </w:p>
        </w:tc>
        <w:tc>
          <w:tcPr>
            <w:tcW w:w="3040" w:type="dxa"/>
            <w:vAlign w:val="bottom"/>
            <w:shd w:val="clear" w:color="auto" w:fill="CCEEFF"/>
          </w:tcPr>
          <w:p>
            <w:pPr>
              <w:ind w:left="40"/>
              <w:spacing w:after="0" w:line="243" w:lineRule="exact"/>
              <w:rPr>
                <w:sz w:val="20"/>
                <w:szCs w:val="20"/>
                <w:color w:val="auto"/>
              </w:rPr>
            </w:pPr>
            <w:r>
              <w:rPr>
                <w:rFonts w:ascii="Arial" w:cs="Arial" w:eastAsia="Arial" w:hAnsi="Arial"/>
                <w:sz w:val="18"/>
                <w:szCs w:val="18"/>
                <w:color w:val="auto"/>
              </w:rPr>
              <w:t xml:space="preserve">Total top ten customers </w:t>
            </w:r>
            <w:r>
              <w:rPr>
                <w:rFonts w:ascii="Arial" w:cs="Arial" w:eastAsia="Arial" w:hAnsi="Arial"/>
                <w:sz w:val="23"/>
                <w:szCs w:val="23"/>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60.3 %</w:t>
            </w:r>
          </w:p>
        </w:tc>
        <w:tc>
          <w:tcPr>
            <w:tcW w:w="1660" w:type="dxa"/>
            <w:vAlign w:val="bottom"/>
          </w:tcPr>
          <w:p>
            <w:pPr>
              <w:spacing w:after="0"/>
              <w:rPr>
                <w:sz w:val="21"/>
                <w:szCs w:val="21"/>
                <w:color w:val="auto"/>
              </w:rPr>
            </w:pPr>
          </w:p>
        </w:tc>
      </w:tr>
      <w:tr>
        <w:trPr>
          <w:trHeight w:val="850"/>
        </w:trPr>
        <w:tc>
          <w:tcPr>
            <w:tcW w:w="1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right="240" w:hanging="332"/>
        <w:spacing w:after="0" w:line="286"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The Boeing Company (“Boeing”), General Dynamics Corporation (“GD”), Northrop Grumman Corporation (“Northrop”), Raytheon Technologies Corporation (“Raytheon”), Spirit AeroSystems Holdings, Inc. (“Spirit”), and Viasat, Inc. (“Viasat”) for the three and six months ended July 1, 2023 and July 2, 2022. Raytheon Technologies Corporation changed its name to RTX Corporation effective July 17, 2023.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Boeing, GD, Northrop, Raytheon, Spirit, and Viasat represented the following percentages of total accounts receivable: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40" w:type="dxa"/>
            <w:vAlign w:val="bottom"/>
          </w:tcPr>
          <w:p>
            <w:pPr>
              <w:jc w:val="right"/>
              <w:ind w:right="335"/>
              <w:spacing w:after="0"/>
              <w:rPr>
                <w:sz w:val="20"/>
                <w:szCs w:val="20"/>
                <w:color w:val="auto"/>
              </w:rPr>
            </w:pPr>
            <w:r>
              <w:rPr>
                <w:rFonts w:ascii="Arial" w:cs="Arial" w:eastAsia="Arial" w:hAnsi="Arial"/>
                <w:sz w:val="14"/>
                <w:szCs w:val="14"/>
                <w:color w:val="auto"/>
              </w:rPr>
              <w:t>July 1,</w:t>
            </w:r>
          </w:p>
        </w:tc>
        <w:tc>
          <w:tcPr>
            <w:tcW w:w="100" w:type="dxa"/>
            <w:vAlign w:val="bottom"/>
          </w:tcPr>
          <w:p>
            <w:pPr>
              <w:spacing w:after="0"/>
              <w:rPr>
                <w:sz w:val="14"/>
                <w:szCs w:val="14"/>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December 31,</w:t>
            </w:r>
          </w:p>
        </w:tc>
      </w:tr>
      <w:tr>
        <w:trPr>
          <w:trHeight w:val="188"/>
        </w:trPr>
        <w:tc>
          <w:tcPr>
            <w:tcW w:w="8680" w:type="dxa"/>
            <w:vAlign w:val="bottom"/>
          </w:tcPr>
          <w:p>
            <w:pPr>
              <w:spacing w:after="0"/>
              <w:rPr>
                <w:sz w:val="16"/>
                <w:szCs w:val="16"/>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2022</w:t>
            </w:r>
          </w:p>
        </w:tc>
      </w:tr>
      <w:tr>
        <w:trPr>
          <w:trHeight w:val="24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GD</w:t>
            </w:r>
          </w:p>
        </w:tc>
        <w:tc>
          <w:tcPr>
            <w:tcW w:w="1240" w:type="dxa"/>
            <w:vAlign w:val="bottom"/>
          </w:tcPr>
          <w:p>
            <w:pPr>
              <w:jc w:val="right"/>
              <w:spacing w:after="0"/>
              <w:rPr>
                <w:sz w:val="20"/>
                <w:szCs w:val="20"/>
                <w:color w:val="auto"/>
              </w:rPr>
            </w:pPr>
            <w:r>
              <w:rPr>
                <w:rFonts w:ascii="Arial" w:cs="Arial" w:eastAsia="Arial" w:hAnsi="Arial"/>
                <w:sz w:val="18"/>
                <w:szCs w:val="18"/>
                <w:color w:val="auto"/>
              </w:rPr>
              <w:t>3.4 %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Northrop</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37"/>
        </w:trPr>
        <w:tc>
          <w:tcPr>
            <w:tcW w:w="8680" w:type="dxa"/>
            <w:vAlign w:val="bottom"/>
          </w:tcPr>
          <w:p>
            <w:pPr>
              <w:ind w:left="20"/>
              <w:spacing w:after="0"/>
              <w:rPr>
                <w:sz w:val="20"/>
                <w:szCs w:val="20"/>
                <w:color w:val="auto"/>
              </w:rPr>
            </w:pPr>
            <w:r>
              <w:rPr>
                <w:rFonts w:ascii="Arial" w:cs="Arial" w:eastAsia="Arial" w:hAnsi="Arial"/>
                <w:sz w:val="18"/>
                <w:szCs w:val="18"/>
                <w:color w:val="auto"/>
              </w:rPr>
              <w:t>Raytheon</w:t>
            </w:r>
          </w:p>
        </w:tc>
        <w:tc>
          <w:tcPr>
            <w:tcW w:w="1240" w:type="dxa"/>
            <w:vAlign w:val="bottom"/>
          </w:tcPr>
          <w:p>
            <w:pPr>
              <w:jc w:val="right"/>
              <w:spacing w:after="0"/>
              <w:rPr>
                <w:sz w:val="20"/>
                <w:szCs w:val="20"/>
                <w:color w:val="auto"/>
              </w:rPr>
            </w:pPr>
            <w:r>
              <w:rPr>
                <w:rFonts w:ascii="Arial" w:cs="Arial" w:eastAsia="Arial" w:hAnsi="Arial"/>
                <w:sz w:val="18"/>
                <w:szCs w:val="18"/>
                <w:color w:val="auto"/>
              </w:rPr>
              <w:t>11.8 %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16.3 %</w:t>
            </w:r>
          </w:p>
        </w:tc>
      </w:tr>
      <w:tr>
        <w:trPr>
          <w:trHeight w:val="23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Spirit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Viasat</w:t>
            </w:r>
          </w:p>
        </w:tc>
        <w:tc>
          <w:tcPr>
            <w:tcW w:w="1240" w:type="dxa"/>
            <w:vAlign w:val="bottom"/>
          </w:tcPr>
          <w:p>
            <w:pPr>
              <w:jc w:val="right"/>
              <w:spacing w:after="0"/>
              <w:rPr>
                <w:sz w:val="20"/>
                <w:szCs w:val="20"/>
                <w:color w:val="auto"/>
              </w:rPr>
            </w:pPr>
            <w:r>
              <w:rPr>
                <w:rFonts w:ascii="Arial" w:cs="Arial" w:eastAsia="Arial" w:hAnsi="Arial"/>
                <w:sz w:val="18"/>
                <w:szCs w:val="18"/>
                <w:color w:val="auto"/>
              </w:rPr>
              <w:t>7.8 %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10.3 %</w:t>
            </w:r>
          </w:p>
        </w:tc>
      </w:tr>
    </w:tbl>
    <w:p>
      <w:pPr>
        <w:spacing w:after="0" w:line="1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net revenues and accounts receivable from Boeing, GD, Northrop, Raytheon, Spirit, and Viasat are diversified over a number of commercial, military and space programs and were generated by both operating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increased year-over-year with the three months ended July 1, 2023 of 21.4%, compared to the three months ended July 2, 2022 of 19.9% primarily due to favorable product mix and favorable manufacturing volume.</w:t>
      </w:r>
    </w:p>
    <w:p>
      <w:pPr>
        <w:spacing w:after="0" w:line="6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Gross profit as a percentage of net revenues increased year-over-year with the six months ended July 1, 2023 of 20.9%, compared to the six months ended July 2, 2022 of 19.9% primarily due to favorable manufacturing volume, partially offset by unfavorable other manufacturing costs and unfavorable product mix.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0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SG&amp;A expenses increased $6.2 million year-over-year in the three months ended July 1, 2023 compared to the three months ended July 2, 2022 primarily due to higher compensation and benefits costs of $4.1 million, a portion of which was related to the BLR acquisition, and higher other general and administrative expenses of $1.9 million, a portion of which was related to the BLR acquisition.</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SG&amp;A expenses increased $9.0 million year-over-year in the six months ended July 1, 2023 compared to the six months ended July 2, 2022 primarily due to higher compensation and benefits costs of $4.7 million, a portion of which was related to the BLR acquisition, higher other general and administrative expenses of $2.4 million, a portion of which was related to the BLR acquisition, and higher professional services fees of $2.0 million, mainly due to the BLR acquisition.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0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Restructuring charges increased $2.1 million and $6.2 million year-over-year in the three and six months ended July 1, 2023, compared to the three and six months ended July 2, 2022, respectively, primarily due to the restructuring plan that was approved and commenced in April 2022 that is expected to better position us for stronger performance. See Note 3 for further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Interest expense increased $3.1 million and $4.9 million year-over-year in the three and six months ended July 1, 2023 compared to the three and six months ended July 2, 2022, respectively, primarily due to higher interest rates and a higher outstanding debt balance.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recorded income tax expense of $1.0 million for both three months ended July 1, 2023 and July 2, 2022. The increase in income tax expense for the second quarter of 2023 compared to the second quarter of 2022 was due to higher discrete income tax expense primarily related to changes in other deferred tax assets and lower net tax windfalls related to stock-based compensation recognized in the second quarter of 2023 compared to the second quarter of 2022. The increase in income tax expense was partially offset by lower pre-tax income for the second quarter of 2023 compared to the second quarter of 2022.</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recorded income tax expense of $1.8 million for the six months ended July 1, 2023 compared to $2.6 million for the six months ended July 2, 2022. The decrease in income tax expense for the six months ended July 1, 2023 compared to the six months ended July 2, 2022 was primarily due to lower pre-tax income in the six months ended July 1, 2023 compared to the six months ended July 2,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decrease in income tax expense was partially offset by higher income tax expense related to non-deductible book compensation expenses and higher discrete income tax expense primarily related to changes in other deferred tax assets recognized in the six months ended July 1, 2023 compared to the six months ended July 2, 2022.</w:t>
      </w:r>
    </w:p>
    <w:p>
      <w:pPr>
        <w:spacing w:after="0" w:line="4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total amount of unrecognized tax benefits was $5.5 million and $4.9 million as of July 1, 2023 and December 31, 2022, respectively. If recognized, $2.8 million would affect the effective tax rate. We record interest and penalty charges, if any, related to uncertain tax positions as a component of tax expense and unrecognized tax benefits. The amounts accrued for interest and penalty charges as of July 1, 2023 and December 31, 2022 were not significant. As a result of statute of limitations set to expire in the fourth quarter of 2023, we expect decreases to our unrecognized tax benefits of approximately $0.7 million in the next twelve months.</w:t>
      </w:r>
    </w:p>
    <w:p>
      <w:pPr>
        <w:spacing w:after="0" w:line="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2018 and by state taxing authorities for tax years after 2017.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Net income and earnings per share for the three months ended July 1, 2023 were $2.4 million, or $0.17 per diluted share, compared to $4.1 million, or</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$0.34 per diluted share, for the three months ended July 2, 2022. The decrease in net income for the three months ended July 1, 2023 compared to the three months ended July 2, 2022 was primarily due to higher SG&amp;A expenses of $6.2 million, higher interest expense of $3.1 million, and higher restructuring charges of $2.1 million, partially offset by higher gross profit of $5.5 million and higher other income of $4.1 million.</w:t>
      </w:r>
    </w:p>
    <w:p>
      <w:pPr>
        <w:spacing w:after="0" w:line="5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income and earnings per share for the six months ended July 1, 2023 were $7.6 million, or $0.58 per diluted share, compared to $12.2 million, or $0.99 per diluted share, for the six months ended July 2, 2022. The decrease in net income for the six months ended July 1, 2023 compared to the six months ended July 2, 2022 was primarily due to higher SG&amp;A expenses of $9.0 million, higher restructuring charges of $6.2 million, and higher interest expense of $4.9 million, partially offset by higher gross profit of $9.8 million and higher other income of $4.9 million.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Performance</w:t>
      </w:r>
    </w:p>
    <w:p>
      <w:pPr>
        <w:spacing w:after="0" w:line="108" w:lineRule="exact"/>
        <w:rPr>
          <w:sz w:val="20"/>
          <w:szCs w:val="20"/>
          <w:color w:val="auto"/>
        </w:rPr>
      </w:pPr>
    </w:p>
    <w:p>
      <w:pPr>
        <w:ind w:right="620"/>
        <w:spacing w:after="0" w:line="301" w:lineRule="auto"/>
        <w:rPr>
          <w:sz w:val="20"/>
          <w:szCs w:val="20"/>
          <w:color w:val="auto"/>
        </w:rPr>
      </w:pPr>
      <w:r>
        <w:rPr>
          <w:rFonts w:ascii="Arial" w:cs="Arial" w:eastAsia="Arial" w:hAnsi="Arial"/>
          <w:sz w:val="16"/>
          <w:szCs w:val="16"/>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and six months ended July 1, 2023 and July 2,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color w:val="auto"/>
                <w:w w:val="99"/>
              </w:rPr>
              <w:t>Three Months Ended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color w:val="auto"/>
              </w:rPr>
              <w:t>Six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680" w:type="dxa"/>
            <w:vAlign w:val="bottom"/>
          </w:tcPr>
          <w:p>
            <w:pPr>
              <w:jc w:val="right"/>
              <w:ind w:right="241"/>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6"/>
          </w:tcPr>
          <w:p>
            <w:pPr>
              <w:ind w:left="220"/>
              <w:spacing w:after="0"/>
              <w:rPr>
                <w:sz w:val="20"/>
                <w:szCs w:val="20"/>
                <w:color w:val="auto"/>
              </w:rPr>
            </w:pPr>
            <w:r>
              <w:rPr>
                <w:rFonts w:ascii="Arial" w:cs="Arial" w:eastAsia="Arial" w:hAnsi="Arial"/>
                <w:sz w:val="11"/>
                <w:szCs w:val="11"/>
                <w:color w:val="auto"/>
              </w:rPr>
              <w:t>(Dollars in thousands)</w:t>
            </w:r>
          </w:p>
        </w:tc>
        <w:tc>
          <w:tcPr>
            <w:tcW w:w="1640" w:type="dxa"/>
            <w:vAlign w:val="bottom"/>
            <w:gridSpan w:val="3"/>
          </w:tcPr>
          <w:p>
            <w:pPr>
              <w:jc w:val="right"/>
              <w:ind w:right="442"/>
              <w:spacing w:after="0"/>
              <w:rPr>
                <w:sz w:val="20"/>
                <w:szCs w:val="20"/>
                <w:color w:val="auto"/>
              </w:rPr>
            </w:pPr>
            <w:r>
              <w:rPr>
                <w:rFonts w:ascii="Arial" w:cs="Arial" w:eastAsia="Arial" w:hAnsi="Arial"/>
                <w:sz w:val="11"/>
                <w:szCs w:val="11"/>
                <w:color w:val="auto"/>
              </w:rPr>
              <w:t>% of Net Revenues</w:t>
            </w:r>
          </w:p>
        </w:tc>
        <w:tc>
          <w:tcPr>
            <w:tcW w:w="760" w:type="dxa"/>
            <w:vAlign w:val="bottom"/>
            <w:gridSpan w:val="2"/>
          </w:tcPr>
          <w:p>
            <w:pPr>
              <w:jc w:val="right"/>
              <w:ind w:right="2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6"/>
          </w:tcPr>
          <w:p>
            <w:pPr>
              <w:ind w:left="200"/>
              <w:spacing w:after="0"/>
              <w:rPr>
                <w:sz w:val="20"/>
                <w:szCs w:val="20"/>
                <w:color w:val="auto"/>
              </w:rPr>
            </w:pPr>
            <w:r>
              <w:rPr>
                <w:rFonts w:ascii="Arial" w:cs="Arial" w:eastAsia="Arial" w:hAnsi="Arial"/>
                <w:sz w:val="11"/>
                <w:szCs w:val="11"/>
                <w:color w:val="auto"/>
              </w:rPr>
              <w:t>(Dollars in thousands)</w:t>
            </w:r>
          </w:p>
        </w:tc>
        <w:tc>
          <w:tcPr>
            <w:tcW w:w="1660" w:type="dxa"/>
            <w:vAlign w:val="bottom"/>
            <w:gridSpan w:val="3"/>
          </w:tcPr>
          <w:p>
            <w:pPr>
              <w:jc w:val="right"/>
              <w:ind w:right="422"/>
              <w:spacing w:after="0"/>
              <w:rPr>
                <w:sz w:val="20"/>
                <w:szCs w:val="20"/>
                <w:color w:val="auto"/>
              </w:rPr>
            </w:pPr>
            <w:r>
              <w:rPr>
                <w:rFonts w:ascii="Arial" w:cs="Arial" w:eastAsia="Arial" w:hAnsi="Arial"/>
                <w:sz w:val="11"/>
                <w:szCs w:val="11"/>
                <w:color w:val="auto"/>
              </w:rPr>
              <w:t>% of Net Revenues</w:t>
            </w: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1"/>
                <w:szCs w:val="11"/>
                <w:color w:val="auto"/>
              </w:rPr>
              <w:t>Change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98"/>
              <w:spacing w:after="0"/>
              <w:rPr>
                <w:sz w:val="20"/>
                <w:szCs w:val="20"/>
                <w:color w:val="auto"/>
              </w:rPr>
            </w:pPr>
            <w:r>
              <w:rPr>
                <w:rFonts w:ascii="Arial" w:cs="Arial" w:eastAsia="Arial" w:hAnsi="Arial"/>
                <w:sz w:val="11"/>
                <w:szCs w:val="11"/>
                <w:color w:val="auto"/>
              </w:rPr>
              <w:t>July 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color w:val="auto"/>
              </w:rPr>
              <w:t>July 2,</w:t>
            </w:r>
          </w:p>
        </w:tc>
        <w:tc>
          <w:tcPr>
            <w:tcW w:w="680" w:type="dxa"/>
            <w:vAlign w:val="bottom"/>
          </w:tcPr>
          <w:p>
            <w:pPr>
              <w:jc w:val="right"/>
              <w:ind w:right="239"/>
              <w:spacing w:after="0"/>
              <w:rPr>
                <w:sz w:val="20"/>
                <w:szCs w:val="20"/>
                <w:color w:val="auto"/>
              </w:rPr>
            </w:pPr>
            <w:r>
              <w:rPr>
                <w:rFonts w:ascii="Arial" w:cs="Arial" w:eastAsia="Arial" w:hAnsi="Arial"/>
                <w:sz w:val="11"/>
                <w:szCs w:val="11"/>
                <w:color w:val="auto"/>
              </w:rPr>
              <w:t>July 1,</w:t>
            </w:r>
          </w:p>
        </w:tc>
        <w:tc>
          <w:tcPr>
            <w:tcW w:w="100" w:type="dxa"/>
            <w:vAlign w:val="bottom"/>
          </w:tcPr>
          <w:p>
            <w:pPr>
              <w:spacing w:after="0"/>
              <w:rPr>
                <w:sz w:val="11"/>
                <w:szCs w:val="11"/>
                <w:color w:val="auto"/>
              </w:rPr>
            </w:pPr>
          </w:p>
        </w:tc>
        <w:tc>
          <w:tcPr>
            <w:tcW w:w="860" w:type="dxa"/>
            <w:vAlign w:val="bottom"/>
          </w:tcPr>
          <w:p>
            <w:pPr>
              <w:jc w:val="right"/>
              <w:ind w:right="242"/>
              <w:spacing w:after="0"/>
              <w:rPr>
                <w:sz w:val="20"/>
                <w:szCs w:val="20"/>
                <w:color w:val="auto"/>
              </w:rPr>
            </w:pPr>
            <w:r>
              <w:rPr>
                <w:rFonts w:ascii="Arial" w:cs="Arial" w:eastAsia="Arial" w:hAnsi="Arial"/>
                <w:sz w:val="11"/>
                <w:szCs w:val="11"/>
                <w:color w:val="auto"/>
              </w:rPr>
              <w:t>July 2,</w:t>
            </w:r>
          </w:p>
        </w:tc>
        <w:tc>
          <w:tcPr>
            <w:tcW w:w="80" w:type="dxa"/>
            <w:vAlign w:val="bottom"/>
          </w:tcPr>
          <w:p>
            <w:pPr>
              <w:spacing w:after="0"/>
              <w:rPr>
                <w:sz w:val="11"/>
                <w:szCs w:val="11"/>
                <w:color w:val="auto"/>
              </w:rPr>
            </w:pPr>
          </w:p>
        </w:tc>
        <w:tc>
          <w:tcPr>
            <w:tcW w:w="680" w:type="dxa"/>
            <w:vAlign w:val="bottom"/>
            <w:vMerge w:val="restart"/>
          </w:tcPr>
          <w:p>
            <w:pPr>
              <w:jc w:val="right"/>
              <w:ind w:right="106"/>
              <w:spacing w:after="0"/>
              <w:rPr>
                <w:sz w:val="20"/>
                <w:szCs w:val="20"/>
                <w:color w:val="auto"/>
              </w:rPr>
            </w:pPr>
            <w:r>
              <w:rPr>
                <w:rFonts w:ascii="Arial" w:cs="Arial" w:eastAsia="Arial" w:hAnsi="Arial"/>
                <w:sz w:val="11"/>
                <w:szCs w:val="11"/>
                <w:color w:val="auto"/>
              </w:rPr>
              <w:t>Change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98"/>
              <w:spacing w:after="0"/>
              <w:rPr>
                <w:sz w:val="20"/>
                <w:szCs w:val="20"/>
                <w:color w:val="auto"/>
              </w:rPr>
            </w:pPr>
            <w:r>
              <w:rPr>
                <w:rFonts w:ascii="Arial" w:cs="Arial" w:eastAsia="Arial" w:hAnsi="Arial"/>
                <w:sz w:val="11"/>
                <w:szCs w:val="11"/>
                <w:color w:val="auto"/>
              </w:rPr>
              <w:t>July 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ind w:left="160"/>
              <w:spacing w:after="0"/>
              <w:rPr>
                <w:sz w:val="20"/>
                <w:szCs w:val="20"/>
                <w:color w:val="auto"/>
              </w:rPr>
            </w:pPr>
            <w:r>
              <w:rPr>
                <w:rFonts w:ascii="Arial" w:cs="Arial" w:eastAsia="Arial" w:hAnsi="Arial"/>
                <w:sz w:val="11"/>
                <w:szCs w:val="11"/>
                <w:color w:val="auto"/>
              </w:rPr>
              <w:t>July 2,</w:t>
            </w:r>
          </w:p>
        </w:tc>
        <w:tc>
          <w:tcPr>
            <w:tcW w:w="700" w:type="dxa"/>
            <w:vAlign w:val="bottom"/>
          </w:tcPr>
          <w:p>
            <w:pPr>
              <w:jc w:val="right"/>
              <w:ind w:right="219"/>
              <w:spacing w:after="0"/>
              <w:rPr>
                <w:sz w:val="20"/>
                <w:szCs w:val="20"/>
                <w:color w:val="auto"/>
              </w:rPr>
            </w:pPr>
            <w:r>
              <w:rPr>
                <w:rFonts w:ascii="Arial" w:cs="Arial" w:eastAsia="Arial" w:hAnsi="Arial"/>
                <w:sz w:val="11"/>
                <w:szCs w:val="11"/>
                <w:color w:val="auto"/>
              </w:rPr>
              <w:t>July 1,</w:t>
            </w:r>
          </w:p>
        </w:tc>
        <w:tc>
          <w:tcPr>
            <w:tcW w:w="100" w:type="dxa"/>
            <w:vAlign w:val="bottom"/>
          </w:tcPr>
          <w:p>
            <w:pPr>
              <w:spacing w:after="0"/>
              <w:rPr>
                <w:sz w:val="11"/>
                <w:szCs w:val="11"/>
                <w:color w:val="auto"/>
              </w:rPr>
            </w:pPr>
          </w:p>
        </w:tc>
        <w:tc>
          <w:tcPr>
            <w:tcW w:w="860" w:type="dxa"/>
            <w:vAlign w:val="bottom"/>
          </w:tcPr>
          <w:p>
            <w:pPr>
              <w:jc w:val="right"/>
              <w:ind w:right="222"/>
              <w:spacing w:after="0"/>
              <w:rPr>
                <w:sz w:val="20"/>
                <w:szCs w:val="20"/>
                <w:color w:val="auto"/>
              </w:rPr>
            </w:pPr>
            <w:r>
              <w:rPr>
                <w:rFonts w:ascii="Arial" w:cs="Arial" w:eastAsia="Arial" w:hAnsi="Arial"/>
                <w:sz w:val="11"/>
                <w:szCs w:val="11"/>
                <w:color w:val="auto"/>
              </w:rPr>
              <w:t>July 2,</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38"/>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38"/>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259"/>
              <w:spacing w:after="0"/>
              <w:rPr>
                <w:sz w:val="20"/>
                <w:szCs w:val="20"/>
                <w:color w:val="auto"/>
              </w:rPr>
            </w:pPr>
            <w:r>
              <w:rPr>
                <w:rFonts w:ascii="Arial" w:cs="Arial" w:eastAsia="Arial" w:hAnsi="Arial"/>
                <w:sz w:val="11"/>
                <w:szCs w:val="11"/>
                <w:color w:val="auto"/>
              </w:rPr>
              <w:t>2023</w:t>
            </w:r>
          </w:p>
        </w:tc>
        <w:tc>
          <w:tcPr>
            <w:tcW w:w="960" w:type="dxa"/>
            <w:vAlign w:val="bottom"/>
            <w:gridSpan w:val="2"/>
          </w:tcPr>
          <w:p>
            <w:pPr>
              <w:jc w:val="right"/>
              <w:ind w:right="282"/>
              <w:spacing w:after="0"/>
              <w:rPr>
                <w:sz w:val="20"/>
                <w:szCs w:val="20"/>
                <w:color w:val="auto"/>
              </w:rPr>
            </w:pPr>
            <w:r>
              <w:rPr>
                <w:rFonts w:ascii="Arial" w:cs="Arial" w:eastAsia="Arial" w:hAnsi="Arial"/>
                <w:sz w:val="11"/>
                <w:szCs w:val="11"/>
                <w:color w:val="auto"/>
              </w:rPr>
              <w:t>2022</w:t>
            </w: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38"/>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38"/>
              <w:spacing w:after="0"/>
              <w:rPr>
                <w:sz w:val="20"/>
                <w:szCs w:val="20"/>
                <w:color w:val="auto"/>
              </w:rPr>
            </w:pPr>
            <w:r>
              <w:rPr>
                <w:rFonts w:ascii="Arial" w:cs="Arial" w:eastAsia="Arial" w:hAnsi="Arial"/>
                <w:sz w:val="11"/>
                <w:szCs w:val="11"/>
                <w:color w:val="auto"/>
              </w:rPr>
              <w:t>2022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259"/>
              <w:spacing w:after="0"/>
              <w:rPr>
                <w:sz w:val="20"/>
                <w:szCs w:val="20"/>
                <w:color w:val="auto"/>
              </w:rPr>
            </w:pPr>
            <w:r>
              <w:rPr>
                <w:rFonts w:ascii="Arial" w:cs="Arial" w:eastAsia="Arial" w:hAnsi="Arial"/>
                <w:sz w:val="11"/>
                <w:szCs w:val="11"/>
                <w:color w:val="auto"/>
              </w:rPr>
              <w:t>2023</w:t>
            </w:r>
          </w:p>
        </w:tc>
        <w:tc>
          <w:tcPr>
            <w:tcW w:w="960" w:type="dxa"/>
            <w:vAlign w:val="bottom"/>
            <w:gridSpan w:val="2"/>
          </w:tcPr>
          <w:p>
            <w:pPr>
              <w:jc w:val="right"/>
              <w:ind w:right="262"/>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2"/>
        </w:trPr>
        <w:tc>
          <w:tcPr>
            <w:tcW w:w="2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Net Revenues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680" w:type="dxa"/>
            <w:vAlign w:val="bottom"/>
          </w:tcPr>
          <w:p>
            <w:pPr>
              <w:jc w:val="right"/>
              <w:spacing w:after="0"/>
              <w:rPr>
                <w:sz w:val="20"/>
                <w:szCs w:val="20"/>
                <w:color w:val="auto"/>
              </w:rPr>
            </w:pPr>
            <w:r>
              <w:rPr>
                <w:rFonts w:ascii="Arial" w:cs="Arial" w:eastAsia="Arial" w:hAnsi="Arial"/>
                <w:sz w:val="13"/>
                <w:szCs w:val="13"/>
                <w:color w:val="auto"/>
              </w:rPr>
              <w:t>(2.4)%</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107,124</w:t>
            </w:r>
          </w:p>
        </w:tc>
        <w:tc>
          <w:tcPr>
            <w:tcW w:w="280" w:type="dxa"/>
            <w:vAlign w:val="bottom"/>
            <w:gridSpan w:val="2"/>
          </w:tcPr>
          <w:p>
            <w:pPr>
              <w:jc w:val="right"/>
              <w:ind w:right="42"/>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109,732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57.2 %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63.0 %</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2.7 %</w:t>
            </w: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212,750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207,198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57.7 %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61.4 %</w:t>
            </w: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24.4 %</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80,196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64,466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42.8 %</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37.0 %</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19.4 %</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155,761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130,481</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42.3 %</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38.6 %</w:t>
            </w:r>
          </w:p>
        </w:tc>
        <w:tc>
          <w:tcPr>
            <w:tcW w:w="0" w:type="dxa"/>
            <w:vAlign w:val="bottom"/>
          </w:tcPr>
          <w:p>
            <w:pPr>
              <w:spacing w:after="0"/>
              <w:rPr>
                <w:sz w:val="1"/>
                <w:szCs w:val="1"/>
                <w:color w:val="auto"/>
              </w:rPr>
            </w:pPr>
          </w:p>
        </w:tc>
      </w:tr>
      <w:tr>
        <w:trPr>
          <w:trHeight w:val="176"/>
        </w:trPr>
        <w:tc>
          <w:tcPr>
            <w:tcW w:w="2320" w:type="dxa"/>
            <w:vAlign w:val="bottom"/>
          </w:tcPr>
          <w:p>
            <w:pPr>
              <w:ind w:left="680"/>
              <w:spacing w:after="0"/>
              <w:rPr>
                <w:sz w:val="20"/>
                <w:szCs w:val="20"/>
                <w:color w:val="auto"/>
              </w:rPr>
            </w:pPr>
            <w:r>
              <w:rPr>
                <w:rFonts w:ascii="Arial" w:cs="Arial" w:eastAsia="Arial" w:hAnsi="Arial"/>
                <w:sz w:val="13"/>
                <w:szCs w:val="13"/>
                <w:color w:val="auto"/>
              </w:rPr>
              <w:t>Total Net Revenues</w:t>
            </w:r>
          </w:p>
        </w:tc>
        <w:tc>
          <w:tcPr>
            <w:tcW w:w="680" w:type="dxa"/>
            <w:vAlign w:val="bottom"/>
          </w:tcPr>
          <w:p>
            <w:pPr>
              <w:jc w:val="right"/>
              <w:spacing w:after="0"/>
              <w:rPr>
                <w:sz w:val="20"/>
                <w:szCs w:val="20"/>
                <w:color w:val="auto"/>
              </w:rPr>
            </w:pPr>
            <w:r>
              <w:rPr>
                <w:rFonts w:ascii="Arial" w:cs="Arial" w:eastAsia="Arial" w:hAnsi="Arial"/>
                <w:sz w:val="13"/>
                <w:szCs w:val="13"/>
                <w:color w:val="auto"/>
              </w:rPr>
              <w:t>7.5 %</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187,320</w:t>
            </w:r>
          </w:p>
        </w:tc>
        <w:tc>
          <w:tcPr>
            <w:tcW w:w="280" w:type="dxa"/>
            <w:vAlign w:val="bottom"/>
            <w:gridSpan w:val="2"/>
          </w:tcPr>
          <w:p>
            <w:pPr>
              <w:jc w:val="right"/>
              <w:ind w:right="42"/>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174,198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9.1 %</w:t>
            </w: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368,511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337,679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100.0 %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32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Segment Operating Income</w:t>
            </w: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680" w:type="dxa"/>
            <w:vAlign w:val="bottom"/>
          </w:tcPr>
          <w:p>
            <w:pPr>
              <w:spacing w:after="0"/>
              <w:rPr>
                <w:sz w:val="14"/>
                <w:szCs w:val="14"/>
                <w:color w:val="auto"/>
              </w:rPr>
            </w:pP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9,528</w:t>
            </w:r>
          </w:p>
        </w:tc>
        <w:tc>
          <w:tcPr>
            <w:tcW w:w="280" w:type="dxa"/>
            <w:vAlign w:val="bottom"/>
            <w:gridSpan w:val="2"/>
          </w:tcPr>
          <w:p>
            <w:pPr>
              <w:jc w:val="right"/>
              <w:ind w:right="42"/>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13,610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12.4 %</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19,539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9.2 %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11.1 %</w:t>
            </w:r>
          </w:p>
        </w:tc>
        <w:tc>
          <w:tcPr>
            <w:tcW w:w="0" w:type="dxa"/>
            <w:vAlign w:val="bottom"/>
          </w:tcPr>
          <w:p>
            <w:pPr>
              <w:spacing w:after="0"/>
              <w:rPr>
                <w:sz w:val="1"/>
                <w:szCs w:val="1"/>
                <w:color w:val="auto"/>
              </w:rPr>
            </w:pPr>
          </w:p>
        </w:tc>
      </w:tr>
      <w:tr>
        <w:trPr>
          <w:trHeight w:val="182"/>
        </w:trPr>
        <w:tc>
          <w:tcPr>
            <w:tcW w:w="2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6.7 %</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10,130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6.5 %</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14,875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29,669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29,173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32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Corporate General and</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(9,908)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(7,121)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(18,292)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(12,296)</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360"/>
              <w:spacing w:after="0" w:line="175" w:lineRule="exact"/>
              <w:rPr>
                <w:sz w:val="20"/>
                <w:szCs w:val="20"/>
                <w:color w:val="auto"/>
              </w:rPr>
            </w:pPr>
            <w:r>
              <w:rPr>
                <w:rFonts w:ascii="Arial" w:cs="Arial" w:eastAsia="Arial" w:hAnsi="Arial"/>
                <w:sz w:val="13"/>
                <w:szCs w:val="13"/>
                <w:color w:val="auto"/>
              </w:rPr>
              <w:t xml:space="preserve">Administrative Expenses </w:t>
            </w:r>
            <w:r>
              <w:rPr>
                <w:rFonts w:ascii="Arial" w:cs="Arial" w:eastAsia="Arial" w:hAnsi="Arial"/>
                <w:sz w:val="16"/>
                <w:szCs w:val="16"/>
                <w:color w:val="auto"/>
                <w:vertAlign w:val="superscript"/>
              </w:rPr>
              <w:t>(1)</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680"/>
              <w:spacing w:after="0" w:line="141" w:lineRule="exact"/>
              <w:rPr>
                <w:sz w:val="20"/>
                <w:szCs w:val="20"/>
                <w:color w:val="auto"/>
              </w:rPr>
            </w:pPr>
            <w:r>
              <w:rPr>
                <w:rFonts w:ascii="Arial" w:cs="Arial" w:eastAsia="Arial" w:hAnsi="Arial"/>
                <w:sz w:val="13"/>
                <w:szCs w:val="13"/>
                <w:color w:val="auto"/>
              </w:rPr>
              <w:t>Total Operating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4.5 %</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11,377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16,877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5.0 %</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32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Adjusted EBITDA</w:t>
            </w: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Operating Income</w:t>
            </w:r>
          </w:p>
        </w:tc>
        <w:tc>
          <w:tcPr>
            <w:tcW w:w="6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9,528</w:t>
            </w: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680"/>
              <w:spacing w:after="0"/>
              <w:rPr>
                <w:sz w:val="20"/>
                <w:szCs w:val="20"/>
                <w:color w:val="auto"/>
              </w:rPr>
            </w:pPr>
            <w:r>
              <w:rPr>
                <w:rFonts w:ascii="Arial" w:cs="Arial" w:eastAsia="Arial" w:hAnsi="Arial"/>
                <w:sz w:val="13"/>
                <w:szCs w:val="13"/>
                <w:color w:val="auto"/>
              </w:rPr>
              <w:t>Other Income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320" w:type="dxa"/>
            <w:vAlign w:val="bottom"/>
            <w:shd w:val="clear" w:color="auto" w:fill="CCEEFF"/>
          </w:tcPr>
          <w:p>
            <w:pPr>
              <w:ind w:left="680"/>
              <w:spacing w:after="0" w:line="122" w:lineRule="exact"/>
              <w:rPr>
                <w:sz w:val="20"/>
                <w:szCs w:val="20"/>
                <w:color w:val="auto"/>
              </w:rPr>
            </w:pPr>
            <w:r>
              <w:rPr>
                <w:rFonts w:ascii="Arial" w:cs="Arial" w:eastAsia="Arial" w:hAnsi="Arial"/>
                <w:sz w:val="13"/>
                <w:szCs w:val="13"/>
                <w:color w:val="auto"/>
              </w:rPr>
              <w:t>Depreciation and</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3,561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3,484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7,059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6,990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Amortization</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680"/>
              <w:spacing w:after="0"/>
              <w:rPr>
                <w:sz w:val="20"/>
                <w:szCs w:val="20"/>
                <w:color w:val="auto"/>
              </w:rPr>
            </w:pPr>
            <w:r>
              <w:rPr>
                <w:rFonts w:ascii="Arial" w:cs="Arial" w:eastAsia="Arial" w:hAnsi="Arial"/>
                <w:sz w:val="13"/>
                <w:szCs w:val="13"/>
                <w:color w:val="auto"/>
              </w:rPr>
              <w:t>Restructuring Charges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2,071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3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15,382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18,378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16.7 %</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31,295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15.1 %</w:t>
            </w:r>
          </w:p>
        </w:tc>
        <w:tc>
          <w:tcPr>
            <w:tcW w:w="0" w:type="dxa"/>
            <w:vAlign w:val="bottom"/>
          </w:tcPr>
          <w:p>
            <w:pPr>
              <w:spacing w:after="0"/>
              <w:rPr>
                <w:sz w:val="1"/>
                <w:szCs w:val="1"/>
                <w:color w:val="auto"/>
              </w:rPr>
            </w:pPr>
          </w:p>
        </w:tc>
      </w:tr>
      <w:tr>
        <w:trPr>
          <w:trHeight w:val="168"/>
        </w:trPr>
        <w:tc>
          <w:tcPr>
            <w:tcW w:w="2320" w:type="dxa"/>
            <w:vAlign w:val="bottom"/>
          </w:tcPr>
          <w:p>
            <w:pPr>
              <w:ind w:left="360"/>
              <w:spacing w:after="0"/>
              <w:rPr>
                <w:sz w:val="20"/>
                <w:szCs w:val="20"/>
                <w:color w:val="auto"/>
              </w:rPr>
            </w:pPr>
            <w:r>
              <w:rPr>
                <w:rFonts w:ascii="Arial" w:cs="Arial" w:eastAsia="Arial" w:hAnsi="Arial"/>
                <w:sz w:val="13"/>
                <w:szCs w:val="13"/>
                <w:color w:val="auto"/>
              </w:rPr>
              <w:t>Structural Systems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Operating Income</w:t>
            </w: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5,385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10,130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6,152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680"/>
              <w:spacing w:after="0" w:line="122" w:lineRule="exact"/>
              <w:rPr>
                <w:sz w:val="20"/>
                <w:szCs w:val="20"/>
                <w:color w:val="auto"/>
              </w:rPr>
            </w:pPr>
            <w:r>
              <w:rPr>
                <w:rFonts w:ascii="Arial" w:cs="Arial" w:eastAsia="Arial" w:hAnsi="Arial"/>
                <w:sz w:val="13"/>
                <w:szCs w:val="13"/>
                <w:color w:val="auto"/>
              </w:rPr>
              <w:t>Depreciation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4,335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4,356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8,767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8,559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680"/>
              <w:spacing w:after="0"/>
              <w:rPr>
                <w:sz w:val="20"/>
                <w:szCs w:val="20"/>
                <w:color w:val="auto"/>
              </w:rPr>
            </w:pPr>
            <w:r>
              <w:rPr>
                <w:rFonts w:ascii="Arial" w:cs="Arial" w:eastAsia="Arial" w:hAnsi="Arial"/>
                <w:sz w:val="13"/>
                <w:szCs w:val="13"/>
                <w:color w:val="auto"/>
              </w:rPr>
              <w:t>Amortization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Restructuring Charges</w:t>
            </w: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4,908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20" w:type="dxa"/>
            <w:vAlign w:val="bottom"/>
          </w:tcPr>
          <w:p>
            <w:pPr>
              <w:ind w:left="680"/>
              <w:spacing w:after="0" w:line="122" w:lineRule="exact"/>
              <w:rPr>
                <w:sz w:val="20"/>
                <w:szCs w:val="20"/>
                <w:color w:val="auto"/>
              </w:rPr>
            </w:pPr>
            <w:r>
              <w:rPr>
                <w:rFonts w:ascii="Arial" w:cs="Arial" w:eastAsia="Arial" w:hAnsi="Arial"/>
                <w:sz w:val="13"/>
                <w:szCs w:val="13"/>
                <w:color w:val="auto"/>
              </w:rPr>
              <w:t>Guaymas fire related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1,880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998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3,348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1,955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680"/>
              <w:spacing w:after="0"/>
              <w:rPr>
                <w:sz w:val="20"/>
                <w:szCs w:val="20"/>
                <w:color w:val="auto"/>
              </w:rPr>
            </w:pPr>
            <w:r>
              <w:rPr>
                <w:rFonts w:ascii="Arial" w:cs="Arial" w:eastAsia="Arial" w:hAnsi="Arial"/>
                <w:sz w:val="13"/>
                <w:szCs w:val="13"/>
                <w:color w:val="auto"/>
              </w:rPr>
              <w:t>expenses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Other fire related expenses</w:t>
            </w: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680"/>
              <w:spacing w:after="0" w:line="122" w:lineRule="exact"/>
              <w:rPr>
                <w:sz w:val="20"/>
                <w:szCs w:val="20"/>
                <w:color w:val="auto"/>
              </w:rPr>
            </w:pPr>
            <w:r>
              <w:rPr>
                <w:rFonts w:ascii="Arial" w:cs="Arial" w:eastAsia="Arial" w:hAnsi="Arial"/>
                <w:sz w:val="13"/>
                <w:szCs w:val="13"/>
                <w:color w:val="auto"/>
              </w:rPr>
              <w:t>Inventory Purchase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766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637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766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1,274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2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Accounting Adjustments</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14.3 %</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15.2 %</w:t>
            </w:r>
          </w:p>
        </w:tc>
        <w:tc>
          <w:tcPr>
            <w:tcW w:w="0" w:type="dxa"/>
            <w:vAlign w:val="bottom"/>
          </w:tcPr>
          <w:p>
            <w:pPr>
              <w:spacing w:after="0"/>
              <w:rPr>
                <w:sz w:val="1"/>
                <w:szCs w:val="1"/>
                <w:color w:val="auto"/>
              </w:rPr>
            </w:pPr>
          </w:p>
        </w:tc>
      </w:tr>
      <w:tr>
        <w:trPr>
          <w:trHeight w:val="121"/>
        </w:trPr>
        <w:tc>
          <w:tcPr>
            <w:tcW w:w="2320" w:type="dxa"/>
            <w:vAlign w:val="bottom"/>
          </w:tcPr>
          <w:p>
            <w:pPr>
              <w:ind w:left="360"/>
              <w:spacing w:after="0" w:line="122" w:lineRule="exact"/>
              <w:rPr>
                <w:sz w:val="20"/>
                <w:szCs w:val="20"/>
                <w:color w:val="auto"/>
              </w:rPr>
            </w:pPr>
            <w:r>
              <w:rPr>
                <w:rFonts w:ascii="Arial" w:cs="Arial" w:eastAsia="Arial" w:hAnsi="Arial"/>
                <w:sz w:val="13"/>
                <w:szCs w:val="13"/>
                <w:color w:val="auto"/>
              </w:rPr>
              <w:t>Corporate General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360"/>
              <w:spacing w:after="0"/>
              <w:rPr>
                <w:sz w:val="20"/>
                <w:szCs w:val="20"/>
                <w:color w:val="auto"/>
              </w:rPr>
            </w:pPr>
            <w:r>
              <w:rPr>
                <w:rFonts w:ascii="Arial" w:cs="Arial" w:eastAsia="Arial" w:hAnsi="Arial"/>
                <w:sz w:val="13"/>
                <w:szCs w:val="13"/>
                <w:color w:val="auto"/>
              </w:rPr>
              <w:t xml:space="preserve">Administrative Expenses </w:t>
            </w:r>
            <w:r>
              <w:rPr>
                <w:rFonts w:ascii="Arial" w:cs="Arial" w:eastAsia="Arial" w:hAnsi="Arial"/>
                <w:sz w:val="16"/>
                <w:szCs w:val="16"/>
                <w:color w:val="auto"/>
                <w:vertAlign w:val="superscript"/>
              </w:rPr>
              <w:t>(1)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Operating Loss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680"/>
              <w:spacing w:after="0" w:line="122" w:lineRule="exact"/>
              <w:rPr>
                <w:sz w:val="20"/>
                <w:szCs w:val="20"/>
                <w:color w:val="auto"/>
              </w:rPr>
            </w:pPr>
            <w:r>
              <w:rPr>
                <w:rFonts w:ascii="Arial" w:cs="Arial" w:eastAsia="Arial" w:hAnsi="Arial"/>
                <w:sz w:val="13"/>
                <w:szCs w:val="13"/>
                <w:color w:val="auto"/>
              </w:rPr>
              <w:t>Depreciation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680"/>
              <w:spacing w:after="0"/>
              <w:rPr>
                <w:sz w:val="20"/>
                <w:szCs w:val="20"/>
                <w:color w:val="auto"/>
              </w:rPr>
            </w:pPr>
            <w:r>
              <w:rPr>
                <w:rFonts w:ascii="Arial" w:cs="Arial" w:eastAsia="Arial" w:hAnsi="Arial"/>
                <w:sz w:val="13"/>
                <w:szCs w:val="13"/>
                <w:color w:val="auto"/>
              </w:rPr>
              <w:t>Amortization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320" w:type="dxa"/>
            <w:vAlign w:val="bottom"/>
            <w:shd w:val="clear" w:color="auto" w:fill="CCEEFF"/>
          </w:tcPr>
          <w:p>
            <w:pPr>
              <w:ind w:left="680"/>
              <w:spacing w:after="0" w:line="122" w:lineRule="exact"/>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5,036</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3,600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8,117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5,190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680"/>
              <w:spacing w:after="0" w:line="175" w:lineRule="exact"/>
              <w:rPr>
                <w:sz w:val="20"/>
                <w:szCs w:val="20"/>
                <w:color w:val="auto"/>
              </w:rPr>
            </w:pPr>
            <w:r>
              <w:rPr>
                <w:rFonts w:ascii="Arial" w:cs="Arial" w:eastAsia="Arial" w:hAnsi="Arial"/>
                <w:sz w:val="13"/>
                <w:szCs w:val="13"/>
                <w:color w:val="auto"/>
              </w:rPr>
              <w:t xml:space="preserve">Expense </w:t>
            </w:r>
            <w:r>
              <w:rPr>
                <w:rFonts w:ascii="Arial" w:cs="Arial" w:eastAsia="Arial" w:hAnsi="Arial"/>
                <w:sz w:val="16"/>
                <w:szCs w:val="16"/>
                <w:color w:val="auto"/>
                <w:vertAlign w:val="superscript"/>
              </w:rPr>
              <w:t>(2)</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680"/>
              <w:spacing w:after="0"/>
              <w:rPr>
                <w:sz w:val="20"/>
                <w:szCs w:val="20"/>
                <w:color w:val="auto"/>
              </w:rPr>
            </w:pPr>
            <w:r>
              <w:rPr>
                <w:rFonts w:ascii="Arial" w:cs="Arial" w:eastAsia="Arial" w:hAnsi="Arial"/>
                <w:sz w:val="13"/>
                <w:szCs w:val="13"/>
                <w:color w:val="auto"/>
              </w:rPr>
              <w:t>Restructuring Charges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(4,728)</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(3,463)</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(6,989)</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20" w:type="dxa"/>
            <w:vAlign w:val="bottom"/>
          </w:tcPr>
          <w:p>
            <w:pPr>
              <w:ind w:left="880"/>
              <w:spacing w:after="0"/>
              <w:rPr>
                <w:sz w:val="20"/>
                <w:szCs w:val="20"/>
                <w:color w:val="auto"/>
              </w:rPr>
            </w:pPr>
            <w:r>
              <w:rPr>
                <w:rFonts w:ascii="Arial" w:cs="Arial" w:eastAsia="Arial" w:hAnsi="Arial"/>
                <w:sz w:val="13"/>
                <w:szCs w:val="13"/>
                <w:color w:val="auto"/>
              </w:rPr>
              <w:t>Adjusted EBITDA</w:t>
            </w:r>
          </w:p>
        </w:tc>
        <w:tc>
          <w:tcPr>
            <w:tcW w:w="680" w:type="dxa"/>
            <w:vAlign w:val="bottom"/>
          </w:tcPr>
          <w:p>
            <w:pPr>
              <w:spacing w:after="0"/>
              <w:rPr>
                <w:sz w:val="14"/>
                <w:szCs w:val="14"/>
                <w:color w:val="auto"/>
              </w:rPr>
            </w:pP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26,109</w:t>
            </w:r>
          </w:p>
        </w:tc>
        <w:tc>
          <w:tcPr>
            <w:tcW w:w="280" w:type="dxa"/>
            <w:vAlign w:val="bottom"/>
            <w:gridSpan w:val="2"/>
          </w:tcPr>
          <w:p>
            <w:pPr>
              <w:jc w:val="right"/>
              <w:ind w:right="42"/>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24,118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13.8 %</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49,189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44,193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13.3 %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13.1 %</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Capital Expenditures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680" w:type="dxa"/>
            <w:vAlign w:val="bottom"/>
          </w:tcPr>
          <w:p>
            <w:pPr>
              <w:spacing w:after="0"/>
              <w:rPr>
                <w:sz w:val="14"/>
                <w:szCs w:val="14"/>
                <w:color w:val="auto"/>
              </w:rPr>
            </w:pP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1,923</w:t>
            </w:r>
          </w:p>
        </w:tc>
        <w:tc>
          <w:tcPr>
            <w:tcW w:w="280" w:type="dxa"/>
            <w:vAlign w:val="bottom"/>
            <w:gridSpan w:val="2"/>
          </w:tcPr>
          <w:p>
            <w:pPr>
              <w:jc w:val="right"/>
              <w:ind w:right="42"/>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3,774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4,111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7,241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5,858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360"/>
              <w:spacing w:after="0"/>
              <w:rPr>
                <w:sz w:val="20"/>
                <w:szCs w:val="20"/>
                <w:color w:val="auto"/>
              </w:rPr>
            </w:pPr>
            <w:r>
              <w:rPr>
                <w:rFonts w:ascii="Arial" w:cs="Arial" w:eastAsia="Arial" w:hAnsi="Arial"/>
                <w:sz w:val="13"/>
                <w:szCs w:val="13"/>
                <w:color w:val="auto"/>
              </w:rPr>
              <w:t>Corporate Administration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Capital Expenditures</w:t>
            </w:r>
          </w:p>
        </w:tc>
        <w:tc>
          <w:tcPr>
            <w:tcW w:w="6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6,034</w:t>
            </w: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hanging="329"/>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costs not allocated to either the Electronic Systems or Structural Systems operating segments.</w:t>
      </w:r>
    </w:p>
    <w:p>
      <w:pPr>
        <w:spacing w:after="0" w:line="63" w:lineRule="exact"/>
        <w:rPr>
          <w:rFonts w:ascii="Arial" w:cs="Arial" w:eastAsia="Arial" w:hAnsi="Arial"/>
          <w:sz w:val="18"/>
          <w:szCs w:val="18"/>
          <w:color w:val="auto"/>
        </w:rPr>
      </w:pPr>
    </w:p>
    <w:p>
      <w:pPr>
        <w:ind w:left="580" w:right="160" w:hanging="329"/>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three and six months ended July 1, 2023 included $0.8 million and $1.2 million, respectively, and both the three and six months ended July 2, 2022 included $0.5 million of stock-based compensation expense for awards with both performance and market conditions that will be settled in cash.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Electronic Systems</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Electronic Systems net revenues in the three months ended July 1, 2023 compared to the three months ended July 2, 2022 decreased $2.6 million primarily due to the following:</w:t>
      </w:r>
    </w:p>
    <w:p>
      <w:pPr>
        <w:spacing w:after="0" w:line="49" w:lineRule="exact"/>
        <w:rPr>
          <w:sz w:val="20"/>
          <w:szCs w:val="20"/>
          <w:color w:val="auto"/>
        </w:rPr>
      </w:pPr>
    </w:p>
    <w:p>
      <w:pPr>
        <w:ind w:left="660" w:right="4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$8.4 million lower revenues in our military and space end-use markets due to lower build rates on military fixed-wing aircraft platforms and various missile platforms; partially offset by</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$3.1 million higher revenues in our commercial aerospace end-use markets due to higher build rates on other commercial aerospace platforms.</w:t>
      </w:r>
    </w:p>
    <w:p>
      <w:pPr>
        <w:spacing w:after="0" w:line="1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Electronic Systems net revenues in the six months ended July 1, 2023 compared to the six months ended July 2, 2022 increased $5.6 million primarily due to the following:</w:t>
      </w:r>
    </w:p>
    <w:p>
      <w:pPr>
        <w:spacing w:after="0" w:line="49" w:lineRule="exact"/>
        <w:rPr>
          <w:sz w:val="20"/>
          <w:szCs w:val="20"/>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$8.1 million higher revenues in our commercial aerospace end-use markets due to higher build rates on other commercial aerospace platforms; partially offset by</w:t>
      </w:r>
    </w:p>
    <w:p>
      <w:pPr>
        <w:spacing w:after="0" w:line="48"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$6.9 million lower revenues in our military and space end-use markets due to lower build rates on military fixed-wing aircraft platforms and military rotary-wing aircraft platforms, partially offset by higher build rates on other military and space platforms.</w:t>
      </w:r>
    </w:p>
    <w:p>
      <w:pPr>
        <w:spacing w:after="0" w:line="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Electronic Systems segment operating income in the three months ended July 1, 2023 compared to the three months ended July 2, 2022 decreased $4.1 million primarily due to unfavorable product mix and unfavorable manufacturing volume.</w:t>
      </w:r>
    </w:p>
    <w:p>
      <w:pPr>
        <w:spacing w:after="0" w:line="4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Electronic Systems segment operating income in the six months ended July 1, 2023 compared to the six months ended July 2, 2022 decreased $3.5 million primarily due to unfavorable product mix and higher restructuring charges, partially offset by favorable manufacturing volume.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Structural Systems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Structural Systems net revenues in the three months ended July 1, 2023 compared to the three months ended July 2, 2022 increased $15.7 million primarily due to the following:</w:t>
      </w:r>
    </w:p>
    <w:p>
      <w:pPr>
        <w:spacing w:after="0" w:line="49" w:lineRule="exact"/>
        <w:rPr>
          <w:sz w:val="20"/>
          <w:szCs w:val="20"/>
          <w:color w:val="auto"/>
        </w:rPr>
      </w:pPr>
    </w:p>
    <w:p>
      <w:pPr>
        <w:ind w:left="660" w:right="6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$18.1 million higher revenues in our commercial aerospace end-use markets due to higher build rates on large aircraft platforms and other commercial aerospace platforms; partially offset by</w:t>
      </w:r>
    </w:p>
    <w:p>
      <w:pPr>
        <w:spacing w:after="0" w:line="48"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$2.4 million lower revenues in our military and space end-use markets due to lower build rates on various missile platforms and military fixed-wing aircraft platforms, partially offset by higher build rates on military rotary-wing platforms.</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Structural Systems net revenues in the six months ended July 1, 2023 compared to the six months ended July 2, 2022 increased $25.3 million primarily due to the following:</w:t>
      </w:r>
    </w:p>
    <w:p>
      <w:pPr>
        <w:spacing w:after="0" w:line="49" w:lineRule="exact"/>
        <w:rPr>
          <w:sz w:val="20"/>
          <w:szCs w:val="20"/>
          <w:color w:val="auto"/>
        </w:rPr>
      </w:pPr>
    </w:p>
    <w:p>
      <w:pPr>
        <w:ind w:left="660" w:right="6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$32.1 million higher revenues in our commercial aerospace end-use markets due to higher build rates on large aircraft platforms and other commercial aerospace platforms; partially offset by</w:t>
      </w:r>
    </w:p>
    <w:p>
      <w:pPr>
        <w:spacing w:after="0" w:line="48"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$6.8 million lower revenues in our military and space end-use markets due to lower build rates on various missile platforms, military fixed-wing aircraft platforms, and military rotary-wing aircraft platforms.</w:t>
      </w:r>
    </w:p>
    <w:p>
      <w:pPr>
        <w:spacing w:after="0" w:line="3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Structural Systems segment operating income in the three months ended July 1, 2023 compared to the three months ended July 2, 2022 increased $4.1 million primarily due to favorable product mix and favorable manufacturing volume, partially offset by unfavorable other manufacturing costs.</w:t>
      </w:r>
    </w:p>
    <w:p>
      <w:pPr>
        <w:spacing w:after="0" w:line="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Structural Systems segment operating income in the six months ended July 1, 2023 compared to the six months ended July 2, 2022 increased $4.0 million primarily due to favorable manufacturing volume and favorable product mix, partially offset by unfavorable other manufacturing costs and higher restructure charges.</w:t>
      </w:r>
    </w:p>
    <w:p>
      <w:pPr>
        <w:spacing w:after="0" w:line="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April 25, 2023, we acquired 100.0% of BLR Aerospace L.L.C. (“BLR”). The initial purchase price for BLR was $115.0 million, net of cash acquired, all payable in cash. We paid a gross aggregate of $117.0 million in cash upon the closing of the transaction. BLR’s results of operations have been included in our condensed consolidated statements of income since the date of acquisition and is a part of the Structural Systems segment. See Note 2 to our condensed consolidated financial statements included in Part I, Item 1 of this Form 10-Q for further information.</w:t>
      </w:r>
    </w:p>
    <w:p>
      <w:pPr>
        <w:spacing w:after="0" w:line="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June 2020, a fire severely damaged our performance center in Guaymas, Mexico. We have insurance coverage and up to a capped amount, expect these items will be covered, less our deductible. The full financial impact cannot be estimated at this time as we are currently working with our insurance carriers to determine the cause of the fire. The loss of production from the Guaymas performance center was being absorbed by our other existing performance centers, however, we have reestablished and are in the process of ramping up our manufacturing capabilities in a different leased facility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 If we are ultimately</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deemed to be responsible or partly responsible, it is possible we could incur a loss in excess of our insurance coverage limits, which could be material to our cash flow, liquidity, or financial results. See Note 9 and Note 11 to our condensed consolidated financial statements included in Part I, Item 1 of this Form 10-Q.</w:t>
      </w:r>
    </w:p>
    <w:p>
      <w:pPr>
        <w:spacing w:after="0" w:line="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April 29, 2023, a fire damaged a relatively small portion of one of our performance centers in our Structural Systems reporting segment.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did not result in significant disruption to customer delivery schedules. Production in this damaged portion has since resumed. See Note 11 to our condensed consolidated financial statements included in Part I, Item 1 of this Form 10-Q.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General and Administrative (“CG&amp;A”) Expenses</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CG&amp;A expenses increased $2.8 million for the three months ended July 1, 2023 compared to the three months ended July 2, 2022 primarily due to higher compensation and benefits costs of $2.7 million, a portion of which was related to the acquisition of BLR.</w:t>
      </w:r>
    </w:p>
    <w:p>
      <w:pPr>
        <w:spacing w:after="0" w:line="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CG&amp;A expenses increased $6.0 million for the six months ended July 1, 2023 compared to the six months ended July 2, 2022 primarily due to higher compensation and benefits costs of $4.4 million, a portion of which was related to the acquisition of BLR, and higher professional services fees of $1.3 million, mainly due to the BLR acquisition.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 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5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increase in backlog was primarily in the military and space end-use markets and commercial aerospace end-use markets. $677.0 million of total backlog is expected to be delivered over the next 12 months. The following table summarizes our backlog as of July 1, 2023 and December 31,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3"/>
              </w:rPr>
              <w:t>(Dollars in thousands)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253"/>
              <w:spacing w:after="0"/>
              <w:rPr>
                <w:sz w:val="20"/>
                <w:szCs w:val="20"/>
                <w:color w:val="auto"/>
              </w:rPr>
            </w:pPr>
            <w:r>
              <w:rPr>
                <w:rFonts w:ascii="Arial" w:cs="Arial" w:eastAsia="Arial" w:hAnsi="Arial"/>
                <w:sz w:val="14"/>
                <w:szCs w:val="14"/>
                <w:color w:val="auto"/>
                <w:w w:val="93"/>
              </w:rPr>
              <w:t>July 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color w:val="auto"/>
                <w:w w:val="89"/>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Consolidated Ducommun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37,013</w:t>
            </w:r>
          </w:p>
        </w:tc>
        <w:tc>
          <w:tcPr>
            <w:tcW w:w="420" w:type="dxa"/>
            <w:vAlign w:val="bottom"/>
            <w:tcBorders>
              <w:top w:val="single" w:sz="8" w:color="CCEEFF"/>
            </w:tcBorders>
            <w:gridSpan w:val="2"/>
          </w:tcPr>
          <w:p>
            <w:pPr>
              <w:jc w:val="right"/>
              <w:ind w:right="13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494,367</w:t>
            </w:r>
          </w:p>
        </w:tc>
        <w:tc>
          <w:tcPr>
            <w:tcW w:w="300" w:type="dxa"/>
            <w:vAlign w:val="bottom"/>
            <w:tcBorders>
              <w:top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457,354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6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49,352</w:t>
            </w:r>
          </w:p>
        </w:tc>
        <w:tc>
          <w:tcPr>
            <w:tcW w:w="4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1,010,172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Electronic Systems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Military and space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4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100,397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125,590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540,546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29,095</w:t>
            </w:r>
          </w:p>
        </w:tc>
        <w:tc>
          <w:tcPr>
            <w:tcW w:w="42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124,867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95,772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364,313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(Dollars in millions)</w:t>
            </w:r>
          </w:p>
        </w:tc>
        <w:tc>
          <w:tcPr>
            <w:tcW w:w="1360" w:type="dxa"/>
            <w:vAlign w:val="bottom"/>
          </w:tcPr>
          <w:p>
            <w:pPr>
              <w:spacing w:after="0"/>
              <w:rPr>
                <w:sz w:val="15"/>
                <w:szCs w:val="15"/>
                <w:color w:val="auto"/>
              </w:rPr>
            </w:pPr>
          </w:p>
        </w:tc>
      </w:tr>
      <w:tr>
        <w:trPr>
          <w:trHeight w:val="189"/>
        </w:trPr>
        <w:tc>
          <w:tcPr>
            <w:tcW w:w="7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July 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455"/>
              <w:spacing w:after="0"/>
              <w:rPr>
                <w:sz w:val="20"/>
                <w:szCs w:val="20"/>
                <w:color w:val="auto"/>
              </w:rPr>
            </w:pPr>
            <w:r>
              <w:rPr>
                <w:rFonts w:ascii="Arial" w:cs="Arial" w:eastAsia="Arial" w:hAnsi="Arial"/>
                <w:sz w:val="14"/>
                <w:szCs w:val="14"/>
                <w:color w:val="auto"/>
                <w:w w:val="90"/>
              </w:rPr>
              <w:t>December 31,</w:t>
            </w:r>
          </w:p>
        </w:tc>
      </w:tr>
      <w:tr>
        <w:trPr>
          <w:trHeight w:val="203"/>
        </w:trPr>
        <w:tc>
          <w:tcPr>
            <w:tcW w:w="7340" w:type="dxa"/>
            <w:vAlign w:val="bottom"/>
          </w:tcPr>
          <w:p>
            <w:pPr>
              <w:spacing w:after="0"/>
              <w:rPr>
                <w:sz w:val="17"/>
                <w:szCs w:val="17"/>
                <w:color w:val="auto"/>
              </w:rPr>
            </w:pPr>
          </w:p>
        </w:tc>
        <w:tc>
          <w:tcPr>
            <w:tcW w:w="1200" w:type="dxa"/>
            <w:vAlign w:val="bottom"/>
          </w:tcPr>
          <w:p>
            <w:pPr>
              <w:jc w:val="right"/>
              <w:ind w:right="37"/>
              <w:spacing w:after="0"/>
              <w:rPr>
                <w:sz w:val="20"/>
                <w:szCs w:val="20"/>
                <w:color w:val="auto"/>
              </w:rPr>
            </w:pPr>
            <w:r>
              <w:rPr>
                <w:rFonts w:ascii="Arial" w:cs="Arial" w:eastAsia="Arial" w:hAnsi="Arial"/>
                <w:sz w:val="14"/>
                <w:szCs w:val="14"/>
                <w:color w:val="auto"/>
              </w:rPr>
              <w:t>2023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715"/>
              <w:spacing w:after="0"/>
              <w:rPr>
                <w:sz w:val="20"/>
                <w:szCs w:val="20"/>
                <w:color w:val="auto"/>
              </w:rPr>
            </w:pPr>
            <w:r>
              <w:rPr>
                <w:rFonts w:ascii="Arial" w:cs="Arial" w:eastAsia="Arial" w:hAnsi="Arial"/>
                <w:sz w:val="14"/>
                <w:szCs w:val="14"/>
                <w:color w:val="auto"/>
              </w:rPr>
              <w:t>2022</w:t>
            </w:r>
          </w:p>
        </w:tc>
      </w:tr>
      <w:tr>
        <w:trPr>
          <w:trHeight w:val="26"/>
        </w:trPr>
        <w:tc>
          <w:tcPr>
            <w:tcW w:w="73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including long-term portion</w:t>
            </w:r>
          </w:p>
        </w:tc>
        <w:tc>
          <w:tcPr>
            <w:tcW w:w="1200" w:type="dxa"/>
            <w:vAlign w:val="bottom"/>
            <w:shd w:val="clear" w:color="auto" w:fill="CCEEFF"/>
          </w:tcPr>
          <w:p>
            <w:pPr>
              <w:jc w:val="right"/>
              <w:ind w:right="101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279.1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248.4</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Weighted-average interest rate on debt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4.36 %</w:t>
            </w:r>
          </w:p>
        </w:tc>
      </w:tr>
      <w:tr>
        <w:trPr>
          <w:trHeight w:val="24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interest rate</w:t>
            </w:r>
          </w:p>
        </w:tc>
        <w:tc>
          <w:tcPr>
            <w:tcW w:w="1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6.69 %</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4.24 %</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jc w:val="right"/>
              <w:ind w:right="101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22.8</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46.2</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Unused Revolving Credit Facility</w:t>
            </w:r>
          </w:p>
        </w:tc>
        <w:tc>
          <w:tcPr>
            <w:tcW w:w="1200" w:type="dxa"/>
            <w:vAlign w:val="bottom"/>
            <w:shd w:val="clear" w:color="auto" w:fill="CCEEFF"/>
          </w:tcPr>
          <w:p>
            <w:pPr>
              <w:jc w:val="right"/>
              <w:ind w:right="101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166.0</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199.8</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In July 2022, we completed a refinancing of all our existing debt by entering into a new term loan (“2022 Term Loan”) and a new revolving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(“2022 Revolving Credit Facility”). The 2022 Term Loan is a $250.0 million senior secured loan that matures on July 14, 2027. The 2022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is a $200.0 million senior secured revolving credit facility that matures on July 14, 2027. The 2022 Term Loan and 2022 Revolving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collectively are the new credit facilities (“2022 Credit Facilities”). In conjunction with the closing of the 2022 Credit Facilities, we utilized the entire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 million of proceeds from the 2022 Term Loan plus our existing cash on hand to pay off our entire debt balance outstanding of $254.2 million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prior credit facilities. At the same leverage ratio, the interest rate spread in the 2022 Credit Facilities is lower than the interest rate spread under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credit facilities. Interest payments are typically paid either on a monthly or quarterly basis, depending on the interest rate selected, on the last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each month or quarter. In addition, the 2022 Term Loan requires quarterly amortization payments of 0.625% during year one and year two, 1.250%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year three and year four, and 1.875% during year five of the original outstanding principal balance of the 2022 Term Loan amount, on the last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day each quarter. Further, the undrawn portion of the commitment of the 2022 Revolving Credit Facility is subject to a commitment fee ranging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0.175% to 0.275%, based upon the consolidated total net adjusted leverage ratio, typically paid on a quarterly basis, on the last business day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However, the 2022 Revolving Credit Facility does not require any principal installment payments. As of July 1, 2023, we were in compliance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covenants required under the 2022 Credit Facilities. See Note 7 to our condensed consolidated financial statements included in Part I, Item 1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10-Q for further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We made the mandatory quarterly amortization payments under our existing term loans during the three months ended July 1, 2023 and July 2, 2022 of</w:t>
      </w:r>
    </w:p>
    <w:p>
      <w:pPr>
        <w:spacing w:after="0" w:line="4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$1.6 million and $1.8 million, respectively. We made no voluntary prepayments on our term loans during both three months ended July 1, 2023 and July 2, 2022.</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2022, management approved and commenced a restructuring plan that will position us for stronger performance. The restructuring plan will mainly reduce headcount and consolidate facilities. As a result of this restructuring plan, we analyzed the need to write-down inventory and impair long-lived assets, including operating lease right-of-use assets. As of July 1, 2023, we estimate the remaining amount of charges related to this initiative to be</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$5.0 million to $8.0 million in total pre-tax restructuring charges through 2023. Of these charges, we estimate $4.0 million to $6.0 million to be cash payments for employee separation and other facility consolidation related expenses, and $1.0 million to $2.0 million to be non-cash charges for impairment of long-lived assets. On an annualized basis, we anticipate these restructuring actions will result in total cost savings of $11.0 million to $13.0 million. See Note 3 to our condensed consolidated financial statements included in Part I, Item 1 of this Form 10-Q for further information.</w:t>
      </w:r>
    </w:p>
    <w:p>
      <w:pPr>
        <w:spacing w:after="0" w:line="5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and Note 7 to our condensed consolidated financial statements included in Part I, Item 1 of this Form 10-Q for further information.</w:t>
      </w:r>
    </w:p>
    <w:p>
      <w:pPr>
        <w:spacing w:after="0" w:line="5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The Amended Forward Interest Rate Swaps weighted average fixed rate is 1.7%, as a result of the difference between U.S. dollar-one month LIBOR and one month Term SOFR. See Note 1 and Note 7 to our condensed consolidated financial statements included in Part I, Item 1 of this Form 10-Q for further information.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On April 25, 2023, we completed the acquisition of BLR. The initial purchase price for BLR was $115.0 million, net of cash</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acquired, all payable in cash. We paid a gross aggregate of $117.0 million in cash upon the closing of the transaction. We utilized the 2022 Revolving Credit Facility to complete the acquisition. See Note 2 to our condensed consolidated financial statements included in Part I, Item 1 of this Form 10-Q for further information.</w:t>
      </w:r>
    </w:p>
    <w:p>
      <w:pPr>
        <w:spacing w:after="0" w:line="4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May 18, 2023, we completed a public stock offering of our common stock resulting in net proceeds of $85.1 million. The stock offering net proceeds along with cash on hand were used to pay down $85.2 million on the 2022 Revolving Credit Facility that was drawn on and utilized to complete the acquisition of BLR. See Note 2, Note 7, and Note 8 to our condensed consolidated financial statements included in Part I, Item 1 of this Form 10-Q for further information.</w:t>
      </w:r>
    </w:p>
    <w:p>
      <w:pPr>
        <w:spacing w:after="0" w:line="6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expect to spend a total of $18.0 million to $20.0 million for capital expenditures in 2023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w:t>
      </w:r>
    </w:p>
    <w:p>
      <w:pPr>
        <w:spacing w:after="0" w:line="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monitor our asset base, including the market dynamics of the properties we own, and we may sell such properties and/or enter into sale-leaseback transactions. Such transactions would provide cash for various capital deployment options.</w:t>
      </w:r>
    </w:p>
    <w:p>
      <w:pPr>
        <w:spacing w:after="0" w:line="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continue to depend on operating cash flow and the availability of our 2022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for the six months ended July 1, 2023 was $9.7 million, compared to net cash provided by operating activities of $6.1 million for the six months ended July 2, 2022. The net cash used in operating activities during the first six months of 2023 was mainly due to higher inventories, lower contract liabilities, lower accounts payable, lower accrued and other liabilities, and lower net income, partially offset by lower accounts receivable.</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$125.3 million for the six months ended July 1, 2023, compared to $8.7 million in the six months ended July 2, 2022. The higher net cash used in investing activities during the first six months of 2023 compared to the prior year period was mainly due to payments for the acquisition of BLR and higher purchases of property and equipment.</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was $111.6 million for the six months ended July 1, 2023, compared to a net cash used in financing activities of $36.3 million for the six months ended July 2, 2022. The higher net cash provided by financing activities during the first six months of 2023 was mainly due to $85.1 million net proceeds from the issuance of common stock in a public offering and $33.8 million net borrowings under the revolving credit facility, partially offset by the voluntary $30.0 million pay down on term loans in the prior year six months ended July 2,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2022 Annual Report on Form 10-K. There have been no material changes in any of our critical accounting policies during the three months ended July 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main market risk exposure relates to changes in U.S. interest rates on our outstanding long-term debt. At July 1, 2023, we had total borrowings of $279.1 million under our 2022 Credit Facilities.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3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260" w:lineRule="auto"/>
        <w:rPr>
          <w:sz w:val="20"/>
          <w:szCs w:val="20"/>
          <w:color w:val="auto"/>
        </w:rPr>
      </w:pPr>
      <w:r>
        <w:rPr>
          <w:rFonts w:ascii="Arial" w:cs="Arial" w:eastAsia="Arial" w:hAnsi="Arial"/>
          <w:sz w:val="18"/>
          <w:szCs w:val="18"/>
          <w:color w:val="auto"/>
        </w:rPr>
        <w:t>1.00%, and if the Base Rate is less than zero percent, it will be deemed zero percent) plus an applicable margin ranging from 0.375% to 1.375% per year, in each case based upon the consolidated total net adjusted leverage ratio.</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A hypothetical 10% increase or decrease in the interest rate would have an immaterial impact on our financial condition and results of operations.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10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Company’s chief executive officer (“CEO”) and chief financial officer (“CFO”) have conducted an evaluation of the Company’s disclosure controls and procedures (as defined in Rules 13a-15(e) and 15d-15(e) of the Securities Exchange Act of 1934), and concluded that such disclosure controls and procedures were effective as of the end of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July 1, 2023 that have materially affected, or are reasonably likely to materially affect, our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See Note 11 to our condensed consolidated financial statements included in Part I, Item 1 of this Form 10-Q for a description of our legal proceedings.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See Part I, Item 1A of our Annual Report on Form 10-K (“Form 10-K”) for the year ended December 31, 2022 for a discussion of our risk factors. There have been no material changes during the three months ended July 1, 2023 to the risk factors disclosed in our Form 10-K for the year ended December 31, 2022.</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83" w:lineRule="exact"/>
        <w:rPr>
          <w:sz w:val="20"/>
          <w:szCs w:val="20"/>
          <w:color w:val="auto"/>
        </w:rPr>
      </w:pPr>
    </w:p>
    <w:p>
      <w:pPr>
        <w:ind w:left="340" w:right="20" w:hanging="323"/>
        <w:spacing w:after="0" w:line="277" w:lineRule="auto"/>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2.1 Agreement and Plan of Merger, dated as of September 11, 2017, among Ducommun LaBarge Technologies, Inc., LS Holdings Company LLC, and DLS</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Company LLC. Incorporated by reference to Exhibit 2.1 to Form 8-K filed on September 11, 2017.</w:t>
        </w:r>
      </w:hyperlink>
    </w:p>
    <w:p>
      <w:pPr>
        <w:spacing w:after="0" w:line="62" w:lineRule="exact"/>
        <w:rPr>
          <w:sz w:val="20"/>
          <w:szCs w:val="20"/>
          <w:color w:val="auto"/>
        </w:rPr>
      </w:pPr>
    </w:p>
    <w:p>
      <w:pPr>
        <w:ind w:left="340" w:right="40" w:hanging="323"/>
        <w:spacing w:after="0" w:line="277" w:lineRule="auto"/>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2.2 Agreement and Plan of Merger, dated as of October 8, 2019, among Ducommun LaBarge Technologies, Inc., DLT Acquisition, Inc., Nobles Parent Inc.,</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and the Stockholder Representative. Incorporated by reference to Exhibit 2.1 to Form 8-K filed on October 9, 2019.</w:t>
        </w:r>
      </w:hyperlink>
    </w:p>
    <w:p>
      <w:pPr>
        <w:spacing w:after="0" w:line="62" w:lineRule="exact"/>
        <w:rPr>
          <w:sz w:val="20"/>
          <w:szCs w:val="20"/>
          <w:color w:val="auto"/>
        </w:rPr>
      </w:pPr>
    </w:p>
    <w:p>
      <w:pPr>
        <w:ind w:left="340" w:right="20" w:hanging="323"/>
        <w:spacing w:after="0" w:line="277" w:lineRule="auto"/>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2.3 Equity Purchase Agreement dated December 15, 2021, by and between Ducommun LaBarge Technologies, Inc., Mag Parent, Inc. and Thomas B. Colby</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and Lyman J. Colby. Incorporated by reference to Exhibit 2.1 to Form 8-K filed on December 16, 2021.</w:t>
        </w:r>
      </w:hyperlink>
    </w:p>
    <w:p>
      <w:pPr>
        <w:spacing w:after="0" w:line="62" w:lineRule="exact"/>
        <w:rPr>
          <w:sz w:val="20"/>
          <w:szCs w:val="20"/>
          <w:color w:val="auto"/>
        </w:rPr>
      </w:pPr>
    </w:p>
    <w:p>
      <w:pPr>
        <w:ind w:left="340" w:right="80" w:hanging="323"/>
        <w:spacing w:after="0" w:line="263" w:lineRule="auto"/>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2.4 Securities Purchase Agreement dated March 20, 2023, by and among BLR Aerospace, L.L.C., the Undersigned Equityholders of the Company,</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Crescent Capital Aerospace, L.L.C., as the Seller Representative, Ducommun LaBarge Technologies, Inc., and Ducommun Incorporated. Incorporated</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by reference to Exhibit 2.1 to Form 8-K filed on March 21, 2023.</w:t>
        </w:r>
      </w:hyperlink>
    </w:p>
    <w:p>
      <w:pPr>
        <w:spacing w:after="0" w:line="76" w:lineRule="exact"/>
        <w:rPr>
          <w:rFonts w:ascii="Arial" w:cs="Arial" w:eastAsia="Arial" w:hAnsi="Arial"/>
          <w:sz w:val="18"/>
          <w:szCs w:val="18"/>
          <w:u w:val="single" w:color="auto"/>
          <w:color w:val="0000FF"/>
        </w:rPr>
      </w:pPr>
    </w:p>
    <w:p>
      <w:pPr>
        <w:jc w:val="both"/>
        <w:ind w:left="340" w:right="20" w:hanging="323"/>
        <w:spacing w:after="0" w:line="308" w:lineRule="auto"/>
        <w:rPr>
          <w:rFonts w:ascii="Arial" w:cs="Arial" w:eastAsia="Arial" w:hAnsi="Arial"/>
          <w:sz w:val="17"/>
          <w:szCs w:val="17"/>
          <w:u w:val="single" w:color="auto"/>
          <w:color w:val="0000FF"/>
        </w:rPr>
      </w:pPr>
      <w:hyperlink r:id="rId55">
        <w:r>
          <w:rPr>
            <w:rFonts w:ascii="Arial" w:cs="Arial" w:eastAsia="Arial" w:hAnsi="Arial"/>
            <w:sz w:val="17"/>
            <w:szCs w:val="17"/>
            <w:u w:val="single" w:color="auto"/>
            <w:color w:val="0000FF"/>
          </w:rPr>
          <w:t>2.5 Agreement of Purchase and Sale and Agreement to Enter into Lease dated as of December 16, 2021, by and among Ducommun Aerostructures, Inc. and</w:t>
        </w:r>
      </w:hyperlink>
      <w:r>
        <w:rPr>
          <w:rFonts w:ascii="Arial" w:cs="Arial" w:eastAsia="Arial" w:hAnsi="Arial"/>
          <w:sz w:val="17"/>
          <w:szCs w:val="17"/>
          <w:u w:val="single" w:color="auto"/>
          <w:color w:val="0000FF"/>
        </w:rPr>
        <w:t xml:space="preserve"> </w:t>
      </w:r>
      <w:hyperlink r:id="rId55">
        <w:r>
          <w:rPr>
            <w:rFonts w:ascii="Arial" w:cs="Arial" w:eastAsia="Arial" w:hAnsi="Arial"/>
            <w:sz w:val="17"/>
            <w:szCs w:val="17"/>
            <w:u w:val="single" w:color="auto"/>
            <w:color w:val="0000FF"/>
          </w:rPr>
          <w:t>Centerpoint 268 Gardena LLC. Incorporated by reference to Exhibit 2.1 to Form 8-K filed on December 20, 2021.</w:t>
        </w:r>
      </w:hyperlink>
    </w:p>
    <w:p>
      <w:pPr>
        <w:spacing w:after="0" w:line="38" w:lineRule="exact"/>
        <w:rPr>
          <w:sz w:val="20"/>
          <w:szCs w:val="20"/>
          <w:color w:val="auto"/>
        </w:rPr>
      </w:pPr>
    </w:p>
    <w:p>
      <w:pPr>
        <w:jc w:val="both"/>
        <w:ind w:left="340" w:hanging="323"/>
        <w:spacing w:after="0" w:line="263" w:lineRule="auto"/>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2.6 Securities Purchase Agreement dated March 20, 2023, by and between Ducommun LaBarge Technologies, Inc., Ducommun Incorporated, solely for the</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purposes of Section 7.07, BLR, L.L.C., Crescent Capital Aerospace, L.L.C. and Michael Carpenter. Incorporated by reference to Exhibit 2.1 to Form 8-</w:t>
        </w:r>
      </w:hyperlink>
      <w:hyperlink r:id="rId54">
        <w:r>
          <w:rPr>
            <w:rFonts w:ascii="Arial" w:cs="Arial" w:eastAsia="Arial" w:hAnsi="Arial"/>
            <w:sz w:val="18"/>
            <w:szCs w:val="18"/>
            <w:u w:val="single" w:color="auto"/>
            <w:color w:val="0000FF"/>
          </w:rPr>
          <w:t>K filed on March 21, 2023.</w:t>
        </w:r>
      </w:hyperlink>
    </w:p>
    <w:p>
      <w:pPr>
        <w:spacing w:after="0" w:line="76" w:lineRule="exact"/>
        <w:rPr>
          <w:rFonts w:ascii="Arial" w:cs="Arial" w:eastAsia="Arial" w:hAnsi="Arial"/>
          <w:sz w:val="18"/>
          <w:szCs w:val="18"/>
          <w:u w:val="single" w:color="auto"/>
          <w:color w:val="0000FF"/>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filed with the Delaware Secretary of State on May 29, 1990. Incorporated by reference to Exhibit 3.1 to Form</w:t>
      </w:r>
    </w:p>
    <w:p>
      <w:pPr>
        <w:spacing w:after="0" w:line="23" w:lineRule="exact"/>
        <w:rPr>
          <w:rFonts w:ascii="Arial" w:cs="Arial" w:eastAsia="Arial" w:hAnsi="Arial"/>
          <w:sz w:val="18"/>
          <w:szCs w:val="18"/>
          <w:u w:val="single" w:color="auto"/>
          <w:color w:val="0000FF"/>
        </w:rPr>
      </w:pPr>
    </w:p>
    <w:p>
      <w:pPr>
        <w:ind w:left="340"/>
        <w:spacing w:after="0"/>
        <w:rPr>
          <w:sz w:val="20"/>
          <w:szCs w:val="20"/>
          <w:color w:val="auto"/>
        </w:rPr>
      </w:pPr>
      <w:r>
        <w:rPr>
          <w:rFonts w:ascii="Arial" w:cs="Arial" w:eastAsia="Arial" w:hAnsi="Arial"/>
          <w:sz w:val="18"/>
          <w:szCs w:val="18"/>
          <w:color w:val="auto"/>
        </w:rPr>
        <w:t>10-K for the year ended December 31, 1990.</w:t>
      </w:r>
    </w:p>
    <w:p>
      <w:pPr>
        <w:spacing w:after="0" w:line="103" w:lineRule="exact"/>
        <w:rPr>
          <w:rFonts w:ascii="Arial" w:cs="Arial" w:eastAsia="Arial" w:hAnsi="Arial"/>
          <w:sz w:val="18"/>
          <w:szCs w:val="18"/>
          <w:u w:val="single" w:color="auto"/>
          <w:color w:val="0000FF"/>
        </w:rPr>
      </w:pPr>
    </w:p>
    <w:p>
      <w:pPr>
        <w:ind w:left="340" w:right="400" w:hanging="323"/>
        <w:spacing w:after="0" w:line="277" w:lineRule="auto"/>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3.2 Certificate of Amendment of Certificate of Incorporation filed with the Delaware Secretary of State on May 27, 1998. Incorporated by reference to</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Exhibit 3.2 to Form 10-K for the year ended December 31, 1998.</w:t>
        </w:r>
      </w:hyperlink>
    </w:p>
    <w:p>
      <w:pPr>
        <w:spacing w:after="0" w:line="62" w:lineRule="exact"/>
        <w:rPr>
          <w:sz w:val="20"/>
          <w:szCs w:val="20"/>
          <w:color w:val="auto"/>
        </w:rPr>
      </w:pPr>
    </w:p>
    <w:p>
      <w:pPr>
        <w:ind w:left="340" w:right="200" w:hanging="323"/>
        <w:spacing w:after="0" w:line="277" w:lineRule="auto"/>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3.3 Amended and Restated Bylaws of Ducommun Incorporated, dated as of November 4, 2022. Incorporated by reference to Exhibit 3.3 to to Form 10-K</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for the year ended December 31, 2022.</w:t>
        </w:r>
      </w:hyperlink>
    </w:p>
    <w:p>
      <w:pPr>
        <w:spacing w:after="0" w:line="62" w:lineRule="exact"/>
        <w:rPr>
          <w:sz w:val="20"/>
          <w:szCs w:val="20"/>
          <w:color w:val="auto"/>
        </w:rPr>
      </w:pPr>
    </w:p>
    <w:p>
      <w:pPr>
        <w:spacing w:after="0"/>
        <w:rPr>
          <w:rFonts w:ascii="Arial" w:cs="Arial" w:eastAsia="Arial" w:hAnsi="Arial"/>
          <w:sz w:val="16"/>
          <w:szCs w:val="16"/>
          <w:u w:val="single" w:color="auto"/>
          <w:color w:val="0000FF"/>
        </w:rPr>
      </w:pPr>
      <w:hyperlink r:id="rId58">
        <w:r>
          <w:rPr>
            <w:rFonts w:ascii="Arial" w:cs="Arial" w:eastAsia="Arial" w:hAnsi="Arial"/>
            <w:sz w:val="16"/>
            <w:szCs w:val="16"/>
            <w:u w:val="single" w:color="auto"/>
            <w:color w:val="0000FF"/>
          </w:rPr>
          <w:t>4.1 Description of Ducommun Incorporated Securities Registered under Section 12 of the Exchange Act. Incorporated by reference to Exhibit 4.1 to Form</w:t>
        </w:r>
      </w:hyperlink>
    </w:p>
    <w:p>
      <w:pPr>
        <w:spacing w:after="0" w:line="46" w:lineRule="exact"/>
        <w:rPr>
          <w:sz w:val="20"/>
          <w:szCs w:val="20"/>
          <w:color w:val="auto"/>
        </w:rPr>
      </w:pPr>
    </w:p>
    <w:p>
      <w:pPr>
        <w:ind w:left="340"/>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10-K for the year ended December 31, 2019.</w:t>
        </w:r>
      </w:hyperlink>
    </w:p>
    <w:p>
      <w:pPr>
        <w:spacing w:after="0" w:line="89" w:lineRule="exact"/>
        <w:rPr>
          <w:sz w:val="20"/>
          <w:szCs w:val="20"/>
          <w:color w:val="auto"/>
        </w:rPr>
      </w:pPr>
    </w:p>
    <w:p>
      <w:pPr>
        <w:ind w:left="420" w:right="220" w:hanging="404"/>
        <w:spacing w:after="0" w:line="263" w:lineRule="auto"/>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10.1 Credit Agreement, dated as of July 14, 2022, by and among Ducommun Incorporated, as Borrower, the subsidiaries of the Borrower party thereto as</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Guarantors, Bank of America, N.A., as Administrative Agent, Swingline Lender and an L/C Issuer, and the lender party thereto. Incorporated by</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reference to Exhibit 10.1 to Form 8-K filed on July 18, 2022.</w:t>
        </w:r>
      </w:hyperlink>
    </w:p>
    <w:p>
      <w:pPr>
        <w:spacing w:after="0" w:line="49" w:lineRule="exact"/>
        <w:rPr>
          <w:rFonts w:ascii="Arial" w:cs="Arial" w:eastAsia="Arial" w:hAnsi="Arial"/>
          <w:sz w:val="18"/>
          <w:szCs w:val="18"/>
          <w:u w:val="single" w:color="auto"/>
          <w:color w:val="0000FF"/>
        </w:rPr>
      </w:pPr>
    </w:p>
    <w:p>
      <w:pPr>
        <w:ind w:left="500" w:right="620" w:hanging="485"/>
        <w:spacing w:after="0" w:line="277" w:lineRule="auto"/>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*10.2 2013 Stock Incentive Plan (Amended and Restated May 2, 2018). Incorporated by reference to Appendix A of Definitive Proxy Statement on</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Schedule 14a, filed on March 23, 2018.</w:t>
        </w:r>
      </w:hyperlink>
    </w:p>
    <w:p>
      <w:pPr>
        <w:spacing w:after="0" w:line="49" w:lineRule="exact"/>
        <w:rPr>
          <w:sz w:val="20"/>
          <w:szCs w:val="20"/>
          <w:color w:val="auto"/>
        </w:rPr>
      </w:pPr>
    </w:p>
    <w:p>
      <w:pPr>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*10.3 Amended and Restated 2020 Stock Incentive Plan. Incorporated by reference to Exhibit 10.1 to Form 8-K filed on April 20, 2022.</w:t>
        </w:r>
      </w:hyperlink>
    </w:p>
    <w:p>
      <w:pPr>
        <w:spacing w:after="0" w:line="104" w:lineRule="exact"/>
        <w:rPr>
          <w:sz w:val="20"/>
          <w:szCs w:val="20"/>
          <w:color w:val="auto"/>
        </w:rPr>
      </w:pPr>
    </w:p>
    <w:p>
      <w:pPr>
        <w:spacing w:after="0"/>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*10.4 2018 Employee Stock Purchase Plan. Incorporated by reference to Appendix B of Definitive Proxy Statement on Schedule 14a, filed on March 23,</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2018.</w:t>
        </w:r>
      </w:hyperlink>
    </w:p>
    <w:p>
      <w:pPr>
        <w:spacing w:after="0" w:line="76" w:lineRule="exact"/>
        <w:rPr>
          <w:sz w:val="20"/>
          <w:szCs w:val="20"/>
          <w:color w:val="auto"/>
        </w:rPr>
      </w:pPr>
    </w:p>
    <w:p>
      <w:pPr>
        <w:spacing w:after="0"/>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*10.5 2020 Employee Stock Incentive Plan. Incorporated by reference to Appendix A of Definitive Proxy Statement on Schedule 14a, filed on March 20,</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2020.</w:t>
        </w:r>
      </w:hyperlink>
    </w:p>
    <w:p>
      <w:pPr>
        <w:spacing w:after="0" w:line="89" w:lineRule="exact"/>
        <w:rPr>
          <w:sz w:val="20"/>
          <w:szCs w:val="20"/>
          <w:color w:val="auto"/>
        </w:rPr>
      </w:pPr>
    </w:p>
    <w:p>
      <w:pPr>
        <w:spacing w:after="0"/>
        <w:rPr>
          <w:rFonts w:ascii="Arial" w:cs="Arial" w:eastAsia="Arial" w:hAnsi="Arial"/>
          <w:sz w:val="17"/>
          <w:szCs w:val="17"/>
          <w:u w:val="single" w:color="auto"/>
          <w:color w:val="0000FF"/>
        </w:rPr>
      </w:pPr>
      <w:hyperlink r:id="rId63">
        <w:r>
          <w:rPr>
            <w:rFonts w:ascii="Arial" w:cs="Arial" w:eastAsia="Arial" w:hAnsi="Arial"/>
            <w:sz w:val="17"/>
            <w:szCs w:val="17"/>
            <w:u w:val="single" w:color="auto"/>
            <w:color w:val="0000FF"/>
          </w:rPr>
          <w:t>*10.6 Form of Stock Option Agreement for 2016 and earlier. Incorporated by reference to Exhibit 10.8 to Form 10-K for the year ended December 31,</w:t>
        </w:r>
      </w:hyperlink>
    </w:p>
    <w:p>
      <w:pPr>
        <w:spacing w:after="0" w:line="35" w:lineRule="exact"/>
        <w:rPr>
          <w:sz w:val="20"/>
          <w:szCs w:val="20"/>
          <w:color w:val="auto"/>
        </w:rPr>
      </w:pPr>
    </w:p>
    <w:p>
      <w:pPr>
        <w:ind w:left="500"/>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2003.</w:t>
        </w:r>
      </w:hyperlink>
    </w:p>
    <w:p>
      <w:pPr>
        <w:spacing w:after="0" w:line="89" w:lineRule="exact"/>
        <w:rPr>
          <w:sz w:val="20"/>
          <w:szCs w:val="20"/>
          <w:color w:val="auto"/>
        </w:rPr>
      </w:pPr>
    </w:p>
    <w:p>
      <w:pPr>
        <w:spacing w:after="0"/>
        <w:rPr>
          <w:rFonts w:ascii="Arial" w:cs="Arial" w:eastAsia="Arial" w:hAnsi="Arial"/>
          <w:sz w:val="17"/>
          <w:szCs w:val="17"/>
          <w:u w:val="single" w:color="auto"/>
          <w:color w:val="0000FF"/>
        </w:rPr>
      </w:pPr>
      <w:hyperlink r:id="rId64">
        <w:r>
          <w:rPr>
            <w:rFonts w:ascii="Arial" w:cs="Arial" w:eastAsia="Arial" w:hAnsi="Arial"/>
            <w:sz w:val="17"/>
            <w:szCs w:val="17"/>
            <w:u w:val="single" w:color="auto"/>
            <w:color w:val="0000FF"/>
          </w:rPr>
          <w:t>*10.7 Form of Stock Option Agreement for 2017. Incorporated by reference to Exhibit 10.5 to Form 10-K for the year ended December 31, 2016.</w:t>
        </w:r>
      </w:hyperlink>
    </w:p>
    <w:p>
      <w:pPr>
        <w:spacing w:after="0" w:line="102" w:lineRule="exact"/>
        <w:rPr>
          <w:sz w:val="20"/>
          <w:szCs w:val="20"/>
          <w:color w:val="auto"/>
        </w:rPr>
      </w:pPr>
    </w:p>
    <w:p>
      <w:pPr>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*10.8 Form of Stock Option Agreement for 2018 and after. Incorporated by reference to Exhibit 4.7 to Form S-8, filed on May 10, 2018.</w:t>
        </w:r>
      </w:hyperlink>
    </w:p>
    <w:p>
      <w:pPr>
        <w:spacing w:after="0" w:line="104" w:lineRule="exact"/>
        <w:rPr>
          <w:sz w:val="20"/>
          <w:szCs w:val="20"/>
          <w:color w:val="auto"/>
        </w:rPr>
      </w:pPr>
    </w:p>
    <w:p>
      <w:pPr>
        <w:ind w:left="500" w:right="640" w:hanging="485"/>
        <w:spacing w:after="0" w:line="277" w:lineRule="auto"/>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*10.9 Form of Restricted Stock Unit Agreement for 2017 through 2019. Incorporated by reference to Exhibit 10.9 to Form 10-K for the year ended</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December 31, 2016.</w:t>
        </w:r>
      </w:hyperlink>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83" w:lineRule="exact"/>
        <w:rPr>
          <w:sz w:val="20"/>
          <w:szCs w:val="20"/>
          <w:color w:val="auto"/>
        </w:rPr>
      </w:pPr>
    </w:p>
    <w:p>
      <w:pPr>
        <w:ind w:left="580" w:right="120" w:hanging="566"/>
        <w:spacing w:after="0" w:line="277" w:lineRule="auto"/>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*10.10 Performance Restricted Stock Unit Agreement dated January 23, 2017 between Ducommun Incorporated and Stephen G. Oswald. Incorporated by</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reference to Exhibit 10.11 to Form 10-K for the year ended December 31, 2016.</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r:id="rId70">
        <w:r>
          <w:rPr>
            <w:rFonts w:ascii="Arial" w:cs="Arial" w:eastAsia="Arial" w:hAnsi="Arial"/>
            <w:sz w:val="16"/>
            <w:szCs w:val="16"/>
            <w:u w:val="single" w:color="auto"/>
            <w:color w:val="0000FF"/>
          </w:rPr>
          <w:t>*10.11 Form of Performance Stock Unit Agreement for 2020 and after. Incorporated by reference to Exhibit 10.18 to Form 10-Q for the period ended June</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27, 2020.</w:t>
        </w:r>
      </w:hyperlink>
    </w:p>
    <w:p>
      <w:pPr>
        <w:spacing w:after="0" w:line="89" w:lineRule="exact"/>
        <w:rPr>
          <w:sz w:val="20"/>
          <w:szCs w:val="20"/>
          <w:color w:val="auto"/>
        </w:rPr>
      </w:pPr>
    </w:p>
    <w:p>
      <w:pPr>
        <w:ind w:left="580" w:hanging="566"/>
        <w:spacing w:after="0" w:line="277" w:lineRule="auto"/>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*10.12 Form of Restricted Stock Unit Agreement for Non-Qualified Deferred Compensation Plan Participants for 2020 and after. Incorporated by reference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to Exhibit 10.19 to Form 10-Q for the period ended June 27, 2020.</w:t>
        </w:r>
      </w:hyperlink>
    </w:p>
    <w:p>
      <w:pPr>
        <w:spacing w:after="0" w:line="49" w:lineRule="exact"/>
        <w:rPr>
          <w:sz w:val="20"/>
          <w:szCs w:val="20"/>
          <w:color w:val="auto"/>
        </w:rPr>
      </w:pPr>
    </w:p>
    <w:p>
      <w:pPr>
        <w:spacing w:after="0"/>
        <w:rPr>
          <w:rFonts w:ascii="Arial" w:cs="Arial" w:eastAsia="Arial" w:hAnsi="Arial"/>
          <w:sz w:val="16"/>
          <w:szCs w:val="16"/>
          <w:u w:val="single" w:color="auto"/>
          <w:color w:val="0000FF"/>
        </w:rPr>
      </w:pPr>
      <w:hyperlink r:id="rId72">
        <w:r>
          <w:rPr>
            <w:rFonts w:ascii="Arial" w:cs="Arial" w:eastAsia="Arial" w:hAnsi="Arial"/>
            <w:sz w:val="16"/>
            <w:szCs w:val="16"/>
            <w:u w:val="single" w:color="auto"/>
            <w:color w:val="0000FF"/>
          </w:rPr>
          <w:t>*10.13 Form of Restricted Stock Unit Agreement for 2020 and after. Incorporated by reference to Exhibit 10.20 to Form 10-Q for the period ended June 27,</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2020.</w:t>
        </w:r>
      </w:hyperlink>
    </w:p>
    <w:p>
      <w:pPr>
        <w:spacing w:after="0" w:line="103" w:lineRule="exact"/>
        <w:rPr>
          <w:sz w:val="20"/>
          <w:szCs w:val="20"/>
          <w:color w:val="auto"/>
        </w:rPr>
      </w:pPr>
    </w:p>
    <w:p>
      <w:pPr>
        <w:spacing w:after="0"/>
        <w:rPr>
          <w:rFonts w:ascii="Arial" w:cs="Arial" w:eastAsia="Arial" w:hAnsi="Arial"/>
          <w:sz w:val="16"/>
          <w:szCs w:val="16"/>
          <w:u w:val="single" w:color="auto"/>
          <w:color w:val="0000FF"/>
        </w:rPr>
      </w:pPr>
      <w:hyperlink r:id="rId73">
        <w:r>
          <w:rPr>
            <w:rFonts w:ascii="Arial" w:cs="Arial" w:eastAsia="Arial" w:hAnsi="Arial"/>
            <w:sz w:val="16"/>
            <w:szCs w:val="16"/>
            <w:u w:val="single" w:color="auto"/>
            <w:color w:val="0000FF"/>
          </w:rPr>
          <w:t>*10.14 Form of Stock Option Agreement for 2020 and after. Incorporated by reference to Exhibit 10.21 to Form 10-Q for the period ended June 27, 2020.</w:t>
        </w:r>
      </w:hyperlink>
    </w:p>
    <w:p>
      <w:pPr>
        <w:spacing w:after="0" w:line="113" w:lineRule="exact"/>
        <w:rPr>
          <w:sz w:val="20"/>
          <w:szCs w:val="20"/>
          <w:color w:val="auto"/>
        </w:rPr>
      </w:pPr>
    </w:p>
    <w:p>
      <w:pPr>
        <w:ind w:left="580" w:right="340" w:hanging="566"/>
        <w:spacing w:after="0" w:line="277" w:lineRule="auto"/>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*10.15 Form of Performance Restricted Stock Unit Agreement for 2020. Incorporated by reference to Exhibit 10.22 to Form 10-Q for the period ended</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June 27, 2020.</w:t>
        </w:r>
      </w:hyperlink>
    </w:p>
    <w:p>
      <w:pPr>
        <w:spacing w:after="0" w:line="49" w:lineRule="exact"/>
        <w:rPr>
          <w:sz w:val="20"/>
          <w:szCs w:val="20"/>
          <w:color w:val="auto"/>
        </w:rPr>
      </w:pPr>
    </w:p>
    <w:p>
      <w:pPr>
        <w:ind w:left="580" w:hanging="566"/>
        <w:spacing w:after="0" w:line="277" w:lineRule="auto"/>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*10.16 Form of Performance Stock Unit Cash-Based Long-Term Incentive Award Agreement for 2022 and after. Incorporated by reference to Exhibit 10.20</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to Form 10-Q for the period ended July 2, 2022.</w:t>
        </w:r>
      </w:hyperlink>
    </w:p>
    <w:p>
      <w:pPr>
        <w:spacing w:after="0" w:line="49" w:lineRule="exact"/>
        <w:rPr>
          <w:sz w:val="20"/>
          <w:szCs w:val="20"/>
          <w:color w:val="auto"/>
        </w:rPr>
      </w:pPr>
    </w:p>
    <w:p>
      <w:pPr>
        <w:ind w:left="580" w:right="240" w:hanging="566"/>
        <w:spacing w:after="0" w:line="277" w:lineRule="auto"/>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*10.17 Form of Performance Restricted Stock Unit Cash-Based Long-Term Incentive Award Agreement for 2022 and after. Incorporated by reference to</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Exhibit 10.21 to Form 10-Q for the period ended July 2, 2022.</w:t>
        </w:r>
      </w:hyperlink>
    </w:p>
    <w:p>
      <w:pPr>
        <w:spacing w:after="0" w:line="35" w:lineRule="exact"/>
        <w:rPr>
          <w:sz w:val="20"/>
          <w:szCs w:val="20"/>
          <w:color w:val="auto"/>
        </w:rPr>
      </w:pPr>
    </w:p>
    <w:p>
      <w:pPr>
        <w:ind w:left="580" w:right="420" w:hanging="566"/>
        <w:spacing w:after="0" w:line="277" w:lineRule="auto"/>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*10.18 Form of Performance Stock Unit Award Agreement for 2023 and after. Incorporated by reference to Exhibit 10.18 to Form 10-Q for the period</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ended April 1, 2023.</w:t>
        </w:r>
      </w:hyperlink>
    </w:p>
    <w:p>
      <w:pPr>
        <w:spacing w:after="0" w:line="49" w:lineRule="exact"/>
        <w:rPr>
          <w:sz w:val="20"/>
          <w:szCs w:val="20"/>
          <w:color w:val="auto"/>
        </w:rPr>
      </w:pPr>
    </w:p>
    <w:p>
      <w:pPr>
        <w:ind w:left="580" w:hanging="566"/>
        <w:spacing w:after="0" w:line="277" w:lineRule="auto"/>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*10.19 Form of Performance Stock Unit Cash-Based Long-Term Incentive Award Agreement for 2023 and after. Incorporated by reference to Exhibit 10.19</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to Form 10-Q for the period ended April 1, 2023.</w:t>
        </w:r>
      </w:hyperlink>
    </w:p>
    <w:p>
      <w:pPr>
        <w:spacing w:after="0" w:line="62" w:lineRule="exact"/>
        <w:rPr>
          <w:sz w:val="20"/>
          <w:szCs w:val="20"/>
          <w:color w:val="auto"/>
        </w:rPr>
      </w:pPr>
    </w:p>
    <w:p>
      <w:pPr>
        <w:ind w:left="580" w:right="200" w:hanging="566"/>
        <w:spacing w:after="0" w:line="277" w:lineRule="auto"/>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*10.20 Directors’ Deferred Compensation and Retirement Plan, as amended and restated February 2, 2010. Incorporated by reference to Exhibit 10.15 to</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Form 10-K for the year ended December 31, 2009.</w:t>
        </w:r>
      </w:hyperlink>
    </w:p>
    <w:p>
      <w:pPr>
        <w:spacing w:after="0" w:line="49" w:lineRule="exact"/>
        <w:rPr>
          <w:sz w:val="20"/>
          <w:szCs w:val="20"/>
          <w:color w:val="auto"/>
        </w:rPr>
      </w:pPr>
    </w:p>
    <w:p>
      <w:pPr>
        <w:spacing w:after="0"/>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*10.21 Non Qualified Deferred Compensation. Incorporated by reference to Exhibit 4.6 to Form S-8 dated November 26, 2019.</w:t>
        </w:r>
      </w:hyperlink>
    </w:p>
    <w:p>
      <w:pPr>
        <w:spacing w:after="0" w:line="90" w:lineRule="exact"/>
        <w:rPr>
          <w:sz w:val="20"/>
          <w:szCs w:val="20"/>
          <w:color w:val="auto"/>
        </w:rPr>
      </w:pPr>
    </w:p>
    <w:p>
      <w:pPr>
        <w:ind w:left="580" w:right="80" w:hanging="566"/>
        <w:spacing w:after="0" w:line="277" w:lineRule="auto"/>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*10.22 Key Executive Severance Agreement between Ducommun Incorporated and Stephen G. Oswald dated January 23, 2017. Incorporated by reference</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to Exhibit 99.1 to Form 8-K dated January 27, 2017.</w:t>
        </w:r>
      </w:hyperlink>
    </w:p>
    <w:p>
      <w:pPr>
        <w:spacing w:after="0" w:line="49" w:lineRule="exact"/>
        <w:rPr>
          <w:sz w:val="20"/>
          <w:szCs w:val="20"/>
          <w:color w:val="auto"/>
        </w:rPr>
      </w:pPr>
    </w:p>
    <w:p>
      <w:pPr>
        <w:ind w:left="580" w:right="20" w:hanging="566"/>
        <w:spacing w:after="0" w:line="263" w:lineRule="auto"/>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*10.23 Form of Key Executive Severance Agreement between Ducommun Incorporated and each of the individuals listed below. Incorporated by reference</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to Exhibit 99.2 to Form 8-K dated January 27, 2017. All of the Key Executive Severance Agreements are identical except for the name of the</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person, the address for notice, and the date of the Agreement:</w:t>
        </w:r>
      </w:hyperlink>
    </w:p>
    <w:p>
      <w:pPr>
        <w:spacing w:after="0" w:line="85" w:lineRule="exact"/>
        <w:rPr>
          <w:rFonts w:ascii="Arial" w:cs="Arial" w:eastAsia="Arial" w:hAnsi="Arial"/>
          <w:sz w:val="18"/>
          <w:szCs w:val="18"/>
          <w:u w:val="single" w:color="auto"/>
          <w:color w:val="0000FF"/>
        </w:rPr>
      </w:pPr>
    </w:p>
    <w:tbl>
      <w:tblPr>
        <w:tblLayout w:type="fixed"/>
        <w:tblInd w:w="184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2760" w:type="dxa"/>
            <w:vAlign w:val="bottom"/>
            <w:gridSpan w:val="3"/>
          </w:tcPr>
          <w:p>
            <w:pPr>
              <w:ind w:left="1320"/>
              <w:spacing w:after="0"/>
              <w:rPr>
                <w:sz w:val="20"/>
                <w:szCs w:val="20"/>
                <w:color w:val="auto"/>
              </w:rPr>
            </w:pPr>
            <w:r>
              <w:rPr>
                <w:rFonts w:ascii="Arial" w:cs="Arial" w:eastAsia="Arial" w:hAnsi="Arial"/>
                <w:sz w:val="18"/>
                <w:szCs w:val="18"/>
                <w:color w:val="auto"/>
                <w:w w:val="93"/>
              </w:rPr>
              <w:t>Date of Agreement</w:t>
            </w:r>
          </w:p>
        </w:tc>
      </w:tr>
      <w:tr>
        <w:trPr>
          <w:trHeight w:val="20"/>
        </w:trPr>
        <w:tc>
          <w:tcPr>
            <w:tcW w:w="1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3080" w:type="dxa"/>
            <w:vAlign w:val="bottom"/>
            <w:gridSpan w:val="2"/>
          </w:tcPr>
          <w:p>
            <w:pPr>
              <w:spacing w:after="0"/>
              <w:rPr>
                <w:sz w:val="20"/>
                <w:szCs w:val="20"/>
                <w:color w:val="auto"/>
              </w:rPr>
            </w:pPr>
            <w:r>
              <w:rPr>
                <w:rFonts w:ascii="Arial" w:cs="Arial" w:eastAsia="Arial" w:hAnsi="Arial"/>
                <w:sz w:val="18"/>
                <w:szCs w:val="18"/>
                <w:color w:val="auto"/>
              </w:rPr>
              <w:t>Laureen S. Gonzalez</w:t>
            </w:r>
          </w:p>
        </w:tc>
        <w:tc>
          <w:tcPr>
            <w:tcW w:w="2760" w:type="dxa"/>
            <w:vAlign w:val="bottom"/>
            <w:gridSpan w:val="3"/>
          </w:tcPr>
          <w:p>
            <w:pPr>
              <w:ind w:left="1320"/>
              <w:spacing w:after="0"/>
              <w:rPr>
                <w:sz w:val="20"/>
                <w:szCs w:val="20"/>
                <w:color w:val="auto"/>
              </w:rPr>
            </w:pPr>
            <w:r>
              <w:rPr>
                <w:rFonts w:ascii="Arial" w:cs="Arial" w:eastAsia="Arial" w:hAnsi="Arial"/>
                <w:sz w:val="18"/>
                <w:szCs w:val="18"/>
                <w:color w:val="auto"/>
                <w:w w:val="87"/>
              </w:rPr>
              <w:t>September 20, 2022</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Suman B. Mookerji</w:t>
            </w:r>
          </w:p>
        </w:tc>
        <w:tc>
          <w:tcPr>
            <w:tcW w:w="2760" w:type="dxa"/>
            <w:vAlign w:val="bottom"/>
            <w:gridSpan w:val="3"/>
          </w:tcPr>
          <w:p>
            <w:pPr>
              <w:ind w:left="1320"/>
              <w:spacing w:after="0"/>
              <w:rPr>
                <w:sz w:val="20"/>
                <w:szCs w:val="20"/>
                <w:color w:val="auto"/>
              </w:rPr>
            </w:pPr>
            <w:r>
              <w:rPr>
                <w:rFonts w:ascii="Arial" w:cs="Arial" w:eastAsia="Arial" w:hAnsi="Arial"/>
                <w:sz w:val="18"/>
                <w:szCs w:val="18"/>
                <w:color w:val="auto"/>
              </w:rPr>
              <w:t>May 2, 2018</w:t>
            </w:r>
          </w:p>
        </w:tc>
      </w:tr>
      <w:tr>
        <w:trPr>
          <w:trHeight w:val="242"/>
        </w:trPr>
        <w:tc>
          <w:tcPr>
            <w:tcW w:w="3080" w:type="dxa"/>
            <w:vAlign w:val="bottom"/>
            <w:gridSpan w:val="2"/>
          </w:tcPr>
          <w:p>
            <w:pPr>
              <w:spacing w:after="0"/>
              <w:rPr>
                <w:sz w:val="20"/>
                <w:szCs w:val="20"/>
                <w:color w:val="auto"/>
              </w:rPr>
            </w:pPr>
            <w:r>
              <w:rPr>
                <w:rFonts w:ascii="Arial" w:cs="Arial" w:eastAsia="Arial" w:hAnsi="Arial"/>
                <w:sz w:val="18"/>
                <w:szCs w:val="18"/>
                <w:color w:val="auto"/>
              </w:rPr>
              <w:t>Jerry L. Redondo</w:t>
            </w:r>
          </w:p>
        </w:tc>
        <w:tc>
          <w:tcPr>
            <w:tcW w:w="2760" w:type="dxa"/>
            <w:vAlign w:val="bottom"/>
            <w:gridSpan w:val="3"/>
          </w:tcPr>
          <w:p>
            <w:pPr>
              <w:ind w:left="1320"/>
              <w:spacing w:after="0"/>
              <w:rPr>
                <w:sz w:val="20"/>
                <w:szCs w:val="20"/>
                <w:color w:val="auto"/>
              </w:rPr>
            </w:pPr>
            <w:r>
              <w:rPr>
                <w:rFonts w:ascii="Arial" w:cs="Arial" w:eastAsia="Arial" w:hAnsi="Arial"/>
                <w:sz w:val="18"/>
                <w:szCs w:val="18"/>
                <w:color w:val="auto"/>
              </w:rPr>
              <w:t>January 23, 2017</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Rajiv A. Tata</w:t>
            </w:r>
          </w:p>
        </w:tc>
        <w:tc>
          <w:tcPr>
            <w:tcW w:w="2760" w:type="dxa"/>
            <w:vAlign w:val="bottom"/>
            <w:gridSpan w:val="3"/>
          </w:tcPr>
          <w:p>
            <w:pPr>
              <w:ind w:left="1320"/>
              <w:spacing w:after="0"/>
              <w:rPr>
                <w:sz w:val="20"/>
                <w:szCs w:val="20"/>
                <w:color w:val="auto"/>
              </w:rPr>
            </w:pPr>
            <w:r>
              <w:rPr>
                <w:rFonts w:ascii="Arial" w:cs="Arial" w:eastAsia="Arial" w:hAnsi="Arial"/>
                <w:sz w:val="18"/>
                <w:szCs w:val="18"/>
                <w:color w:val="auto"/>
              </w:rPr>
              <w:t>January 24, 2020</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Christopher D. Wampler</w:t>
            </w:r>
          </w:p>
        </w:tc>
        <w:tc>
          <w:tcPr>
            <w:tcW w:w="2760" w:type="dxa"/>
            <w:vAlign w:val="bottom"/>
            <w:gridSpan w:val="3"/>
          </w:tcPr>
          <w:p>
            <w:pPr>
              <w:ind w:left="1320"/>
              <w:spacing w:after="0"/>
              <w:rPr>
                <w:sz w:val="20"/>
                <w:szCs w:val="20"/>
                <w:color w:val="auto"/>
              </w:rPr>
            </w:pPr>
            <w:r>
              <w:rPr>
                <w:rFonts w:ascii="Arial" w:cs="Arial" w:eastAsia="Arial" w:hAnsi="Arial"/>
                <w:sz w:val="18"/>
                <w:szCs w:val="18"/>
                <w:color w:val="auto"/>
              </w:rPr>
              <w:t>January 23, 2017</w:t>
            </w:r>
          </w:p>
        </w:tc>
      </w:tr>
    </w:tbl>
    <w:p>
      <w:pPr>
        <w:spacing w:after="0" w:line="256" w:lineRule="exact"/>
        <w:rPr>
          <w:rFonts w:ascii="Arial" w:cs="Arial" w:eastAsia="Arial" w:hAnsi="Arial"/>
          <w:sz w:val="18"/>
          <w:szCs w:val="18"/>
          <w:u w:val="single" w:color="auto"/>
          <w:color w:val="0000FF"/>
        </w:rPr>
      </w:pPr>
    </w:p>
    <w:p>
      <w:pPr>
        <w:ind w:left="580" w:right="420" w:hanging="566"/>
        <w:spacing w:after="0" w:line="277" w:lineRule="auto"/>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*10.24 Employment Letter Agreement dated January 3, 2017 between Ducommun Incorporated and Stephen G. Oswald. Incorporated by reference to</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Exhibit 99.1 to Form 8-K dated January 9, 2017.</w:t>
        </w:r>
      </w:hyperlink>
    </w:p>
    <w:p>
      <w:pPr>
        <w:spacing w:after="0" w:line="49" w:lineRule="exact"/>
        <w:rPr>
          <w:sz w:val="20"/>
          <w:szCs w:val="20"/>
          <w:color w:val="auto"/>
        </w:rPr>
      </w:pPr>
    </w:p>
    <w:p>
      <w:pPr>
        <w:ind w:left="580" w:right="140" w:hanging="566"/>
        <w:spacing w:after="0" w:line="277" w:lineRule="auto"/>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*10.25 Retirement and Release Agreement dated November 29, 2021 between Ducommun Incorporated and Rosalie F. Rogers. Incorporated by reference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to Exhibit 10.24 to Form 10-K for the year ended December 31, 2021.</w:t>
        </w:r>
      </w:hyperlink>
    </w:p>
    <w:p>
      <w:pPr>
        <w:spacing w:after="0" w:line="49" w:lineRule="exact"/>
        <w:rPr>
          <w:sz w:val="20"/>
          <w:szCs w:val="20"/>
          <w:color w:val="auto"/>
        </w:rPr>
      </w:pPr>
    </w:p>
    <w:p>
      <w:pPr>
        <w:ind w:left="580" w:hanging="566"/>
        <w:spacing w:after="0" w:line="277" w:lineRule="auto"/>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*10.26 Transition Services and Separation Agreement dated May 31, 2023 between Ducommun Incorporated and Christopher D. Wampler. Incorporated by</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reference to Exhibit 10.01 to Form 8-K dated June 2, 2023.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69" w:lineRule="exact"/>
        <w:rPr>
          <w:sz w:val="20"/>
          <w:szCs w:val="20"/>
          <w:color w:val="auto"/>
        </w:rPr>
      </w:pPr>
    </w:p>
    <w:p>
      <w:pPr>
        <w:ind w:left="580" w:hanging="566"/>
        <w:spacing w:after="0" w:line="263" w:lineRule="auto"/>
        <w:tabs>
          <w:tab w:leader="none" w:pos="560" w:val="left"/>
        </w:tabs>
        <w:rPr>
          <w:sz w:val="20"/>
          <w:szCs w:val="20"/>
          <w:color w:val="auto"/>
        </w:rPr>
      </w:pPr>
      <w:r>
        <w:rPr>
          <w:rFonts w:ascii="Arial" w:cs="Arial" w:eastAsia="Arial" w:hAnsi="Arial"/>
          <w:sz w:val="18"/>
          <w:szCs w:val="18"/>
          <w:color w:val="auto"/>
        </w:rPr>
        <w:t>10.27</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Director/Officer</w:t>
            </w:r>
          </w:p>
        </w:tc>
        <w:tc>
          <w:tcPr>
            <w:tcW w:w="1440" w:type="dxa"/>
            <w:vAlign w:val="bottom"/>
            <w:gridSpan w:val="2"/>
          </w:tcPr>
          <w:p>
            <w:pPr>
              <w:spacing w:after="0"/>
              <w:rPr>
                <w:sz w:val="20"/>
                <w:szCs w:val="20"/>
                <w:color w:val="auto"/>
              </w:rPr>
            </w:pPr>
            <w:r>
              <w:rPr>
                <w:rFonts w:ascii="Arial" w:cs="Arial" w:eastAsia="Arial" w:hAnsi="Arial"/>
                <w:sz w:val="18"/>
                <w:szCs w:val="18"/>
                <w:color w:val="auto"/>
                <w:w w:val="93"/>
              </w:rPr>
              <w:t>Date of Agreement</w:t>
            </w:r>
          </w:p>
        </w:tc>
      </w:tr>
      <w:tr>
        <w:trPr>
          <w:trHeight w:val="20"/>
        </w:trPr>
        <w:tc>
          <w:tcPr>
            <w:tcW w:w="18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180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Richard A. Baldridge</w:t>
            </w:r>
          </w:p>
        </w:tc>
        <w:tc>
          <w:tcPr>
            <w:tcW w:w="1440" w:type="dxa"/>
            <w:vAlign w:val="bottom"/>
            <w:gridSpan w:val="2"/>
          </w:tcPr>
          <w:p>
            <w:pPr>
              <w:spacing w:after="0"/>
              <w:rPr>
                <w:sz w:val="20"/>
                <w:szCs w:val="20"/>
                <w:color w:val="auto"/>
              </w:rPr>
            </w:pPr>
            <w:r>
              <w:rPr>
                <w:rFonts w:ascii="Arial" w:cs="Arial" w:eastAsia="Arial" w:hAnsi="Arial"/>
                <w:sz w:val="18"/>
                <w:szCs w:val="18"/>
                <w:color w:val="auto"/>
              </w:rPr>
              <w:t>March 19, 2013</w:t>
            </w:r>
          </w:p>
        </w:tc>
      </w:tr>
      <w:tr>
        <w:trPr>
          <w:trHeight w:val="230"/>
        </w:trPr>
        <w:tc>
          <w:tcPr>
            <w:tcW w:w="1800" w:type="dxa"/>
            <w:vAlign w:val="bottom"/>
          </w:tcPr>
          <w:p>
            <w:pPr>
              <w:spacing w:after="0"/>
              <w:rPr>
                <w:sz w:val="20"/>
                <w:szCs w:val="20"/>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Shirley G. Drazba</w:t>
            </w:r>
          </w:p>
        </w:tc>
        <w:tc>
          <w:tcPr>
            <w:tcW w:w="1440" w:type="dxa"/>
            <w:vAlign w:val="bottom"/>
            <w:gridSpan w:val="2"/>
          </w:tcPr>
          <w:p>
            <w:pPr>
              <w:spacing w:after="0"/>
              <w:rPr>
                <w:sz w:val="20"/>
                <w:szCs w:val="20"/>
                <w:color w:val="auto"/>
              </w:rPr>
            </w:pPr>
            <w:r>
              <w:rPr>
                <w:rFonts w:ascii="Arial" w:cs="Arial" w:eastAsia="Arial" w:hAnsi="Arial"/>
                <w:sz w:val="18"/>
                <w:szCs w:val="18"/>
                <w:color w:val="auto"/>
              </w:rPr>
              <w:t>October 18, 2018</w:t>
            </w:r>
          </w:p>
        </w:tc>
      </w:tr>
      <w:tr>
        <w:trPr>
          <w:trHeight w:val="242"/>
        </w:trPr>
        <w:tc>
          <w:tcPr>
            <w:tcW w:w="180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Robert C. Ducommun</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December 31, 1985</w:t>
            </w:r>
          </w:p>
        </w:tc>
      </w:tr>
      <w:tr>
        <w:trPr>
          <w:trHeight w:val="230"/>
        </w:trPr>
        <w:tc>
          <w:tcPr>
            <w:tcW w:w="1800" w:type="dxa"/>
            <w:vAlign w:val="bottom"/>
          </w:tcPr>
          <w:p>
            <w:pPr>
              <w:spacing w:after="0"/>
              <w:rPr>
                <w:sz w:val="19"/>
                <w:szCs w:val="19"/>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Dean M. Flatt</w:t>
            </w:r>
          </w:p>
        </w:tc>
        <w:tc>
          <w:tcPr>
            <w:tcW w:w="1440" w:type="dxa"/>
            <w:vAlign w:val="bottom"/>
            <w:gridSpan w:val="2"/>
          </w:tcPr>
          <w:p>
            <w:pPr>
              <w:spacing w:after="0"/>
              <w:rPr>
                <w:sz w:val="20"/>
                <w:szCs w:val="20"/>
                <w:color w:val="auto"/>
              </w:rPr>
            </w:pPr>
            <w:r>
              <w:rPr>
                <w:rFonts w:ascii="Arial" w:cs="Arial" w:eastAsia="Arial" w:hAnsi="Arial"/>
                <w:sz w:val="18"/>
                <w:szCs w:val="18"/>
                <w:color w:val="auto"/>
                <w:w w:val="95"/>
              </w:rPr>
              <w:t>November 5, 2009</w:t>
            </w:r>
          </w:p>
        </w:tc>
      </w:tr>
      <w:tr>
        <w:trPr>
          <w:trHeight w:val="230"/>
        </w:trPr>
        <w:tc>
          <w:tcPr>
            <w:tcW w:w="1800" w:type="dxa"/>
            <w:vAlign w:val="bottom"/>
          </w:tcPr>
          <w:p>
            <w:pPr>
              <w:spacing w:after="0"/>
              <w:rPr>
                <w:sz w:val="20"/>
                <w:szCs w:val="20"/>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Laureen S. Gonzalez</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20, 2022</w:t>
            </w:r>
          </w:p>
        </w:tc>
      </w:tr>
      <w:tr>
        <w:trPr>
          <w:trHeight w:val="242"/>
        </w:trPr>
        <w:tc>
          <w:tcPr>
            <w:tcW w:w="180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Jay L. Haberland</w:t>
            </w:r>
          </w:p>
        </w:tc>
        <w:tc>
          <w:tcPr>
            <w:tcW w:w="1440" w:type="dxa"/>
            <w:vAlign w:val="bottom"/>
            <w:gridSpan w:val="2"/>
          </w:tcPr>
          <w:p>
            <w:pPr>
              <w:spacing w:after="0"/>
              <w:rPr>
                <w:sz w:val="20"/>
                <w:szCs w:val="20"/>
                <w:color w:val="auto"/>
              </w:rPr>
            </w:pPr>
            <w:r>
              <w:rPr>
                <w:rFonts w:ascii="Arial" w:cs="Arial" w:eastAsia="Arial" w:hAnsi="Arial"/>
                <w:sz w:val="18"/>
                <w:szCs w:val="18"/>
                <w:color w:val="auto"/>
              </w:rPr>
              <w:t>February 2, 2009</w:t>
            </w:r>
          </w:p>
        </w:tc>
      </w:tr>
      <w:tr>
        <w:trPr>
          <w:trHeight w:val="229"/>
        </w:trPr>
        <w:tc>
          <w:tcPr>
            <w:tcW w:w="1800" w:type="dxa"/>
            <w:vAlign w:val="bottom"/>
          </w:tcPr>
          <w:p>
            <w:pPr>
              <w:spacing w:after="0"/>
              <w:rPr>
                <w:sz w:val="19"/>
                <w:szCs w:val="19"/>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Sheila G. Kramer</w:t>
            </w:r>
          </w:p>
        </w:tc>
        <w:tc>
          <w:tcPr>
            <w:tcW w:w="1440" w:type="dxa"/>
            <w:vAlign w:val="bottom"/>
            <w:gridSpan w:val="2"/>
          </w:tcPr>
          <w:p>
            <w:pPr>
              <w:spacing w:after="0"/>
              <w:rPr>
                <w:sz w:val="20"/>
                <w:szCs w:val="20"/>
                <w:color w:val="auto"/>
              </w:rPr>
            </w:pPr>
            <w:r>
              <w:rPr>
                <w:rFonts w:ascii="Arial" w:cs="Arial" w:eastAsia="Arial" w:hAnsi="Arial"/>
                <w:sz w:val="18"/>
                <w:szCs w:val="18"/>
                <w:color w:val="auto"/>
              </w:rPr>
              <w:t>June 1, 2021</w:t>
            </w:r>
          </w:p>
        </w:tc>
      </w:tr>
      <w:tr>
        <w:trPr>
          <w:trHeight w:val="230"/>
        </w:trPr>
        <w:tc>
          <w:tcPr>
            <w:tcW w:w="1800" w:type="dxa"/>
            <w:vAlign w:val="bottom"/>
          </w:tcPr>
          <w:p>
            <w:pPr>
              <w:spacing w:after="0"/>
              <w:rPr>
                <w:sz w:val="20"/>
                <w:szCs w:val="20"/>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Suman B. Mookerji</w:t>
            </w:r>
          </w:p>
        </w:tc>
        <w:tc>
          <w:tcPr>
            <w:tcW w:w="1440" w:type="dxa"/>
            <w:vAlign w:val="bottom"/>
            <w:gridSpan w:val="2"/>
          </w:tcPr>
          <w:p>
            <w:pPr>
              <w:spacing w:after="0"/>
              <w:rPr>
                <w:sz w:val="20"/>
                <w:szCs w:val="20"/>
                <w:color w:val="auto"/>
              </w:rPr>
            </w:pPr>
            <w:r>
              <w:rPr>
                <w:rFonts w:ascii="Arial" w:cs="Arial" w:eastAsia="Arial" w:hAnsi="Arial"/>
                <w:sz w:val="18"/>
                <w:szCs w:val="18"/>
                <w:color w:val="auto"/>
              </w:rPr>
              <w:t>April 27, 2023</w:t>
            </w:r>
          </w:p>
        </w:tc>
      </w:tr>
      <w:tr>
        <w:trPr>
          <w:trHeight w:val="242"/>
        </w:trPr>
        <w:tc>
          <w:tcPr>
            <w:tcW w:w="180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Stephen G. Oswald</w:t>
            </w:r>
          </w:p>
        </w:tc>
        <w:tc>
          <w:tcPr>
            <w:tcW w:w="1440" w:type="dxa"/>
            <w:vAlign w:val="bottom"/>
            <w:gridSpan w:val="2"/>
          </w:tcPr>
          <w:p>
            <w:pPr>
              <w:spacing w:after="0"/>
              <w:rPr>
                <w:sz w:val="20"/>
                <w:szCs w:val="20"/>
                <w:color w:val="auto"/>
              </w:rPr>
            </w:pPr>
            <w:r>
              <w:rPr>
                <w:rFonts w:ascii="Arial" w:cs="Arial" w:eastAsia="Arial" w:hAnsi="Arial"/>
                <w:sz w:val="18"/>
                <w:szCs w:val="18"/>
                <w:color w:val="auto"/>
              </w:rPr>
              <w:t>January 23, 2017</w:t>
            </w:r>
          </w:p>
        </w:tc>
      </w:tr>
      <w:tr>
        <w:trPr>
          <w:trHeight w:val="229"/>
        </w:trPr>
        <w:tc>
          <w:tcPr>
            <w:tcW w:w="1800" w:type="dxa"/>
            <w:vAlign w:val="bottom"/>
          </w:tcPr>
          <w:p>
            <w:pPr>
              <w:spacing w:after="0"/>
              <w:rPr>
                <w:sz w:val="19"/>
                <w:szCs w:val="19"/>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Jerry L. Redondo</w:t>
            </w:r>
          </w:p>
        </w:tc>
        <w:tc>
          <w:tcPr>
            <w:tcW w:w="1440" w:type="dxa"/>
            <w:vAlign w:val="bottom"/>
            <w:gridSpan w:val="2"/>
          </w:tcPr>
          <w:p>
            <w:pPr>
              <w:spacing w:after="0"/>
              <w:rPr>
                <w:sz w:val="20"/>
                <w:szCs w:val="20"/>
                <w:color w:val="auto"/>
              </w:rPr>
            </w:pPr>
            <w:r>
              <w:rPr>
                <w:rFonts w:ascii="Arial" w:cs="Arial" w:eastAsia="Arial" w:hAnsi="Arial"/>
                <w:sz w:val="18"/>
                <w:szCs w:val="18"/>
                <w:color w:val="auto"/>
              </w:rPr>
              <w:t>October 1, 2015</w:t>
            </w:r>
          </w:p>
        </w:tc>
      </w:tr>
      <w:tr>
        <w:trPr>
          <w:trHeight w:val="230"/>
        </w:trPr>
        <w:tc>
          <w:tcPr>
            <w:tcW w:w="1800" w:type="dxa"/>
            <w:vAlign w:val="bottom"/>
          </w:tcPr>
          <w:p>
            <w:pPr>
              <w:spacing w:after="0"/>
              <w:rPr>
                <w:sz w:val="20"/>
                <w:szCs w:val="20"/>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Samara A. Strycker</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December 30, 2021</w:t>
            </w:r>
          </w:p>
        </w:tc>
      </w:tr>
      <w:tr>
        <w:trPr>
          <w:trHeight w:val="242"/>
        </w:trPr>
        <w:tc>
          <w:tcPr>
            <w:tcW w:w="180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Rajiv A. Tata</w:t>
            </w:r>
          </w:p>
        </w:tc>
        <w:tc>
          <w:tcPr>
            <w:tcW w:w="1440" w:type="dxa"/>
            <w:vAlign w:val="bottom"/>
            <w:gridSpan w:val="2"/>
          </w:tcPr>
          <w:p>
            <w:pPr>
              <w:spacing w:after="0"/>
              <w:rPr>
                <w:sz w:val="20"/>
                <w:szCs w:val="20"/>
                <w:color w:val="auto"/>
              </w:rPr>
            </w:pPr>
            <w:r>
              <w:rPr>
                <w:rFonts w:ascii="Arial" w:cs="Arial" w:eastAsia="Arial" w:hAnsi="Arial"/>
                <w:sz w:val="18"/>
                <w:szCs w:val="18"/>
                <w:color w:val="auto"/>
              </w:rPr>
              <w:t>January 24, 2020</w:t>
            </w:r>
          </w:p>
        </w:tc>
      </w:tr>
      <w:tr>
        <w:trPr>
          <w:trHeight w:val="230"/>
        </w:trPr>
        <w:tc>
          <w:tcPr>
            <w:tcW w:w="1800" w:type="dxa"/>
            <w:vAlign w:val="bottom"/>
          </w:tcPr>
          <w:p>
            <w:pPr>
              <w:spacing w:after="0"/>
              <w:rPr>
                <w:sz w:val="20"/>
                <w:szCs w:val="20"/>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Christopher D. Wampler</w:t>
            </w:r>
          </w:p>
        </w:tc>
        <w:tc>
          <w:tcPr>
            <w:tcW w:w="1440" w:type="dxa"/>
            <w:vAlign w:val="bottom"/>
            <w:gridSpan w:val="2"/>
          </w:tcPr>
          <w:p>
            <w:pPr>
              <w:spacing w:after="0"/>
              <w:rPr>
                <w:sz w:val="20"/>
                <w:szCs w:val="20"/>
                <w:color w:val="auto"/>
              </w:rPr>
            </w:pPr>
            <w:r>
              <w:rPr>
                <w:rFonts w:ascii="Arial" w:cs="Arial" w:eastAsia="Arial" w:hAnsi="Arial"/>
                <w:sz w:val="18"/>
                <w:szCs w:val="18"/>
                <w:color w:val="auto"/>
              </w:rPr>
              <w:t>January 1, 2016</w:t>
            </w:r>
          </w:p>
        </w:tc>
      </w:tr>
      <w:tr>
        <w:trPr>
          <w:trHeight w:val="378"/>
        </w:trPr>
        <w:tc>
          <w:tcPr>
            <w:tcW w:w="6160" w:type="dxa"/>
            <w:vAlign w:val="bottom"/>
            <w:gridSpan w:val="5"/>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Certification of Principal Executive Officer.</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34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w:t>
            </w:r>
            <w:r>
              <w:rPr>
                <w:rFonts w:ascii="Arial" w:cs="Arial" w:eastAsia="Arial" w:hAnsi="Arial"/>
                <w:sz w:val="18"/>
                <w:szCs w:val="18"/>
                <w:color w:val="0000FF"/>
                <w:w w:val="93"/>
              </w:rPr>
              <w:t xml:space="preserve"> Certification of Principal Financial Officer.</w:t>
            </w:r>
          </w:p>
        </w:tc>
        <w:tc>
          <w:tcPr>
            <w:tcW w:w="40" w:type="dxa"/>
            <w:vAlign w:val="bottom"/>
            <w:tcBorders>
              <w:top w:val="single" w:sz="8" w:color="0000FF"/>
            </w:tcBorders>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32 Certification Pursuant to 18 U.S.C. Section 1350, as Adopted Pursuant to Section 906 of the Sarbanes-Oxley Act of 2002.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tcPr>
          <w:p>
            <w:pPr>
              <w:ind w:left="60"/>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its XBRL tags are embedded</w:t>
            </w:r>
          </w:p>
        </w:tc>
      </w:tr>
      <w:tr>
        <w:trPr>
          <w:trHeight w:val="230"/>
        </w:trPr>
        <w:tc>
          <w:tcPr>
            <w:tcW w:w="10800" w:type="dxa"/>
            <w:vAlign w:val="bottom"/>
            <w:gridSpan w:val="2"/>
          </w:tcPr>
          <w:p>
            <w:pPr>
              <w:ind w:left="660"/>
              <w:spacing w:after="0"/>
              <w:rPr>
                <w:sz w:val="20"/>
                <w:szCs w:val="20"/>
                <w:color w:val="auto"/>
              </w:rPr>
            </w:pPr>
            <w:r>
              <w:rPr>
                <w:rFonts w:ascii="Arial" w:cs="Arial" w:eastAsia="Arial" w:hAnsi="Arial"/>
                <w:sz w:val="18"/>
                <w:szCs w:val="18"/>
                <w:color w:val="auto"/>
              </w:rPr>
              <w:t>within the Inline XBRL</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10060" w:type="dxa"/>
            <w:vAlign w:val="bottom"/>
          </w:tcPr>
          <w:p>
            <w:pPr>
              <w:ind w:left="120"/>
              <w:spacing w:after="0"/>
              <w:rPr>
                <w:sz w:val="20"/>
                <w:szCs w:val="20"/>
                <w:color w:val="auto"/>
              </w:rPr>
            </w:pPr>
            <w:r>
              <w:rPr>
                <w:rFonts w:ascii="Arial" w:cs="Arial" w:eastAsia="Arial" w:hAnsi="Arial"/>
                <w:sz w:val="18"/>
                <w:szCs w:val="18"/>
                <w:color w:val="auto"/>
              </w:rPr>
              <w:t>Inline XBRL Taxonomy Extension Schema</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tcPr>
          <w:p>
            <w:pPr>
              <w:ind w:left="120"/>
              <w:spacing w:after="0"/>
              <w:rPr>
                <w:sz w:val="20"/>
                <w:szCs w:val="20"/>
                <w:color w:val="auto"/>
              </w:rPr>
            </w:pPr>
            <w:r>
              <w:rPr>
                <w:rFonts w:ascii="Arial" w:cs="Arial" w:eastAsia="Arial" w:hAnsi="Arial"/>
                <w:sz w:val="18"/>
                <w:szCs w:val="18"/>
                <w:color w:val="auto"/>
              </w:rPr>
              <w:t>Inline XBRL Taxonomy Extension Calculation Linkbase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10060" w:type="dxa"/>
            <w:vAlign w:val="bottom"/>
          </w:tcPr>
          <w:p>
            <w:pPr>
              <w:ind w:left="100"/>
              <w:spacing w:after="0"/>
              <w:rPr>
                <w:sz w:val="20"/>
                <w:szCs w:val="20"/>
                <w:color w:val="auto"/>
              </w:rPr>
            </w:pPr>
            <w:r>
              <w:rPr>
                <w:rFonts w:ascii="Arial" w:cs="Arial" w:eastAsia="Arial" w:hAnsi="Arial"/>
                <w:sz w:val="18"/>
                <w:szCs w:val="18"/>
                <w:color w:val="auto"/>
              </w:rPr>
              <w:t>Inline XBRL Taxonomy Extension Definition Linkbase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10060" w:type="dxa"/>
            <w:vAlign w:val="bottom"/>
          </w:tcPr>
          <w:p>
            <w:pPr>
              <w:ind w:left="10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50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DUCOMMUN INCORPORATED</w:t>
            </w:r>
          </w:p>
        </w:tc>
      </w:tr>
      <w:tr>
        <w:trPr>
          <w:trHeight w:val="224"/>
        </w:trPr>
        <w:tc>
          <w:tcPr>
            <w:tcW w:w="35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296"/>
        </w:trPr>
        <w:tc>
          <w:tcPr>
            <w:tcW w:w="3520" w:type="dxa"/>
            <w:vAlign w:val="bottom"/>
          </w:tcPr>
          <w:p>
            <w:pPr>
              <w:spacing w:after="0"/>
              <w:rPr>
                <w:sz w:val="20"/>
                <w:szCs w:val="20"/>
                <w:color w:val="auto"/>
              </w:rPr>
            </w:pPr>
            <w:r>
              <w:rPr>
                <w:rFonts w:ascii="Arial" w:cs="Arial" w:eastAsia="Arial" w:hAnsi="Arial"/>
                <w:sz w:val="18"/>
                <w:szCs w:val="18"/>
                <w:color w:val="auto"/>
              </w:rPr>
              <w:t>Date: August 3, 2023</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Oswald</w:t>
            </w:r>
          </w:p>
        </w:tc>
      </w:tr>
      <w:tr>
        <w:trPr>
          <w:trHeight w:val="222"/>
        </w:trPr>
        <w:tc>
          <w:tcPr>
            <w:tcW w:w="35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Stephen G. Oswald</w:t>
            </w:r>
          </w:p>
        </w:tc>
      </w:tr>
      <w:tr>
        <w:trPr>
          <w:trHeight w:val="230"/>
        </w:trPr>
        <w:tc>
          <w:tcPr>
            <w:tcW w:w="3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43"/>
        </w:trPr>
        <w:tc>
          <w:tcPr>
            <w:tcW w:w="35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83"/>
        </w:trPr>
        <w:tc>
          <w:tcPr>
            <w:tcW w:w="3520" w:type="dxa"/>
            <w:vAlign w:val="bottom"/>
          </w:tcPr>
          <w:p>
            <w:pPr>
              <w:spacing w:after="0"/>
              <w:rPr>
                <w:sz w:val="20"/>
                <w:szCs w:val="20"/>
                <w:color w:val="auto"/>
              </w:rPr>
            </w:pPr>
            <w:r>
              <w:rPr>
                <w:rFonts w:ascii="Arial" w:cs="Arial" w:eastAsia="Arial" w:hAnsi="Arial"/>
                <w:sz w:val="18"/>
                <w:szCs w:val="18"/>
                <w:color w:val="auto"/>
              </w:rPr>
              <w:t>Date: August 3, 2023</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Suman B. Mookerji</w:t>
            </w:r>
          </w:p>
        </w:tc>
      </w:tr>
      <w:tr>
        <w:trPr>
          <w:trHeight w:val="224"/>
        </w:trPr>
        <w:tc>
          <w:tcPr>
            <w:tcW w:w="35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Suman B. Mookerji</w:t>
            </w:r>
          </w:p>
        </w:tc>
      </w:tr>
      <w:tr>
        <w:trPr>
          <w:trHeight w:val="188"/>
        </w:trPr>
        <w:tc>
          <w:tcPr>
            <w:tcW w:w="3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00" w:type="dxa"/>
            <w:vAlign w:val="bottom"/>
          </w:tcPr>
          <w:p>
            <w:pPr>
              <w:ind w:left="20"/>
              <w:spacing w:after="0" w:line="189" w:lineRule="exact"/>
              <w:rPr>
                <w:sz w:val="20"/>
                <w:szCs w:val="20"/>
                <w:color w:val="auto"/>
              </w:rPr>
            </w:pPr>
            <w:r>
              <w:rPr>
                <w:rFonts w:ascii="Arial" w:cs="Arial" w:eastAsia="Arial" w:hAnsi="Arial"/>
                <w:sz w:val="18"/>
                <w:szCs w:val="18"/>
                <w:color w:val="auto"/>
              </w:rPr>
              <w:t>Senior Vice President, Chief Financial Officer, Controller and</w:t>
            </w:r>
          </w:p>
        </w:tc>
      </w:tr>
      <w:tr>
        <w:trPr>
          <w:trHeight w:val="229"/>
        </w:trPr>
        <w:tc>
          <w:tcPr>
            <w:tcW w:w="35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Treasurer</w:t>
            </w:r>
          </w:p>
        </w:tc>
      </w:tr>
      <w:tr>
        <w:trPr>
          <w:trHeight w:val="230"/>
        </w:trPr>
        <w:tc>
          <w:tcPr>
            <w:tcW w:w="3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1"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of Ducommun Incorporated (the “registrant”) on Form 10-Q for the period ended July 1, 2023;</w:t>
      </w:r>
    </w:p>
    <w:p>
      <w:pPr>
        <w:spacing w:after="0" w:line="10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8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80" w:hanging="656"/>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Arial" w:cs="Arial" w:eastAsia="Arial" w:hAnsi="Arial"/>
          <w:sz w:val="16"/>
          <w:szCs w:val="16"/>
          <w:color w:val="auto"/>
        </w:rPr>
      </w:pPr>
    </w:p>
    <w:p>
      <w:pPr>
        <w:ind w:left="660" w:right="80" w:hanging="328"/>
        <w:spacing w:after="0" w:line="33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960" w:right="60" w:hanging="656"/>
        <w:spacing w:after="0" w:line="263"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35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G. Oswald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89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Suman B. Mookerji, certify that:</w:t>
      </w:r>
    </w:p>
    <w:p>
      <w:pPr>
        <w:spacing w:after="0" w:line="10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of Ducommun Incorporated (the “registrant”) on Form 10-Q for the period ended July 1, 2023;</w:t>
      </w:r>
    </w:p>
    <w:p>
      <w:pPr>
        <w:spacing w:after="0" w:line="9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960" w:right="80" w:hanging="656"/>
        <w:spacing w:after="0" w:line="286" w:lineRule="auto"/>
        <w:tabs>
          <w:tab w:leader="none" w:pos="1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960" w:right="60" w:hanging="656"/>
        <w:spacing w:after="0" w:line="263"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97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Suman B. Mookerji</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Chief Financial Officer, Controller and</w:t>
      </w:r>
    </w:p>
    <w:p>
      <w:pPr>
        <w:ind w:left="2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89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jc w:val="both"/>
        <w:ind w:right="20" w:firstLine="446"/>
        <w:spacing w:after="0" w:line="311" w:lineRule="auto"/>
        <w:rPr>
          <w:sz w:val="20"/>
          <w:szCs w:val="20"/>
          <w:color w:val="auto"/>
        </w:rPr>
      </w:pPr>
      <w:r>
        <w:rPr>
          <w:rFonts w:ascii="Arial" w:cs="Arial" w:eastAsia="Arial" w:hAnsi="Arial"/>
          <w:sz w:val="16"/>
          <w:szCs w:val="16"/>
          <w:color w:val="auto"/>
        </w:rPr>
        <w:t>In connection with the Quarterly Report of Ducommun Incorporated (the “Company”) on Form 10-Q for the period ending July 1, 2023,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95" w:lineRule="exact"/>
        <w:rPr>
          <w:sz w:val="20"/>
          <w:szCs w:val="20"/>
          <w:color w:val="auto"/>
        </w:rPr>
      </w:pPr>
    </w:p>
    <w:p>
      <w:pPr>
        <w:ind w:left="1160" w:hanging="26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0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286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G. Oswald</w:t>
      </w:r>
    </w:p>
    <w:p>
      <w:pPr>
        <w:spacing w:after="0" w:line="3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August 3,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In connection with the Quarterly Report of Ducommun Incorporated (the “Company”) on Form 10-Q for the period ending July 1, 2023, as filed with the Securities and Exchange Commission on the date hereof (the “Report”), I, Suman B. Mookerji, Senior Vice President, Chief Financial Officer, Controller and Treasurer of the Company, certify pursuant to 18 U.S.C. § 1350, as adopted pursuant to § 906 of the Sarbanes-Oxley Act of 2002, that to the best of my knowledge:</w:t>
      </w:r>
    </w:p>
    <w:p>
      <w:pPr>
        <w:spacing w:after="0" w:line="133" w:lineRule="exact"/>
        <w:rPr>
          <w:sz w:val="20"/>
          <w:szCs w:val="20"/>
          <w:color w:val="auto"/>
        </w:rPr>
      </w:pPr>
    </w:p>
    <w:p>
      <w:pPr>
        <w:ind w:left="1160" w:hanging="26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0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286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Suman B. Mookerji</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Chief Financial Officer, Controller and</w:t>
      </w:r>
    </w:p>
    <w:p>
      <w:pPr>
        <w:ind w:left="6320"/>
        <w:spacing w:after="0"/>
        <w:rPr>
          <w:sz w:val="20"/>
          <w:szCs w:val="20"/>
          <w:color w:val="auto"/>
        </w:rPr>
      </w:pPr>
      <w:r>
        <w:rPr>
          <w:rFonts w:ascii="Arial" w:cs="Arial" w:eastAsia="Arial" w:hAnsi="Arial"/>
          <w:sz w:val="18"/>
          <w:szCs w:val="18"/>
          <w:color w:val="auto"/>
        </w:rPr>
        <w:t>Treasurer</w:t>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August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51" Type="http://schemas.openxmlformats.org/officeDocument/2006/relationships/hyperlink" Target="http://www.sec.gov/Archives/edgar/data/30305/000119312517281838/d414212dex21.htm" TargetMode="External"/><Relationship Id="rId52" Type="http://schemas.openxmlformats.org/officeDocument/2006/relationships/hyperlink" Target="http://www.sec.gov/Archives/edgar/data/30305/000119312519264787/d817718dex21.htm" TargetMode="External"/><Relationship Id="rId53" Type="http://schemas.openxmlformats.org/officeDocument/2006/relationships/hyperlink" Target="http://www.sec.gov/Archives/edgar/data/30305/000119312521358659/d203605dex21.htm" TargetMode="External"/><Relationship Id="rId54" Type="http://schemas.openxmlformats.org/officeDocument/2006/relationships/hyperlink" Target="http://www.sec.gov/Archives/edgar/data/30305/000119312523075209/d477836dex21.htm" TargetMode="External"/><Relationship Id="rId55" Type="http://schemas.openxmlformats.org/officeDocument/2006/relationships/hyperlink" Target="http://www.sec.gov/Archives/edgar/data/30305/000119312521361798/d273590dex21.htm" TargetMode="External"/><Relationship Id="rId56" Type="http://schemas.openxmlformats.org/officeDocument/2006/relationships/hyperlink" Target="http://www.sec.gov/Archives/edgar/data/30305/0000892569-99-000620-index.html" TargetMode="External"/><Relationship Id="rId57" Type="http://schemas.openxmlformats.org/officeDocument/2006/relationships/hyperlink" Target="http://www.sec.gov/Archives/edgar/data/30305/000162828023003810/dco10-k2022_ex3x3xbylaws.htm" TargetMode="External"/><Relationship Id="rId58" Type="http://schemas.openxmlformats.org/officeDocument/2006/relationships/hyperlink" Target="http://www.sec.gov/Archives/edgar/data/30305/000162828020001898/dco10-k2019exhibit4_1.htm" TargetMode="External"/><Relationship Id="rId59" Type="http://schemas.openxmlformats.org/officeDocument/2006/relationships/hyperlink" Target="http://www.sec.gov/Archives/edgar/data/30305/000119312522195816/d363696dex101.htm" TargetMode="External"/><Relationship Id="rId60" Type="http://schemas.openxmlformats.org/officeDocument/2006/relationships/hyperlink" Target="http://www.sec.gov/Archives/edgar/data/30305/000119312518093774/d536991ddef14a.htm" TargetMode="External"/><Relationship Id="rId61" Type="http://schemas.openxmlformats.org/officeDocument/2006/relationships/hyperlink" Target="http://www.sec.gov/Archives/edgar/data/30305/000119312522111129/d259223dex101.htm" TargetMode="External"/><Relationship Id="rId62" Type="http://schemas.openxmlformats.org/officeDocument/2006/relationships/hyperlink" Target="http://www.sec.gov/Archives/edgar/data/30305/000119312520080692/d859194ddef14a.htm" TargetMode="External"/><Relationship Id="rId63" Type="http://schemas.openxmlformats.org/officeDocument/2006/relationships/hyperlink" Target="http://www.sec.gov/Archives/edgar/data/30305/000119312504034525/dex108.htm" TargetMode="External"/><Relationship Id="rId64" Type="http://schemas.openxmlformats.org/officeDocument/2006/relationships/hyperlink" Target="http://www.sec.gov/Archives/edgar/data/30305/000162828017002221/dco10-k2016_ex105.htm" TargetMode="External"/><Relationship Id="rId65" Type="http://schemas.openxmlformats.org/officeDocument/2006/relationships/hyperlink" Target="http://www.sec.gov/Archives/edgar/data/30305/000119312518159343/d596690dex47.htm" TargetMode="External"/><Relationship Id="rId66" Type="http://schemas.openxmlformats.org/officeDocument/2006/relationships/hyperlink" Target="http://www.sec.gov/Archives/edgar/data/30305/000162828017002221/dco10-k2016_ex109.htm" TargetMode="External"/><Relationship Id="rId69" Type="http://schemas.openxmlformats.org/officeDocument/2006/relationships/hyperlink" Target="http://www.sec.gov/Archives/edgar/data/30305/000162828017002221/dco10-k2016_ex1011.htm" TargetMode="External"/><Relationship Id="rId70" Type="http://schemas.openxmlformats.org/officeDocument/2006/relationships/hyperlink" Target="http://www.sec.gov/Archives/edgar/data/30305/000162828020011005/dco-q2202010xqex1018.htm" TargetMode="External"/><Relationship Id="rId71" Type="http://schemas.openxmlformats.org/officeDocument/2006/relationships/hyperlink" Target="http://www.sec.gov/Archives/edgar/data/30305/000162828020011005/dco-q2202010xqex1019.htm" TargetMode="External"/><Relationship Id="rId72" Type="http://schemas.openxmlformats.org/officeDocument/2006/relationships/hyperlink" Target="http://www.sec.gov/Archives/edgar/data/30305/000162828020011005/dco-q2202010xqex1020.htm" TargetMode="External"/><Relationship Id="rId73" Type="http://schemas.openxmlformats.org/officeDocument/2006/relationships/hyperlink" Target="http://www.sec.gov/Archives/edgar/data/30305/000162828020011005/dco-q2202010xqex1021.htm" TargetMode="External"/><Relationship Id="rId74" Type="http://schemas.openxmlformats.org/officeDocument/2006/relationships/hyperlink" Target="http://www.sec.gov/Archives/edgar/data/30305/000162828020011005/dco-q2202010xqex1022.htm" TargetMode="External"/><Relationship Id="rId75" Type="http://schemas.openxmlformats.org/officeDocument/2006/relationships/hyperlink" Target="http://www.sec.gov/Archives/edgar/data/30305/000162828022020890/exhibit10_20xpsucashltipag.htm" TargetMode="External"/><Relationship Id="rId76" Type="http://schemas.openxmlformats.org/officeDocument/2006/relationships/hyperlink" Target="http://www.sec.gov/Archives/edgar/data/30305/000162828022020890/exhibit10_21xprsucashltipa.htm" TargetMode="External"/><Relationship Id="rId77" Type="http://schemas.openxmlformats.org/officeDocument/2006/relationships/hyperlink" Target="http://www.sec.gov/Archives/edgar/data/30305/000162828023015417/ex10_18xpsuformequityagree.htm" TargetMode="External"/><Relationship Id="rId78" Type="http://schemas.openxmlformats.org/officeDocument/2006/relationships/hyperlink" Target="http://www.sec.gov/Archives/edgar/data/30305/000162828023015417/ex10_19xpsucashagreementfo.htm" TargetMode="External"/><Relationship Id="rId79" Type="http://schemas.openxmlformats.org/officeDocument/2006/relationships/hyperlink" Target="http://www.sec.gov/Archives/edgar/data/30305/000119312510036507/dex1015.htm" TargetMode="External"/><Relationship Id="rId80" Type="http://schemas.openxmlformats.org/officeDocument/2006/relationships/hyperlink" Target="http://www.sec.gov/Archives/edgar/data/30305/000119312519301183/0001193125-19-301183-index.htm" TargetMode="External"/><Relationship Id="rId81" Type="http://schemas.openxmlformats.org/officeDocument/2006/relationships/hyperlink" Target="http://www.sec.gov/Archives/edgar/data/30305/000119312517020975/d284517dex991.htm" TargetMode="External"/><Relationship Id="rId82" Type="http://schemas.openxmlformats.org/officeDocument/2006/relationships/hyperlink" Target="http://www.sec.gov/Archives/edgar/data/30305/000119312517020975/d284517dex992.htm" TargetMode="External"/><Relationship Id="rId83" Type="http://schemas.openxmlformats.org/officeDocument/2006/relationships/hyperlink" Target="http://www.sec.gov/Archives/edgar/data/30305/000119312517005088/d321215dex991.htm" TargetMode="External"/><Relationship Id="rId84" Type="http://schemas.openxmlformats.org/officeDocument/2006/relationships/hyperlink" Target="http://www.sec.gov/Archives/edgar/data/30305/000162828022003518/ex10_24xrrogersagreement.htm" TargetMode="External"/><Relationship Id="rId85" Type="http://schemas.openxmlformats.org/officeDocument/2006/relationships/hyperlink" Target="http://www.sec.gov/Archives/edgar/data/30305/000119312523159842/d467496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2023-08-03T05:43:57Z</dcterms:created>
  <dcterms:modified xsi:type="dcterms:W3CDTF">2023-08-03T05:43:57Z</dcterms:modified>
</cp:coreProperties>
</file>